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08" w:rsidRDefault="00596508" w:rsidP="009166A0">
      <w:pPr>
        <w:jc w:val="center"/>
        <w:rPr>
          <w:rFonts w:ascii="Arial Narrow" w:hAnsi="Arial Narrow"/>
          <w:b/>
          <w:sz w:val="24"/>
          <w:szCs w:val="24"/>
        </w:rPr>
      </w:pPr>
      <w:r w:rsidRPr="00EB0DD7">
        <w:rPr>
          <w:rFonts w:ascii="Arial Narrow" w:hAnsi="Arial Narrow"/>
          <w:b/>
          <w:sz w:val="24"/>
          <w:szCs w:val="24"/>
        </w:rPr>
        <w:t>Institutional Quality and Artificial Intelligence Readiness: A Twin Catalyst f</w:t>
      </w:r>
      <w:r w:rsidR="00292D91" w:rsidRPr="00EB0DD7">
        <w:rPr>
          <w:rFonts w:ascii="Arial Narrow" w:hAnsi="Arial Narrow"/>
          <w:b/>
          <w:sz w:val="24"/>
          <w:szCs w:val="24"/>
        </w:rPr>
        <w:t>or Growth in Sub-Saharan Africa</w:t>
      </w:r>
    </w:p>
    <w:p w:rsidR="00FC5F47" w:rsidRDefault="00FC5F47" w:rsidP="00FC5F47">
      <w:pPr>
        <w:jc w:val="center"/>
        <w:rPr>
          <w:rFonts w:ascii="Arial Narrow" w:hAnsi="Arial Narrow"/>
          <w:b/>
          <w:sz w:val="24"/>
          <w:szCs w:val="24"/>
        </w:rPr>
      </w:pPr>
      <w:r>
        <w:rPr>
          <w:rFonts w:ascii="Arial Narrow" w:hAnsi="Arial Narrow"/>
          <w:b/>
          <w:sz w:val="24"/>
          <w:szCs w:val="24"/>
        </w:rPr>
        <w:t>Dr.Placide Aime Kwizera</w:t>
      </w:r>
      <w:r>
        <w:rPr>
          <w:rStyle w:val="FootnoteReference"/>
          <w:rFonts w:ascii="Arial Narrow" w:hAnsi="Arial Narrow"/>
          <w:b/>
          <w:sz w:val="24"/>
          <w:szCs w:val="24"/>
        </w:rPr>
        <w:footnoteReference w:id="1"/>
      </w:r>
    </w:p>
    <w:p w:rsidR="00934A6E" w:rsidRPr="00067792" w:rsidRDefault="00934A6E" w:rsidP="00EB0DD7">
      <w:pPr>
        <w:jc w:val="center"/>
        <w:rPr>
          <w:rFonts w:ascii="Arial Narrow" w:hAnsi="Arial Narrow"/>
          <w:b/>
          <w:sz w:val="14"/>
          <w:szCs w:val="24"/>
        </w:rPr>
      </w:pPr>
      <w:bookmarkStart w:id="0" w:name="_GoBack"/>
      <w:bookmarkEnd w:id="0"/>
    </w:p>
    <w:p w:rsidR="009166A0" w:rsidRDefault="009166A0" w:rsidP="009166A0">
      <w:pPr>
        <w:jc w:val="center"/>
        <w:rPr>
          <w:rFonts w:ascii="Arial Narrow" w:hAnsi="Arial Narrow"/>
          <w:b/>
          <w:sz w:val="24"/>
          <w:szCs w:val="24"/>
        </w:rPr>
      </w:pPr>
    </w:p>
    <w:p w:rsidR="008830B0" w:rsidRDefault="008830B0" w:rsidP="009166A0">
      <w:pPr>
        <w:jc w:val="center"/>
        <w:rPr>
          <w:rFonts w:ascii="Arial Narrow" w:hAnsi="Arial Narrow"/>
          <w:b/>
          <w:sz w:val="24"/>
          <w:szCs w:val="24"/>
        </w:rPr>
      </w:pPr>
      <w:r>
        <w:rPr>
          <w:rFonts w:ascii="Arial Narrow" w:hAnsi="Arial Narrow"/>
          <w:b/>
          <w:sz w:val="24"/>
          <w:szCs w:val="24"/>
        </w:rPr>
        <w:t>Abstract</w:t>
      </w:r>
    </w:p>
    <w:p w:rsidR="00934A6E" w:rsidRPr="009166A0" w:rsidRDefault="008830B0" w:rsidP="00067792">
      <w:pPr>
        <w:spacing w:before="100" w:beforeAutospacing="1" w:after="100" w:afterAutospacing="1" w:line="276" w:lineRule="auto"/>
        <w:jc w:val="both"/>
        <w:rPr>
          <w:rFonts w:ascii="Arial Narrow" w:eastAsia="Times New Roman" w:hAnsi="Arial Narrow" w:cs="Times New Roman"/>
        </w:rPr>
      </w:pPr>
      <w:r w:rsidRPr="008830B0">
        <w:rPr>
          <w:rFonts w:ascii="Arial Narrow" w:eastAsia="Times New Roman" w:hAnsi="Arial Narrow" w:cs="Times New Roman"/>
        </w:rPr>
        <w:t xml:space="preserve">This study examines the </w:t>
      </w:r>
      <w:r w:rsidR="00556559" w:rsidRPr="008830B0">
        <w:rPr>
          <w:rFonts w:ascii="Arial Narrow" w:eastAsia="Times New Roman" w:hAnsi="Arial Narrow" w:cs="Times New Roman"/>
        </w:rPr>
        <w:t>interaction</w:t>
      </w:r>
      <w:r w:rsidRPr="008830B0">
        <w:rPr>
          <w:rFonts w:ascii="Arial Narrow" w:eastAsia="Times New Roman" w:hAnsi="Arial Narrow" w:cs="Times New Roman"/>
        </w:rPr>
        <w:t xml:space="preserve"> between institutional quality, artificial intelligence (AI) readine</w:t>
      </w:r>
      <w:r w:rsidR="007441B6">
        <w:rPr>
          <w:rFonts w:ascii="Arial Narrow" w:eastAsia="Times New Roman" w:hAnsi="Arial Narrow" w:cs="Times New Roman"/>
        </w:rPr>
        <w:t>ss, and</w:t>
      </w:r>
      <w:r w:rsidRPr="008830B0">
        <w:rPr>
          <w:rFonts w:ascii="Arial Narrow" w:eastAsia="Times New Roman" w:hAnsi="Arial Narrow" w:cs="Times New Roman"/>
        </w:rPr>
        <w:t xml:space="preserve"> growth</w:t>
      </w:r>
      <w:r w:rsidR="007441B6">
        <w:rPr>
          <w:rFonts w:ascii="Arial Narrow" w:eastAsia="Times New Roman" w:hAnsi="Arial Narrow" w:cs="Times New Roman"/>
        </w:rPr>
        <w:t xml:space="preserve"> dynamics</w:t>
      </w:r>
      <w:r w:rsidRPr="008830B0">
        <w:rPr>
          <w:rFonts w:ascii="Arial Narrow" w:eastAsia="Times New Roman" w:hAnsi="Arial Narrow" w:cs="Times New Roman"/>
        </w:rPr>
        <w:t xml:space="preserve"> in Sub-Saharan Africa (</w:t>
      </w:r>
      <w:r w:rsidR="00556559">
        <w:rPr>
          <w:rFonts w:ascii="Arial Narrow" w:eastAsia="Times New Roman" w:hAnsi="Arial Narrow" w:cs="Times New Roman"/>
        </w:rPr>
        <w:t xml:space="preserve">SSA). Using </w:t>
      </w:r>
      <w:r w:rsidRPr="008830B0">
        <w:rPr>
          <w:rFonts w:ascii="Arial Narrow" w:eastAsia="Times New Roman" w:hAnsi="Arial Narrow" w:cs="Times New Roman"/>
        </w:rPr>
        <w:t xml:space="preserve">Fixed Effects and Bias-Corrected </w:t>
      </w:r>
      <w:r w:rsidR="00556559">
        <w:rPr>
          <w:rFonts w:ascii="Arial Narrow" w:eastAsia="Times New Roman" w:hAnsi="Arial Narrow" w:cs="Times New Roman"/>
        </w:rPr>
        <w:t xml:space="preserve">Dynamic Panel </w:t>
      </w:r>
      <w:r w:rsidRPr="008830B0">
        <w:rPr>
          <w:rFonts w:ascii="Arial Narrow" w:eastAsia="Times New Roman" w:hAnsi="Arial Narrow" w:cs="Times New Roman"/>
        </w:rPr>
        <w:t>models</w:t>
      </w:r>
      <w:r w:rsidR="00612CF0">
        <w:rPr>
          <w:rFonts w:ascii="Arial Narrow" w:eastAsia="Times New Roman" w:hAnsi="Arial Narrow" w:cs="Times New Roman"/>
        </w:rPr>
        <w:t xml:space="preserve"> on </w:t>
      </w:r>
      <w:r w:rsidR="007441B6">
        <w:rPr>
          <w:rFonts w:ascii="Arial Narrow" w:eastAsia="Times New Roman" w:hAnsi="Arial Narrow" w:cs="Times New Roman"/>
        </w:rPr>
        <w:t xml:space="preserve">data spanning from 2000 to 2021, it investigates how quality institutions </w:t>
      </w:r>
      <w:r w:rsidR="007441B6" w:rsidRPr="008830B0">
        <w:rPr>
          <w:rFonts w:ascii="Arial Narrow" w:eastAsia="Times New Roman" w:hAnsi="Arial Narrow" w:cs="Times New Roman"/>
        </w:rPr>
        <w:t>and</w:t>
      </w:r>
      <w:r w:rsidRPr="008830B0">
        <w:rPr>
          <w:rFonts w:ascii="Arial Narrow" w:eastAsia="Times New Roman" w:hAnsi="Arial Narrow" w:cs="Times New Roman"/>
        </w:rPr>
        <w:t xml:space="preserve"> technological adoption influence key economic indicators, including private sector credit, gross capital formation, GDP growth, and trade openness.</w:t>
      </w:r>
      <w:r>
        <w:rPr>
          <w:rFonts w:ascii="Arial Narrow" w:eastAsia="Times New Roman" w:hAnsi="Arial Narrow" w:cs="Times New Roman"/>
        </w:rPr>
        <w:t xml:space="preserve"> </w:t>
      </w:r>
      <w:r w:rsidRPr="008830B0">
        <w:rPr>
          <w:rFonts w:ascii="Arial Narrow" w:eastAsia="Times New Roman" w:hAnsi="Arial Narrow" w:cs="Times New Roman"/>
        </w:rPr>
        <w:t>The findings highlight that financial develop</w:t>
      </w:r>
      <w:r w:rsidR="00B42E79">
        <w:rPr>
          <w:rFonts w:ascii="Arial Narrow" w:eastAsia="Times New Roman" w:hAnsi="Arial Narrow" w:cs="Times New Roman"/>
        </w:rPr>
        <w:t>ment drives credit expansion,</w:t>
      </w:r>
      <w:r w:rsidRPr="008830B0">
        <w:rPr>
          <w:rFonts w:ascii="Arial Narrow" w:eastAsia="Times New Roman" w:hAnsi="Arial Narrow" w:cs="Times New Roman"/>
        </w:rPr>
        <w:t xml:space="preserve"> facilitating resource mobilization and global int</w:t>
      </w:r>
      <w:r w:rsidR="00817565">
        <w:rPr>
          <w:rFonts w:ascii="Arial Narrow" w:eastAsia="Times New Roman" w:hAnsi="Arial Narrow" w:cs="Times New Roman"/>
        </w:rPr>
        <w:t xml:space="preserve">egration. Institutional quality </w:t>
      </w:r>
      <w:r w:rsidRPr="008830B0">
        <w:rPr>
          <w:rFonts w:ascii="Arial Narrow" w:eastAsia="Times New Roman" w:hAnsi="Arial Narrow" w:cs="Times New Roman"/>
        </w:rPr>
        <w:t>particularly in regulator</w:t>
      </w:r>
      <w:r w:rsidR="00817565">
        <w:rPr>
          <w:rFonts w:ascii="Arial Narrow" w:eastAsia="Times New Roman" w:hAnsi="Arial Narrow" w:cs="Times New Roman"/>
        </w:rPr>
        <w:t xml:space="preserve">y frameworks and accountability </w:t>
      </w:r>
      <w:r w:rsidRPr="008830B0">
        <w:rPr>
          <w:rFonts w:ascii="Arial Narrow" w:eastAsia="Times New Roman" w:hAnsi="Arial Narrow" w:cs="Times New Roman"/>
        </w:rPr>
        <w:t xml:space="preserve">boosts investment and trade, showcasing the benefits of sound governance. Human capital, measured through education, emerges as a strong determinant of GDP growth, while the synergy between institutional quality and AI readiness positively impacts growth dynamics, illustrating the importance of governance in leveraging technology. </w:t>
      </w:r>
      <w:r w:rsidR="00556559">
        <w:rPr>
          <w:rFonts w:ascii="Arial Narrow" w:eastAsia="Times New Roman" w:hAnsi="Arial Narrow" w:cs="Times New Roman"/>
        </w:rPr>
        <w:t xml:space="preserve"> </w:t>
      </w:r>
      <w:r w:rsidR="00556559" w:rsidRPr="00DA502C">
        <w:rPr>
          <w:rFonts w:ascii="Arial Narrow" w:eastAsia="Times New Roman" w:hAnsi="Arial Narrow" w:cs="Times New Roman"/>
        </w:rPr>
        <w:t>The robustness checks further reinforce these findings by focusing on the top-performing countries in ter</w:t>
      </w:r>
      <w:r w:rsidR="00556559" w:rsidRPr="000754F9">
        <w:rPr>
          <w:rFonts w:ascii="Arial Narrow" w:eastAsia="Times New Roman" w:hAnsi="Arial Narrow" w:cs="Times New Roman"/>
        </w:rPr>
        <w:t>ms of institutional development</w:t>
      </w:r>
      <w:r w:rsidR="00556559" w:rsidRPr="00DA502C">
        <w:rPr>
          <w:rFonts w:ascii="Arial Narrow" w:eastAsia="Times New Roman" w:hAnsi="Arial Narrow" w:cs="Times New Roman"/>
        </w:rPr>
        <w:t>. In these contexts, the interaction between institutional quality and AI readiness shows a stronger and more consistent positive effect on growth, confirming the transformative potential of well-governed environments</w:t>
      </w:r>
      <w:r w:rsidR="00556559" w:rsidRPr="000754F9">
        <w:rPr>
          <w:rFonts w:ascii="Arial Narrow" w:eastAsia="Times New Roman" w:hAnsi="Arial Narrow" w:cs="Times New Roman"/>
        </w:rPr>
        <w:t>.</w:t>
      </w:r>
      <w:r w:rsidR="00206EB1">
        <w:rPr>
          <w:rFonts w:ascii="Arial Narrow" w:eastAsia="Times New Roman" w:hAnsi="Arial Narrow" w:cs="Times New Roman"/>
        </w:rPr>
        <w:t xml:space="preserve"> </w:t>
      </w:r>
      <w:r w:rsidR="000754F9">
        <w:rPr>
          <w:rFonts w:ascii="Arial Narrow" w:eastAsia="Times New Roman" w:hAnsi="Arial Narrow" w:cs="Times New Roman"/>
        </w:rPr>
        <w:t xml:space="preserve">Policy recommendations </w:t>
      </w:r>
      <w:r w:rsidR="00B42E79">
        <w:rPr>
          <w:rFonts w:ascii="Arial Narrow" w:eastAsia="Times New Roman" w:hAnsi="Arial Narrow" w:cs="Times New Roman"/>
        </w:rPr>
        <w:t xml:space="preserve">raised on the findings </w:t>
      </w:r>
      <w:r w:rsidR="000754F9">
        <w:rPr>
          <w:rFonts w:ascii="Arial Narrow" w:eastAsia="Times New Roman" w:hAnsi="Arial Narrow" w:cs="Times New Roman"/>
        </w:rPr>
        <w:t>emphasize the need for</w:t>
      </w:r>
      <w:r w:rsidR="00B42E79">
        <w:rPr>
          <w:rFonts w:ascii="Arial Narrow" w:eastAsia="Times New Roman" w:hAnsi="Arial Narrow" w:cs="Times New Roman"/>
        </w:rPr>
        <w:t xml:space="preserve"> further</w:t>
      </w:r>
      <w:r w:rsidRPr="008830B0">
        <w:rPr>
          <w:rFonts w:ascii="Arial Narrow" w:eastAsia="Times New Roman" w:hAnsi="Arial Narrow" w:cs="Times New Roman"/>
        </w:rPr>
        <w:t xml:space="preserve"> institutional reforms to strengthen regulatory quality, </w:t>
      </w:r>
      <w:r w:rsidR="00206EB1">
        <w:rPr>
          <w:rFonts w:ascii="Arial Narrow" w:eastAsia="Times New Roman" w:hAnsi="Arial Narrow" w:cs="Times New Roman"/>
        </w:rPr>
        <w:t>foster</w:t>
      </w:r>
      <w:r w:rsidRPr="008830B0">
        <w:rPr>
          <w:rFonts w:ascii="Arial Narrow" w:eastAsia="Times New Roman" w:hAnsi="Arial Narrow" w:cs="Times New Roman"/>
        </w:rPr>
        <w:t xml:space="preserve"> AI adoption in</w:t>
      </w:r>
      <w:r w:rsidR="000754F9">
        <w:rPr>
          <w:rFonts w:ascii="Arial Narrow" w:eastAsia="Times New Roman" w:hAnsi="Arial Narrow" w:cs="Times New Roman"/>
        </w:rPr>
        <w:t xml:space="preserve"> various </w:t>
      </w:r>
      <w:r w:rsidR="000754F9" w:rsidRPr="008830B0">
        <w:rPr>
          <w:rFonts w:ascii="Arial Narrow" w:eastAsia="Times New Roman" w:hAnsi="Arial Narrow" w:cs="Times New Roman"/>
        </w:rPr>
        <w:t>sectors</w:t>
      </w:r>
      <w:r w:rsidR="000754F9">
        <w:rPr>
          <w:rFonts w:ascii="Arial Narrow" w:eastAsia="Times New Roman" w:hAnsi="Arial Narrow" w:cs="Times New Roman"/>
        </w:rPr>
        <w:t xml:space="preserve"> of the economy</w:t>
      </w:r>
      <w:r w:rsidRPr="008830B0">
        <w:rPr>
          <w:rFonts w:ascii="Arial Narrow" w:eastAsia="Times New Roman" w:hAnsi="Arial Narrow" w:cs="Times New Roman"/>
        </w:rPr>
        <w:t xml:space="preserve">, </w:t>
      </w:r>
      <w:r w:rsidR="00206EB1">
        <w:rPr>
          <w:rFonts w:ascii="Arial Narrow" w:eastAsia="Times New Roman" w:hAnsi="Arial Narrow" w:cs="Times New Roman"/>
        </w:rPr>
        <w:t>expand</w:t>
      </w:r>
      <w:r w:rsidRPr="008830B0">
        <w:rPr>
          <w:rFonts w:ascii="Arial Narrow" w:eastAsia="Times New Roman" w:hAnsi="Arial Narrow" w:cs="Times New Roman"/>
        </w:rPr>
        <w:t xml:space="preserve"> digital literacy, and </w:t>
      </w:r>
      <w:r w:rsidR="000754F9">
        <w:rPr>
          <w:rFonts w:ascii="Arial Narrow" w:eastAsia="Times New Roman" w:hAnsi="Arial Narrow" w:cs="Times New Roman"/>
        </w:rPr>
        <w:t>enhance</w:t>
      </w:r>
      <w:r w:rsidRPr="008830B0">
        <w:rPr>
          <w:rFonts w:ascii="Arial Narrow" w:eastAsia="Times New Roman" w:hAnsi="Arial Narrow" w:cs="Times New Roman"/>
        </w:rPr>
        <w:t xml:space="preserve"> access to ed</w:t>
      </w:r>
      <w:r w:rsidR="000754F9">
        <w:rPr>
          <w:rFonts w:ascii="Arial Narrow" w:eastAsia="Times New Roman" w:hAnsi="Arial Narrow" w:cs="Times New Roman"/>
        </w:rPr>
        <w:t>ucation and financial services</w:t>
      </w:r>
      <w:r w:rsidR="00784918">
        <w:rPr>
          <w:rFonts w:ascii="Arial Narrow" w:eastAsia="Times New Roman" w:hAnsi="Arial Narrow" w:cs="Times New Roman"/>
        </w:rPr>
        <w:t xml:space="preserve"> </w:t>
      </w:r>
      <w:r w:rsidR="00784918" w:rsidRPr="008830B0">
        <w:rPr>
          <w:rFonts w:ascii="Arial Narrow" w:eastAsia="Times New Roman" w:hAnsi="Arial Narrow" w:cs="Times New Roman"/>
        </w:rPr>
        <w:t>in Sub-Saharan Africa</w:t>
      </w:r>
      <w:r w:rsidRPr="008830B0">
        <w:rPr>
          <w:rFonts w:ascii="Arial Narrow" w:eastAsia="Times New Roman" w:hAnsi="Arial Narrow" w:cs="Times New Roman"/>
        </w:rPr>
        <w:t>. Future research should explore</w:t>
      </w:r>
      <w:r w:rsidR="000754F9">
        <w:rPr>
          <w:rFonts w:ascii="Arial Narrow" w:eastAsia="Times New Roman" w:hAnsi="Arial Narrow" w:cs="Times New Roman"/>
        </w:rPr>
        <w:t xml:space="preserve"> the</w:t>
      </w:r>
      <w:r w:rsidRPr="008830B0">
        <w:rPr>
          <w:rFonts w:ascii="Arial Narrow" w:eastAsia="Times New Roman" w:hAnsi="Arial Narrow" w:cs="Times New Roman"/>
        </w:rPr>
        <w:t xml:space="preserve"> sector-specific impacts and the </w:t>
      </w:r>
      <w:r w:rsidR="00B42E79" w:rsidRPr="008830B0">
        <w:rPr>
          <w:rFonts w:ascii="Arial Narrow" w:eastAsia="Times New Roman" w:hAnsi="Arial Narrow" w:cs="Times New Roman"/>
        </w:rPr>
        <w:t>interaction</w:t>
      </w:r>
      <w:r w:rsidRPr="008830B0">
        <w:rPr>
          <w:rFonts w:ascii="Arial Narrow" w:eastAsia="Times New Roman" w:hAnsi="Arial Narrow" w:cs="Times New Roman"/>
        </w:rPr>
        <w:t xml:space="preserve"> between institutional quality, AI, and climate adaptation strategies</w:t>
      </w:r>
      <w:r w:rsidR="000754F9">
        <w:rPr>
          <w:rFonts w:ascii="Arial Narrow" w:eastAsia="Times New Roman" w:hAnsi="Arial Narrow" w:cs="Times New Roman"/>
        </w:rPr>
        <w:t xml:space="preserve"> in Sub-Saharan Countries.</w:t>
      </w:r>
    </w:p>
    <w:p w:rsidR="00934A6E" w:rsidRPr="008830B0" w:rsidRDefault="008830B0" w:rsidP="008830B0">
      <w:pPr>
        <w:rPr>
          <w:rFonts w:ascii="Arial Narrow" w:eastAsia="Times New Roman" w:hAnsi="Arial Narrow" w:cs="Times New Roman"/>
        </w:rPr>
      </w:pPr>
      <w:r w:rsidRPr="008830B0">
        <w:rPr>
          <w:rFonts w:ascii="Arial Narrow" w:hAnsi="Arial Narrow"/>
          <w:b/>
        </w:rPr>
        <w:t>Keywords:</w:t>
      </w:r>
      <w:r w:rsidRPr="008830B0">
        <w:rPr>
          <w:rFonts w:ascii="Arial Narrow" w:hAnsi="Arial Narrow"/>
        </w:rPr>
        <w:t xml:space="preserve"> </w:t>
      </w:r>
      <w:r w:rsidRPr="008830B0">
        <w:rPr>
          <w:rFonts w:ascii="Arial Narrow" w:eastAsia="Times New Roman" w:hAnsi="Arial Narrow" w:cs="Times New Roman"/>
        </w:rPr>
        <w:t xml:space="preserve"> Institutional Quality,</w:t>
      </w:r>
      <w:r>
        <w:rPr>
          <w:rFonts w:ascii="Arial Narrow" w:eastAsia="Times New Roman" w:hAnsi="Arial Narrow" w:cs="Times New Roman"/>
        </w:rPr>
        <w:t xml:space="preserve"> </w:t>
      </w:r>
      <w:r w:rsidRPr="008830B0">
        <w:rPr>
          <w:rFonts w:ascii="Arial Narrow" w:eastAsia="Times New Roman" w:hAnsi="Arial Narrow" w:cs="Times New Roman"/>
        </w:rPr>
        <w:t>Artificial Intelligence Readiness, Economic Growth</w:t>
      </w:r>
    </w:p>
    <w:p w:rsidR="00596508" w:rsidRPr="000754F9" w:rsidRDefault="008830B0" w:rsidP="000754F9">
      <w:pPr>
        <w:rPr>
          <w:rFonts w:ascii="Arial Narrow" w:eastAsia="Times New Roman" w:hAnsi="Arial Narrow" w:cs="Times New Roman"/>
        </w:rPr>
      </w:pPr>
      <w:r w:rsidRPr="008830B0">
        <w:rPr>
          <w:rFonts w:ascii="Arial Narrow" w:hAnsi="Arial Narrow"/>
          <w:b/>
        </w:rPr>
        <w:t>JEL codes:</w:t>
      </w:r>
      <w:r w:rsidRPr="008830B0">
        <w:rPr>
          <w:rStyle w:val="Heading3Char"/>
          <w:rFonts w:ascii="Arial Narrow" w:eastAsiaTheme="minorHAnsi" w:hAnsi="Arial Narrow"/>
          <w:sz w:val="22"/>
          <w:szCs w:val="22"/>
        </w:rPr>
        <w:t xml:space="preserve"> </w:t>
      </w:r>
      <w:r w:rsidRPr="008830B0">
        <w:rPr>
          <w:rStyle w:val="Strong"/>
          <w:rFonts w:ascii="Arial Narrow" w:hAnsi="Arial Narrow"/>
          <w:b w:val="0"/>
        </w:rPr>
        <w:t>O43</w:t>
      </w:r>
      <w:r w:rsidRPr="008830B0">
        <w:rPr>
          <w:rFonts w:ascii="Arial Narrow" w:hAnsi="Arial Narrow"/>
          <w:b/>
        </w:rPr>
        <w:t>,</w:t>
      </w:r>
      <w:r w:rsidRPr="008830B0">
        <w:rPr>
          <w:rStyle w:val="Heading3Char"/>
          <w:rFonts w:ascii="Arial Narrow" w:eastAsiaTheme="minorHAnsi" w:hAnsi="Arial Narrow"/>
          <w:b w:val="0"/>
          <w:sz w:val="22"/>
          <w:szCs w:val="22"/>
        </w:rPr>
        <w:t xml:space="preserve"> </w:t>
      </w:r>
      <w:r w:rsidRPr="008830B0">
        <w:rPr>
          <w:rStyle w:val="Strong"/>
          <w:rFonts w:ascii="Arial Narrow" w:hAnsi="Arial Narrow"/>
          <w:b w:val="0"/>
        </w:rPr>
        <w:t>O33</w:t>
      </w:r>
      <w:r w:rsidRPr="008830B0">
        <w:rPr>
          <w:rFonts w:ascii="Arial Narrow" w:hAnsi="Arial Narrow"/>
          <w:b/>
        </w:rPr>
        <w:t>,</w:t>
      </w:r>
      <w:r w:rsidRPr="008830B0">
        <w:rPr>
          <w:rStyle w:val="Heading3Char"/>
          <w:rFonts w:ascii="Arial Narrow" w:eastAsiaTheme="minorHAnsi" w:hAnsi="Arial Narrow"/>
          <w:b w:val="0"/>
          <w:sz w:val="22"/>
          <w:szCs w:val="22"/>
        </w:rPr>
        <w:t xml:space="preserve"> </w:t>
      </w:r>
      <w:r w:rsidRPr="008830B0">
        <w:rPr>
          <w:rStyle w:val="Strong"/>
          <w:rFonts w:ascii="Arial Narrow" w:hAnsi="Arial Narrow"/>
          <w:b w:val="0"/>
        </w:rPr>
        <w:t>E61</w:t>
      </w:r>
    </w:p>
    <w:p w:rsidR="008830B0" w:rsidRDefault="009166A0" w:rsidP="00596508">
      <w:pPr>
        <w:pStyle w:val="ListParagraph"/>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61032</wp:posOffset>
                </wp:positionV>
                <wp:extent cx="577979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7797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F95D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5pt,4.8pt" to="457.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" strokecolor="black [3200]">
                <v:stroke joinstyle="miter"/>
              </v:line>
            </w:pict>
          </mc:Fallback>
        </mc:AlternateContent>
      </w:r>
    </w:p>
    <w:p w:rsidR="008830B0" w:rsidRPr="00596508" w:rsidRDefault="008830B0" w:rsidP="00596508">
      <w:pPr>
        <w:pStyle w:val="ListParagraph"/>
        <w:rPr>
          <w:b/>
        </w:rPr>
      </w:pPr>
    </w:p>
    <w:p w:rsidR="007F3966" w:rsidRPr="001D6EE6" w:rsidRDefault="00717997" w:rsidP="000D0EF7">
      <w:pPr>
        <w:pStyle w:val="ListParagraph"/>
        <w:numPr>
          <w:ilvl w:val="0"/>
          <w:numId w:val="2"/>
        </w:numPr>
        <w:rPr>
          <w:rFonts w:ascii="Arial Narrow" w:hAnsi="Arial Narrow"/>
          <w:b/>
        </w:rPr>
      </w:pPr>
      <w:r w:rsidRPr="001D6EE6">
        <w:rPr>
          <w:rFonts w:ascii="Arial Narrow" w:hAnsi="Arial Narrow"/>
          <w:b/>
        </w:rPr>
        <w:t>Introduction</w:t>
      </w:r>
    </w:p>
    <w:p w:rsidR="007F3966" w:rsidRPr="007F3966" w:rsidRDefault="007F3966" w:rsidP="00EB0DD7">
      <w:pPr>
        <w:spacing w:before="100" w:beforeAutospacing="1" w:after="100" w:afterAutospacing="1" w:line="276" w:lineRule="auto"/>
        <w:jc w:val="both"/>
        <w:rPr>
          <w:rFonts w:ascii="Arial Narrow" w:eastAsia="Times New Roman" w:hAnsi="Arial Narrow" w:cs="Times New Roman"/>
        </w:rPr>
      </w:pPr>
      <w:r w:rsidRPr="007F3966">
        <w:rPr>
          <w:rFonts w:ascii="Arial Narrow" w:eastAsia="Times New Roman" w:hAnsi="Arial Narrow" w:cs="Times New Roman"/>
        </w:rPr>
        <w:t>Economic growth is a central goal for Sub-Saharan Africa (SSA), yet the region continues to face persistent challenges in translating its potential into sustaine</w:t>
      </w:r>
      <w:r w:rsidR="00BA1D43" w:rsidRPr="00EB0DD7">
        <w:rPr>
          <w:rFonts w:ascii="Arial Narrow" w:eastAsia="Times New Roman" w:hAnsi="Arial Narrow" w:cs="Times New Roman"/>
        </w:rPr>
        <w:t>d, inclusive growth</w:t>
      </w:r>
      <w:r w:rsidRPr="007F3966">
        <w:rPr>
          <w:rFonts w:ascii="Arial Narrow" w:eastAsia="Times New Roman" w:hAnsi="Arial Narrow" w:cs="Times New Roman"/>
        </w:rPr>
        <w:t>. Despite hav</w:t>
      </w:r>
      <w:r w:rsidR="00BA1D43" w:rsidRPr="00EB0DD7">
        <w:rPr>
          <w:rFonts w:ascii="Arial Narrow" w:eastAsia="Times New Roman" w:hAnsi="Arial Narrow" w:cs="Times New Roman"/>
        </w:rPr>
        <w:t xml:space="preserve">ing abundant natural resources and a youthful population, </w:t>
      </w:r>
      <w:r w:rsidR="00BA1D43" w:rsidRPr="007F3966">
        <w:rPr>
          <w:rFonts w:ascii="Arial Narrow" w:eastAsia="Times New Roman" w:hAnsi="Arial Narrow" w:cs="Times New Roman"/>
        </w:rPr>
        <w:t>Sub-Saharan Africa</w:t>
      </w:r>
      <w:r w:rsidRPr="007F3966">
        <w:rPr>
          <w:rFonts w:ascii="Arial Narrow" w:eastAsia="Times New Roman" w:hAnsi="Arial Narrow" w:cs="Times New Roman"/>
        </w:rPr>
        <w:t>’</w:t>
      </w:r>
      <w:r w:rsidR="00BA1D43" w:rsidRPr="00EB0DD7">
        <w:rPr>
          <w:rFonts w:ascii="Arial Narrow" w:eastAsia="Times New Roman" w:hAnsi="Arial Narrow" w:cs="Times New Roman"/>
        </w:rPr>
        <w:t>s economic growth</w:t>
      </w:r>
      <w:r w:rsidRPr="007F3966">
        <w:rPr>
          <w:rFonts w:ascii="Arial Narrow" w:eastAsia="Times New Roman" w:hAnsi="Arial Narrow" w:cs="Times New Roman"/>
        </w:rPr>
        <w:t xml:space="preserve"> remains constrained by a combin</w:t>
      </w:r>
      <w:r w:rsidR="00BA1D43" w:rsidRPr="00EB0DD7">
        <w:rPr>
          <w:rFonts w:ascii="Arial Narrow" w:eastAsia="Times New Roman" w:hAnsi="Arial Narrow" w:cs="Times New Roman"/>
        </w:rPr>
        <w:t>ation of weak institutions, insufficient</w:t>
      </w:r>
      <w:r w:rsidRPr="007F3966">
        <w:rPr>
          <w:rFonts w:ascii="Arial Narrow" w:eastAsia="Times New Roman" w:hAnsi="Arial Narrow" w:cs="Times New Roman"/>
        </w:rPr>
        <w:t xml:space="preserve"> infrastructure, and political instability. These factors, compounded by external economic shocks, have often hindered the region’s ability to achieve the levels of growth seen in other emerging markets. While recent years have seen promising growth trajectories in countries such as Rwanda, Ghana, and Ethiopia, SSA as a whole remains plagued by structural challenges, including low le</w:t>
      </w:r>
      <w:r w:rsidR="00353EB7" w:rsidRPr="00EB0DD7">
        <w:rPr>
          <w:rFonts w:ascii="Arial Narrow" w:eastAsia="Times New Roman" w:hAnsi="Arial Narrow" w:cs="Times New Roman"/>
        </w:rPr>
        <w:t>vels of financial development</w:t>
      </w:r>
      <w:r w:rsidRPr="007F3966">
        <w:rPr>
          <w:rFonts w:ascii="Arial Narrow" w:eastAsia="Times New Roman" w:hAnsi="Arial Narrow" w:cs="Times New Roman"/>
        </w:rPr>
        <w:t>, weak governance, and inadequate regulatory frameworks</w:t>
      </w:r>
      <w:sdt>
        <w:sdtPr>
          <w:rPr>
            <w:rFonts w:ascii="Arial Narrow" w:eastAsia="Times New Roman" w:hAnsi="Arial Narrow" w:cs="Times New Roman"/>
          </w:rPr>
          <w:id w:val="-1312175108"/>
          <w:citation/>
        </w:sdtPr>
        <w:sdtEndPr/>
        <w:sdtContent>
          <w:r w:rsidR="00077CDC">
            <w:rPr>
              <w:rFonts w:ascii="Arial Narrow" w:eastAsia="Times New Roman" w:hAnsi="Arial Narrow" w:cs="Times New Roman"/>
            </w:rPr>
            <w:fldChar w:fldCharType="begin"/>
          </w:r>
          <w:r w:rsidR="00B30AC7">
            <w:rPr>
              <w:rFonts w:ascii="Arial Narrow" w:eastAsia="Times New Roman" w:hAnsi="Arial Narrow" w:cs="Times New Roman"/>
            </w:rPr>
            <w:instrText xml:space="preserve">CITATION Deb24 \l 1033 </w:instrText>
          </w:r>
          <w:r w:rsidR="00077CDC">
            <w:rPr>
              <w:rFonts w:ascii="Arial Narrow" w:eastAsia="Times New Roman" w:hAnsi="Arial Narrow" w:cs="Times New Roman"/>
            </w:rPr>
            <w:fldChar w:fldCharType="separate"/>
          </w:r>
          <w:r w:rsidR="00B30AC7">
            <w:rPr>
              <w:rFonts w:ascii="Arial Narrow" w:eastAsia="Times New Roman" w:hAnsi="Arial Narrow" w:cs="Times New Roman"/>
              <w:noProof/>
            </w:rPr>
            <w:t xml:space="preserve"> </w:t>
          </w:r>
          <w:r w:rsidR="00B30AC7" w:rsidRPr="00B30AC7">
            <w:rPr>
              <w:rFonts w:ascii="Arial Narrow" w:eastAsia="Times New Roman" w:hAnsi="Arial Narrow" w:cs="Times New Roman"/>
              <w:noProof/>
            </w:rPr>
            <w:t>(Deborah, Gael, Michael , &amp; Diane, 2024)</w:t>
          </w:r>
          <w:r w:rsidR="00077CDC">
            <w:rPr>
              <w:rFonts w:ascii="Arial Narrow" w:eastAsia="Times New Roman" w:hAnsi="Arial Narrow" w:cs="Times New Roman"/>
            </w:rPr>
            <w:fldChar w:fldCharType="end"/>
          </w:r>
        </w:sdtContent>
      </w:sdt>
      <w:r w:rsidRPr="007F3966">
        <w:rPr>
          <w:rFonts w:ascii="Arial Narrow" w:eastAsia="Times New Roman" w:hAnsi="Arial Narrow" w:cs="Times New Roman"/>
        </w:rPr>
        <w:t>.</w:t>
      </w:r>
    </w:p>
    <w:p w:rsidR="007F3966" w:rsidRPr="007F3966" w:rsidRDefault="007F3966" w:rsidP="00EB0DD7">
      <w:pPr>
        <w:spacing w:before="100" w:beforeAutospacing="1" w:after="100" w:afterAutospacing="1" w:line="276" w:lineRule="auto"/>
        <w:jc w:val="both"/>
        <w:rPr>
          <w:rFonts w:ascii="Arial Narrow" w:eastAsia="Times New Roman" w:hAnsi="Arial Narrow" w:cs="Times New Roman"/>
        </w:rPr>
      </w:pPr>
      <w:r w:rsidRPr="007F3966">
        <w:rPr>
          <w:rFonts w:ascii="Arial Narrow" w:eastAsia="Times New Roman" w:hAnsi="Arial Narrow" w:cs="Times New Roman"/>
        </w:rPr>
        <w:lastRenderedPageBreak/>
        <w:t xml:space="preserve">A key determinant of economic performance is institutional quality, which encompasses governance structures, the rule of law, property rights, and regulatory efficiency. Institutions shape the economic environment, influencing the effectiveness of policies, the efficiency of financial markets, and the overall investment climate. Countries with robust institutions tend to experience higher levels of economic growth, improved public service delivery, and more </w:t>
      </w:r>
      <w:r w:rsidR="00077CDC">
        <w:rPr>
          <w:rFonts w:ascii="Arial Narrow" w:eastAsia="Times New Roman" w:hAnsi="Arial Narrow" w:cs="Times New Roman"/>
        </w:rPr>
        <w:t xml:space="preserve">inclusive development outcomes </w:t>
      </w:r>
      <w:r w:rsidR="00077CDC" w:rsidRPr="00077CDC">
        <w:rPr>
          <w:rFonts w:ascii="Arial Narrow" w:eastAsia="Times New Roman" w:hAnsi="Arial Narrow" w:cs="Times New Roman"/>
          <w:noProof/>
        </w:rPr>
        <w:t>(North, 1990</w:t>
      </w:r>
      <w:r w:rsidR="00077CDC">
        <w:rPr>
          <w:rFonts w:ascii="Arial Narrow" w:eastAsia="Times New Roman" w:hAnsi="Arial Narrow" w:cs="Times New Roman"/>
          <w:noProof/>
        </w:rPr>
        <w:t>,</w:t>
      </w:r>
      <w:r w:rsidR="00077CDC" w:rsidRPr="00077CDC">
        <w:rPr>
          <w:rFonts w:ascii="Arial Narrow" w:eastAsia="Times New Roman" w:hAnsi="Arial Narrow" w:cs="Times New Roman"/>
          <w:noProof/>
        </w:rPr>
        <w:t>Acemoglu, Jo</w:t>
      </w:r>
      <w:r w:rsidR="00D803BF">
        <w:rPr>
          <w:rFonts w:ascii="Arial Narrow" w:eastAsia="Times New Roman" w:hAnsi="Arial Narrow" w:cs="Times New Roman"/>
          <w:noProof/>
        </w:rPr>
        <w:t>hnson, S, &amp; Robinson,J. A, 2020</w:t>
      </w:r>
      <w:r w:rsidR="00077CDC" w:rsidRPr="00077CDC">
        <w:rPr>
          <w:rFonts w:ascii="Arial Narrow" w:eastAsia="Times New Roman" w:hAnsi="Arial Narrow" w:cs="Times New Roman"/>
          <w:noProof/>
        </w:rPr>
        <w:t>)</w:t>
      </w:r>
      <w:r w:rsidRPr="007F3966">
        <w:rPr>
          <w:rFonts w:ascii="Arial Narrow" w:eastAsia="Times New Roman" w:hAnsi="Arial Narrow" w:cs="Times New Roman"/>
        </w:rPr>
        <w:t>. Conversely, weak institutions often stymie growth, exacerbate inequality, and reduce a country’s</w:t>
      </w:r>
      <w:r w:rsidR="00526236">
        <w:rPr>
          <w:rFonts w:ascii="Arial Narrow" w:eastAsia="Times New Roman" w:hAnsi="Arial Narrow" w:cs="Times New Roman"/>
        </w:rPr>
        <w:t xml:space="preserve"> ability to attract investment </w:t>
      </w:r>
      <w:sdt>
        <w:sdtPr>
          <w:rPr>
            <w:rFonts w:ascii="Arial Narrow" w:eastAsia="Times New Roman" w:hAnsi="Arial Narrow" w:cs="Times New Roman"/>
          </w:rPr>
          <w:id w:val="-469518255"/>
          <w:citation/>
        </w:sdtPr>
        <w:sdtEndPr/>
        <w:sdtContent>
          <w:r w:rsidR="00526236">
            <w:rPr>
              <w:rFonts w:ascii="Arial Narrow" w:eastAsia="Times New Roman" w:hAnsi="Arial Narrow" w:cs="Times New Roman"/>
            </w:rPr>
            <w:fldChar w:fldCharType="begin"/>
          </w:r>
          <w:r w:rsidR="00526236">
            <w:rPr>
              <w:rFonts w:ascii="Arial Narrow" w:eastAsia="Times New Roman" w:hAnsi="Arial Narrow" w:cs="Times New Roman"/>
            </w:rPr>
            <w:instrText xml:space="preserve"> CITATION Rod18 \l 1033 </w:instrText>
          </w:r>
          <w:r w:rsidR="00526236">
            <w:rPr>
              <w:rFonts w:ascii="Arial Narrow" w:eastAsia="Times New Roman" w:hAnsi="Arial Narrow" w:cs="Times New Roman"/>
            </w:rPr>
            <w:fldChar w:fldCharType="separate"/>
          </w:r>
          <w:r w:rsidR="00526236" w:rsidRPr="00526236">
            <w:rPr>
              <w:rFonts w:ascii="Arial Narrow" w:eastAsia="Times New Roman" w:hAnsi="Arial Narrow" w:cs="Times New Roman"/>
              <w:noProof/>
            </w:rPr>
            <w:t>(Rodrik, 2018)</w:t>
          </w:r>
          <w:r w:rsidR="00526236">
            <w:rPr>
              <w:rFonts w:ascii="Arial Narrow" w:eastAsia="Times New Roman" w:hAnsi="Arial Narrow" w:cs="Times New Roman"/>
            </w:rPr>
            <w:fldChar w:fldCharType="end"/>
          </w:r>
        </w:sdtContent>
      </w:sdt>
      <w:r w:rsidRPr="007F3966">
        <w:rPr>
          <w:rFonts w:ascii="Arial Narrow" w:eastAsia="Times New Roman" w:hAnsi="Arial Narrow" w:cs="Times New Roman"/>
        </w:rPr>
        <w:t>. In this context, the role of institutions in fostering an environment conducive to technological advancement and economic transformation is of critical importance.</w:t>
      </w:r>
    </w:p>
    <w:p w:rsidR="007F3966" w:rsidRPr="007F3966" w:rsidRDefault="007F3966" w:rsidP="00EB0DD7">
      <w:pPr>
        <w:spacing w:before="100" w:beforeAutospacing="1" w:after="100" w:afterAutospacing="1" w:line="276" w:lineRule="auto"/>
        <w:jc w:val="both"/>
        <w:rPr>
          <w:rFonts w:ascii="Arial Narrow" w:eastAsia="Times New Roman" w:hAnsi="Arial Narrow" w:cs="Times New Roman"/>
        </w:rPr>
      </w:pPr>
      <w:r w:rsidRPr="007F3966">
        <w:rPr>
          <w:rFonts w:ascii="Arial Narrow" w:eastAsia="Times New Roman" w:hAnsi="Arial Narrow" w:cs="Times New Roman"/>
        </w:rPr>
        <w:t xml:space="preserve">The digital revolution, powered by innovations such as artificial intelligence (AI), offers substantial opportunities for economic growth, particularly in developing economies. AI holds the potential to transform key sectors such as agriculture, healthcare, education, and finance, driving efficiencies, improving public service delivery, and accelerating poverty reduction </w:t>
      </w:r>
      <w:r w:rsidR="00D71527" w:rsidRPr="00D71527">
        <w:rPr>
          <w:rFonts w:ascii="Arial Narrow" w:eastAsia="Times New Roman" w:hAnsi="Arial Narrow" w:cs="Times New Roman"/>
          <w:noProof/>
        </w:rPr>
        <w:t>(Brynjolfsson &amp; McAfee, A, 2014)</w:t>
      </w:r>
      <w:r w:rsidRPr="007F3966">
        <w:rPr>
          <w:rFonts w:ascii="Arial Narrow" w:eastAsia="Times New Roman" w:hAnsi="Arial Narrow" w:cs="Times New Roman"/>
        </w:rPr>
        <w:t xml:space="preserve">. However, the capacity of SSA countries to harness the benefits of AI is constrained by their readiness to adopt such technologies, which in turn is heavily influenced by the quality of their institutions. Effective governance, sound legal frameworks, and strong regulatory environments are prerequisites for successfully integrating AI into the economy. In this sense, AI readiness cannot be fully realized without the complementary strength of institutional frameworks capable of fostering innovation and technological adoption </w:t>
      </w:r>
      <w:sdt>
        <w:sdtPr>
          <w:rPr>
            <w:rFonts w:ascii="Arial Narrow" w:eastAsia="Times New Roman" w:hAnsi="Arial Narrow" w:cs="Times New Roman"/>
          </w:rPr>
          <w:id w:val="447736317"/>
          <w:citation/>
        </w:sdtPr>
        <w:sdtEndPr/>
        <w:sdtContent>
          <w:r w:rsidR="001816DF">
            <w:rPr>
              <w:rFonts w:ascii="Arial Narrow" w:eastAsia="Times New Roman" w:hAnsi="Arial Narrow" w:cs="Times New Roman"/>
            </w:rPr>
            <w:fldChar w:fldCharType="begin"/>
          </w:r>
          <w:r w:rsidR="001816DF">
            <w:rPr>
              <w:rFonts w:ascii="Arial Narrow" w:eastAsia="Times New Roman" w:hAnsi="Arial Narrow" w:cs="Times New Roman"/>
            </w:rPr>
            <w:instrText xml:space="preserve"> CITATION Fur20 \l 1033 </w:instrText>
          </w:r>
          <w:r w:rsidR="001816DF">
            <w:rPr>
              <w:rFonts w:ascii="Arial Narrow" w:eastAsia="Times New Roman" w:hAnsi="Arial Narrow" w:cs="Times New Roman"/>
            </w:rPr>
            <w:fldChar w:fldCharType="separate"/>
          </w:r>
          <w:r w:rsidR="001816DF" w:rsidRPr="001816DF">
            <w:rPr>
              <w:rFonts w:ascii="Arial Narrow" w:eastAsia="Times New Roman" w:hAnsi="Arial Narrow" w:cs="Times New Roman"/>
              <w:noProof/>
            </w:rPr>
            <w:t>(Furman &amp; Teodoridis, 2020)</w:t>
          </w:r>
          <w:r w:rsidR="001816DF">
            <w:rPr>
              <w:rFonts w:ascii="Arial Narrow" w:eastAsia="Times New Roman" w:hAnsi="Arial Narrow" w:cs="Times New Roman"/>
            </w:rPr>
            <w:fldChar w:fldCharType="end"/>
          </w:r>
        </w:sdtContent>
      </w:sdt>
      <w:r w:rsidRPr="007F3966">
        <w:rPr>
          <w:rFonts w:ascii="Arial Narrow" w:eastAsia="Times New Roman" w:hAnsi="Arial Narrow" w:cs="Times New Roman"/>
        </w:rPr>
        <w:t>.</w:t>
      </w:r>
    </w:p>
    <w:p w:rsidR="007F3966" w:rsidRPr="007F3966" w:rsidRDefault="007F3966" w:rsidP="00EB0DD7">
      <w:pPr>
        <w:spacing w:before="100" w:beforeAutospacing="1" w:after="100" w:afterAutospacing="1" w:line="276" w:lineRule="auto"/>
        <w:jc w:val="both"/>
        <w:rPr>
          <w:rFonts w:ascii="Arial Narrow" w:eastAsia="Times New Roman" w:hAnsi="Arial Narrow" w:cs="Times New Roman"/>
        </w:rPr>
      </w:pPr>
      <w:r w:rsidRPr="007F3966">
        <w:rPr>
          <w:rFonts w:ascii="Arial Narrow" w:eastAsia="Times New Roman" w:hAnsi="Arial Narrow" w:cs="Times New Roman"/>
        </w:rPr>
        <w:t xml:space="preserve">While both institutional quality and AI readiness have been widely studied in separate contexts, the intersection of these two factors remains underexplored in the literature. Research has typically treated institutional quality and AI adoption as distinct phenomena, either examining the former’s impact on economic performance </w:t>
      </w:r>
      <w:sdt>
        <w:sdtPr>
          <w:rPr>
            <w:rFonts w:ascii="Arial Narrow" w:eastAsia="Times New Roman" w:hAnsi="Arial Narrow" w:cs="Times New Roman"/>
          </w:rPr>
          <w:id w:val="463389896"/>
          <w:citation/>
        </w:sdtPr>
        <w:sdtEndPr/>
        <w:sdtContent>
          <w:r w:rsidR="006C12C4">
            <w:rPr>
              <w:rFonts w:ascii="Arial Narrow" w:eastAsia="Times New Roman" w:hAnsi="Arial Narrow" w:cs="Times New Roman"/>
            </w:rPr>
            <w:fldChar w:fldCharType="begin"/>
          </w:r>
          <w:r w:rsidR="006C12C4">
            <w:rPr>
              <w:rFonts w:ascii="Arial Narrow" w:eastAsia="Times New Roman" w:hAnsi="Arial Narrow" w:cs="Times New Roman"/>
            </w:rPr>
            <w:instrText xml:space="preserve"> CITATION Ace03 \l 1033 </w:instrText>
          </w:r>
          <w:r w:rsidR="006C12C4">
            <w:rPr>
              <w:rFonts w:ascii="Arial Narrow" w:eastAsia="Times New Roman" w:hAnsi="Arial Narrow" w:cs="Times New Roman"/>
            </w:rPr>
            <w:fldChar w:fldCharType="separate"/>
          </w:r>
          <w:r w:rsidR="006C12C4" w:rsidRPr="006C12C4">
            <w:rPr>
              <w:rFonts w:ascii="Arial Narrow" w:eastAsia="Times New Roman" w:hAnsi="Arial Narrow" w:cs="Times New Roman"/>
              <w:noProof/>
            </w:rPr>
            <w:t>(Acemoglu, Johnson, S, Robinson, J.A, &amp; Thaicharoen, Y, 2003)</w:t>
          </w:r>
          <w:r w:rsidR="006C12C4">
            <w:rPr>
              <w:rFonts w:ascii="Arial Narrow" w:eastAsia="Times New Roman" w:hAnsi="Arial Narrow" w:cs="Times New Roman"/>
            </w:rPr>
            <w:fldChar w:fldCharType="end"/>
          </w:r>
        </w:sdtContent>
      </w:sdt>
      <w:r w:rsidR="006C12C4">
        <w:rPr>
          <w:rFonts w:ascii="Arial Narrow" w:eastAsia="Times New Roman" w:hAnsi="Arial Narrow" w:cs="Times New Roman"/>
        </w:rPr>
        <w:t xml:space="preserve"> </w:t>
      </w:r>
      <w:r w:rsidRPr="007F3966">
        <w:rPr>
          <w:rFonts w:ascii="Arial Narrow" w:eastAsia="Times New Roman" w:hAnsi="Arial Narrow" w:cs="Times New Roman"/>
        </w:rPr>
        <w:t xml:space="preserve">or investigating the potential of AI in driving development without adequately considering the institutional environment in which it </w:t>
      </w:r>
      <w:r w:rsidRPr="003C7123">
        <w:rPr>
          <w:rFonts w:ascii="Arial Narrow" w:eastAsia="Times New Roman" w:hAnsi="Arial Narrow" w:cs="Times New Roman"/>
        </w:rPr>
        <w:t xml:space="preserve">must operate </w:t>
      </w:r>
      <w:sdt>
        <w:sdtPr>
          <w:rPr>
            <w:rFonts w:ascii="Arial Narrow" w:eastAsia="Times New Roman" w:hAnsi="Arial Narrow" w:cs="Times New Roman"/>
          </w:rPr>
          <w:id w:val="66770026"/>
          <w:citation/>
        </w:sdtPr>
        <w:sdtEndPr/>
        <w:sdtContent>
          <w:r w:rsidR="00363105" w:rsidRPr="003C7123">
            <w:rPr>
              <w:rFonts w:ascii="Arial Narrow" w:eastAsia="Times New Roman" w:hAnsi="Arial Narrow" w:cs="Times New Roman"/>
            </w:rPr>
            <w:fldChar w:fldCharType="begin"/>
          </w:r>
          <w:r w:rsidR="00363105" w:rsidRPr="003C7123">
            <w:rPr>
              <w:rFonts w:ascii="Arial Narrow" w:eastAsia="Times New Roman" w:hAnsi="Arial Narrow" w:cs="Times New Roman"/>
            </w:rPr>
            <w:instrText xml:space="preserve"> CITATION Ake10 \l 1033 </w:instrText>
          </w:r>
          <w:r w:rsidR="00363105" w:rsidRPr="003C7123">
            <w:rPr>
              <w:rFonts w:ascii="Arial Narrow" w:eastAsia="Times New Roman" w:hAnsi="Arial Narrow" w:cs="Times New Roman"/>
            </w:rPr>
            <w:fldChar w:fldCharType="separate"/>
          </w:r>
          <w:r w:rsidR="00363105" w:rsidRPr="003C7123">
            <w:rPr>
              <w:rFonts w:ascii="Arial Narrow" w:eastAsia="Times New Roman" w:hAnsi="Arial Narrow" w:cs="Times New Roman"/>
              <w:noProof/>
            </w:rPr>
            <w:t>(Aker &amp; Mbiti, I.M, 2010)</w:t>
          </w:r>
          <w:r w:rsidR="00363105" w:rsidRPr="003C7123">
            <w:rPr>
              <w:rFonts w:ascii="Arial Narrow" w:eastAsia="Times New Roman" w:hAnsi="Arial Narrow" w:cs="Times New Roman"/>
            </w:rPr>
            <w:fldChar w:fldCharType="end"/>
          </w:r>
        </w:sdtContent>
      </w:sdt>
      <w:r w:rsidR="004E2472">
        <w:rPr>
          <w:rFonts w:ascii="Arial Narrow" w:eastAsia="Times New Roman" w:hAnsi="Arial Narrow" w:cs="Times New Roman"/>
        </w:rPr>
        <w:t>.</w:t>
      </w:r>
      <w:r w:rsidRPr="007F3966">
        <w:rPr>
          <w:rFonts w:ascii="Arial Narrow" w:eastAsia="Times New Roman" w:hAnsi="Arial Narrow" w:cs="Times New Roman"/>
        </w:rPr>
        <w:t xml:space="preserve"> This paper seeks to fill this gap by investigating how institutional quality and AI readiness interact to influence economic growth in Sub-Saharan Africa. Specifically, it explores the relationship between these two factors and their combined effect on key economic indicators, including </w:t>
      </w:r>
      <w:r w:rsidR="00E97603" w:rsidRPr="00EB0DD7">
        <w:rPr>
          <w:rFonts w:ascii="Arial Narrow" w:eastAsia="Times New Roman" w:hAnsi="Arial Narrow" w:cs="Times New Roman"/>
        </w:rPr>
        <w:t xml:space="preserve">Credit to </w:t>
      </w:r>
      <w:r w:rsidR="00CB40BA">
        <w:rPr>
          <w:rFonts w:ascii="Arial Narrow" w:eastAsia="Times New Roman" w:hAnsi="Arial Narrow" w:cs="Times New Roman"/>
        </w:rPr>
        <w:t xml:space="preserve">the </w:t>
      </w:r>
      <w:r w:rsidR="00E97603" w:rsidRPr="00EB0DD7">
        <w:rPr>
          <w:rFonts w:ascii="Arial Narrow" w:eastAsia="Times New Roman" w:hAnsi="Arial Narrow" w:cs="Times New Roman"/>
        </w:rPr>
        <w:t xml:space="preserve">private sector, </w:t>
      </w:r>
      <w:r w:rsidRPr="007F3966">
        <w:rPr>
          <w:rFonts w:ascii="Arial Narrow" w:eastAsia="Times New Roman" w:hAnsi="Arial Narrow" w:cs="Times New Roman"/>
        </w:rPr>
        <w:t xml:space="preserve">investment, </w:t>
      </w:r>
      <w:r w:rsidR="00E97603" w:rsidRPr="007F3966">
        <w:rPr>
          <w:rFonts w:ascii="Arial Narrow" w:eastAsia="Times New Roman" w:hAnsi="Arial Narrow" w:cs="Times New Roman"/>
        </w:rPr>
        <w:t>GDP gro</w:t>
      </w:r>
      <w:r w:rsidR="00E97603" w:rsidRPr="00EB0DD7">
        <w:rPr>
          <w:rFonts w:ascii="Arial Narrow" w:eastAsia="Times New Roman" w:hAnsi="Arial Narrow" w:cs="Times New Roman"/>
        </w:rPr>
        <w:t>wth</w:t>
      </w:r>
      <w:r w:rsidRPr="007F3966">
        <w:rPr>
          <w:rFonts w:ascii="Arial Narrow" w:eastAsia="Times New Roman" w:hAnsi="Arial Narrow" w:cs="Times New Roman"/>
        </w:rPr>
        <w:t>, and trade openness.</w:t>
      </w:r>
    </w:p>
    <w:p w:rsidR="003C7123" w:rsidRDefault="00E97603" w:rsidP="003C7123">
      <w:pPr>
        <w:spacing w:before="100" w:beforeAutospacing="1" w:after="100" w:afterAutospacing="1" w:line="276" w:lineRule="auto"/>
        <w:jc w:val="both"/>
        <w:rPr>
          <w:rFonts w:ascii="Arial Narrow" w:hAnsi="Arial Narrow"/>
        </w:rPr>
      </w:pPr>
      <w:r w:rsidRPr="00EB0DD7">
        <w:rPr>
          <w:rFonts w:ascii="Arial Narrow" w:eastAsia="Times New Roman" w:hAnsi="Arial Narrow" w:cs="Times New Roman"/>
        </w:rPr>
        <w:t>T</w:t>
      </w:r>
      <w:r w:rsidR="007F3966" w:rsidRPr="007F3966">
        <w:rPr>
          <w:rFonts w:ascii="Arial Narrow" w:eastAsia="Times New Roman" w:hAnsi="Arial Narrow" w:cs="Times New Roman"/>
        </w:rPr>
        <w:t>his research arises from the recognition that the interaction between institutional quality and AI readiness could serve as a critical driver of economic growth in SSA. Countries with strong institutions may be better positioned to leverage AI technologies, accelerating p</w:t>
      </w:r>
      <w:r w:rsidRPr="00EB0DD7">
        <w:rPr>
          <w:rFonts w:ascii="Arial Narrow" w:eastAsia="Times New Roman" w:hAnsi="Arial Narrow" w:cs="Times New Roman"/>
        </w:rPr>
        <w:t xml:space="preserve">rogress in economic growth and it </w:t>
      </w:r>
      <w:r w:rsidR="007F3966" w:rsidRPr="007F3966">
        <w:rPr>
          <w:rFonts w:ascii="Arial Narrow" w:eastAsia="Times New Roman" w:hAnsi="Arial Narrow" w:cs="Times New Roman"/>
        </w:rPr>
        <w:t>builds on the foundation established by previous studies, which highlight the importance of institution</w:t>
      </w:r>
      <w:r w:rsidR="00CB40BA">
        <w:rPr>
          <w:rFonts w:ascii="Arial Narrow" w:eastAsia="Times New Roman" w:hAnsi="Arial Narrow" w:cs="Times New Roman"/>
        </w:rPr>
        <w:t xml:space="preserve">al quality for economic growth </w:t>
      </w:r>
      <w:sdt>
        <w:sdtPr>
          <w:rPr>
            <w:rFonts w:ascii="Arial Narrow" w:eastAsia="Times New Roman" w:hAnsi="Arial Narrow" w:cs="Times New Roman"/>
          </w:rPr>
          <w:id w:val="-1028564608"/>
          <w:citation/>
        </w:sdtPr>
        <w:sdtEndPr/>
        <w:sdtContent>
          <w:r w:rsidR="00CB40BA">
            <w:rPr>
              <w:rFonts w:ascii="Arial Narrow" w:eastAsia="Times New Roman" w:hAnsi="Arial Narrow" w:cs="Times New Roman"/>
            </w:rPr>
            <w:fldChar w:fldCharType="begin"/>
          </w:r>
          <w:r w:rsidR="00CB40BA">
            <w:rPr>
              <w:rFonts w:ascii="Arial Narrow" w:eastAsia="Times New Roman" w:hAnsi="Arial Narrow" w:cs="Times New Roman"/>
            </w:rPr>
            <w:instrText xml:space="preserve"> CITATION Rod18 \l 1033 </w:instrText>
          </w:r>
          <w:r w:rsidR="00CB40BA">
            <w:rPr>
              <w:rFonts w:ascii="Arial Narrow" w:eastAsia="Times New Roman" w:hAnsi="Arial Narrow" w:cs="Times New Roman"/>
            </w:rPr>
            <w:fldChar w:fldCharType="separate"/>
          </w:r>
          <w:r w:rsidR="00CB40BA" w:rsidRPr="00CB40BA">
            <w:rPr>
              <w:rFonts w:ascii="Arial Narrow" w:eastAsia="Times New Roman" w:hAnsi="Arial Narrow" w:cs="Times New Roman"/>
              <w:noProof/>
            </w:rPr>
            <w:t>(Rodrik, 2018)</w:t>
          </w:r>
          <w:r w:rsidR="00CB40BA">
            <w:rPr>
              <w:rFonts w:ascii="Arial Narrow" w:eastAsia="Times New Roman" w:hAnsi="Arial Narrow" w:cs="Times New Roman"/>
            </w:rPr>
            <w:fldChar w:fldCharType="end"/>
          </w:r>
        </w:sdtContent>
      </w:sdt>
      <w:r w:rsidR="007F3966" w:rsidRPr="007F3966">
        <w:rPr>
          <w:rFonts w:ascii="Arial Narrow" w:eastAsia="Times New Roman" w:hAnsi="Arial Narrow" w:cs="Times New Roman"/>
        </w:rPr>
        <w:t>, by introducing the novel concept of how the synergy between institutional frameworks and AI readiness could enhance growth dynamics in the region.</w:t>
      </w:r>
      <w:r w:rsidR="00BC5437" w:rsidRPr="00EB0DD7">
        <w:rPr>
          <w:rFonts w:ascii="Arial Narrow" w:eastAsia="Times New Roman" w:hAnsi="Arial Narrow" w:cs="Times New Roman"/>
        </w:rPr>
        <w:t xml:space="preserve"> To achieve our objective</w:t>
      </w:r>
      <w:r w:rsidRPr="00EB0DD7">
        <w:rPr>
          <w:rFonts w:ascii="Arial Narrow" w:eastAsia="Times New Roman" w:hAnsi="Arial Narrow" w:cs="Times New Roman"/>
        </w:rPr>
        <w:t>,</w:t>
      </w:r>
      <w:r w:rsidR="00BC5437" w:rsidRPr="00EB0DD7">
        <w:rPr>
          <w:rFonts w:ascii="Arial Narrow" w:eastAsia="Times New Roman" w:hAnsi="Arial Narrow" w:cs="Times New Roman"/>
        </w:rPr>
        <w:t xml:space="preserve"> this paper</w:t>
      </w:r>
      <w:r w:rsidR="007F3966" w:rsidRPr="007F3966">
        <w:rPr>
          <w:rFonts w:ascii="Arial Narrow" w:eastAsia="Times New Roman" w:hAnsi="Arial Narrow" w:cs="Times New Roman"/>
        </w:rPr>
        <w:t xml:space="preserve"> utilizes a Fixed Effects Panel Model</w:t>
      </w:r>
      <w:r w:rsidR="00D05EDD" w:rsidRPr="00EB0DD7">
        <w:rPr>
          <w:rFonts w:ascii="Arial Narrow" w:eastAsia="Times New Roman" w:hAnsi="Arial Narrow" w:cs="Times New Roman"/>
        </w:rPr>
        <w:t xml:space="preserve"> </w:t>
      </w:r>
      <w:r w:rsidR="00A55820" w:rsidRPr="00EB0DD7">
        <w:rPr>
          <w:rFonts w:ascii="Arial Narrow" w:hAnsi="Arial Narrow"/>
        </w:rPr>
        <w:t xml:space="preserve">controls for unobserved, time-invariant heterogeneity by focusing on the variation within each country, thus isolating the effect of </w:t>
      </w:r>
      <w:r w:rsidR="00CB40BA">
        <w:rPr>
          <w:rFonts w:ascii="Arial Narrow" w:hAnsi="Arial Narrow"/>
        </w:rPr>
        <w:t xml:space="preserve">the </w:t>
      </w:r>
      <w:r w:rsidR="00A55820" w:rsidRPr="00EB0DD7">
        <w:rPr>
          <w:rFonts w:ascii="Arial Narrow" w:hAnsi="Arial Narrow"/>
        </w:rPr>
        <w:t>explanatory variable</w:t>
      </w:r>
      <w:sdt>
        <w:sdtPr>
          <w:rPr>
            <w:rFonts w:ascii="Arial Narrow" w:hAnsi="Arial Narrow"/>
          </w:rPr>
          <w:id w:val="-385109681"/>
          <w:citation/>
        </w:sdtPr>
        <w:sdtEndPr/>
        <w:sdtContent>
          <w:r w:rsidR="009854E4">
            <w:rPr>
              <w:rFonts w:ascii="Arial Narrow" w:hAnsi="Arial Narrow"/>
            </w:rPr>
            <w:fldChar w:fldCharType="begin"/>
          </w:r>
          <w:r w:rsidR="009854E4">
            <w:rPr>
              <w:rFonts w:ascii="Arial Narrow" w:hAnsi="Arial Narrow"/>
            </w:rPr>
            <w:instrText xml:space="preserve"> CITATION Ign15 \l 1033 </w:instrText>
          </w:r>
          <w:r w:rsidR="009854E4">
            <w:rPr>
              <w:rFonts w:ascii="Arial Narrow" w:hAnsi="Arial Narrow"/>
            </w:rPr>
            <w:fldChar w:fldCharType="separate"/>
          </w:r>
          <w:r w:rsidR="009854E4">
            <w:rPr>
              <w:rFonts w:ascii="Arial Narrow" w:hAnsi="Arial Narrow"/>
              <w:noProof/>
            </w:rPr>
            <w:t xml:space="preserve"> </w:t>
          </w:r>
          <w:r w:rsidR="009854E4" w:rsidRPr="009854E4">
            <w:rPr>
              <w:rFonts w:ascii="Arial Narrow" w:hAnsi="Arial Narrow"/>
              <w:noProof/>
            </w:rPr>
            <w:t>(Ignace , Gerdie , &amp; Ilse , 2015)</w:t>
          </w:r>
          <w:r w:rsidR="009854E4">
            <w:rPr>
              <w:rFonts w:ascii="Arial Narrow" w:hAnsi="Arial Narrow"/>
            </w:rPr>
            <w:fldChar w:fldCharType="end"/>
          </w:r>
        </w:sdtContent>
      </w:sdt>
      <w:r w:rsidR="001A5B95">
        <w:rPr>
          <w:rFonts w:ascii="Arial Narrow" w:hAnsi="Arial Narrow"/>
        </w:rPr>
        <w:t>.</w:t>
      </w:r>
      <w:r w:rsidR="00A55820" w:rsidRPr="00EB0DD7">
        <w:rPr>
          <w:rFonts w:ascii="Arial Narrow" w:hAnsi="Arial Narrow"/>
        </w:rPr>
        <w:t xml:space="preserve"> However, in cases of small samples like ours, the FE model may suffer from bias, leading to less reliable estimates. Thus, the Bias-Corrected </w:t>
      </w:r>
      <w:r w:rsidR="002C763A">
        <w:rPr>
          <w:rFonts w:ascii="Arial Narrow" w:hAnsi="Arial Narrow"/>
        </w:rPr>
        <w:t>Dynamic Panel Model (BC-GMM</w:t>
      </w:r>
      <w:r w:rsidR="00A55820" w:rsidRPr="00EB0DD7">
        <w:rPr>
          <w:rFonts w:ascii="Arial Narrow" w:hAnsi="Arial Narrow"/>
        </w:rPr>
        <w:t>) model addresses this issue by applying bootstrap methods to adjust for small-sample bias, resulting in more accurate and robust estimates</w:t>
      </w:r>
      <w:sdt>
        <w:sdtPr>
          <w:rPr>
            <w:rFonts w:ascii="Arial Narrow" w:hAnsi="Arial Narrow"/>
          </w:rPr>
          <w:id w:val="681478061"/>
          <w:citation/>
        </w:sdtPr>
        <w:sdtEndPr/>
        <w:sdtContent>
          <w:r w:rsidR="001A5B95">
            <w:rPr>
              <w:rFonts w:ascii="Arial Narrow" w:hAnsi="Arial Narrow"/>
            </w:rPr>
            <w:fldChar w:fldCharType="begin"/>
          </w:r>
          <w:r w:rsidR="001A5B95">
            <w:rPr>
              <w:rFonts w:ascii="Arial Narrow" w:hAnsi="Arial Narrow"/>
            </w:rPr>
            <w:instrText xml:space="preserve"> CITATION Kri22 \l 1033 </w:instrText>
          </w:r>
          <w:r w:rsidR="001A5B95">
            <w:rPr>
              <w:rFonts w:ascii="Arial Narrow" w:hAnsi="Arial Narrow"/>
            </w:rPr>
            <w:fldChar w:fldCharType="separate"/>
          </w:r>
          <w:r w:rsidR="001A5B95">
            <w:rPr>
              <w:rFonts w:ascii="Arial Narrow" w:hAnsi="Arial Narrow"/>
              <w:noProof/>
            </w:rPr>
            <w:t xml:space="preserve"> </w:t>
          </w:r>
          <w:r w:rsidR="001A5B95" w:rsidRPr="001A5B95">
            <w:rPr>
              <w:rFonts w:ascii="Arial Narrow" w:hAnsi="Arial Narrow"/>
              <w:noProof/>
            </w:rPr>
            <w:t>(Kripfganz &amp; J. Breitung, 2022)</w:t>
          </w:r>
          <w:r w:rsidR="001A5B95">
            <w:rPr>
              <w:rFonts w:ascii="Arial Narrow" w:hAnsi="Arial Narrow"/>
            </w:rPr>
            <w:fldChar w:fldCharType="end"/>
          </w:r>
        </w:sdtContent>
      </w:sdt>
      <w:r w:rsidR="007F3966" w:rsidRPr="007F3966">
        <w:rPr>
          <w:rFonts w:ascii="Arial Narrow" w:eastAsia="Times New Roman" w:hAnsi="Arial Narrow" w:cs="Times New Roman"/>
        </w:rPr>
        <w:t xml:space="preserve">. </w:t>
      </w:r>
      <w:r w:rsidR="003C7123">
        <w:rPr>
          <w:rFonts w:ascii="Arial Narrow" w:eastAsia="Times New Roman" w:hAnsi="Arial Narrow" w:cs="Times New Roman"/>
        </w:rPr>
        <w:t xml:space="preserve">Furthermore, this study isolates </w:t>
      </w:r>
      <w:r w:rsidR="003C7123" w:rsidRPr="00DA502C">
        <w:rPr>
          <w:rFonts w:ascii="Arial Narrow" w:eastAsia="Times New Roman" w:hAnsi="Arial Narrow" w:cs="Times New Roman"/>
        </w:rPr>
        <w:t xml:space="preserve">the top-performing countries </w:t>
      </w:r>
      <w:r w:rsidR="003C7123" w:rsidRPr="001938C9">
        <w:rPr>
          <w:rFonts w:ascii="Arial Narrow" w:hAnsi="Arial Narrow"/>
        </w:rPr>
        <w:t>in the sample—those with relatively h</w:t>
      </w:r>
      <w:r w:rsidR="003C7123">
        <w:rPr>
          <w:rFonts w:ascii="Arial Narrow" w:hAnsi="Arial Narrow"/>
        </w:rPr>
        <w:t xml:space="preserve">igher institutional development to </w:t>
      </w:r>
      <w:r w:rsidR="003C7123" w:rsidRPr="001938C9">
        <w:rPr>
          <w:rFonts w:ascii="Arial Narrow" w:hAnsi="Arial Narrow"/>
        </w:rPr>
        <w:t>allow for a clearer analysis of how AI readiness interacts with strong institutions and better isolate its true growth potential in environments where in</w:t>
      </w:r>
      <w:r w:rsidR="00C93196">
        <w:rPr>
          <w:rFonts w:ascii="Arial Narrow" w:hAnsi="Arial Narrow"/>
        </w:rPr>
        <w:t xml:space="preserve">stitutional quality is less constrained </w:t>
      </w:r>
      <w:r w:rsidR="003C7123">
        <w:rPr>
          <w:rFonts w:ascii="Arial Narrow" w:hAnsi="Arial Narrow"/>
        </w:rPr>
        <w:t>as robustness check from the main estimates</w:t>
      </w:r>
      <w:r w:rsidR="00D47297">
        <w:rPr>
          <w:rFonts w:ascii="Arial Narrow" w:hAnsi="Arial Narrow"/>
        </w:rPr>
        <w:t xml:space="preserve"> using robust regression which </w:t>
      </w:r>
      <w:r w:rsidR="00D47297" w:rsidRPr="003A37E6">
        <w:rPr>
          <w:rFonts w:ascii="Arial Narrow" w:hAnsi="Arial Narrow"/>
        </w:rPr>
        <w:t>robust-to-outliers</w:t>
      </w:r>
      <w:sdt>
        <w:sdtPr>
          <w:rPr>
            <w:rFonts w:ascii="Arial Narrow" w:hAnsi="Arial Narrow"/>
          </w:rPr>
          <w:id w:val="-1529476779"/>
          <w:citation/>
        </w:sdtPr>
        <w:sdtEndPr/>
        <w:sdtContent>
          <w:r w:rsidR="00D47297">
            <w:rPr>
              <w:rFonts w:ascii="Arial Narrow" w:hAnsi="Arial Narrow"/>
            </w:rPr>
            <w:fldChar w:fldCharType="begin"/>
          </w:r>
          <w:r w:rsidR="00D47297">
            <w:rPr>
              <w:rFonts w:ascii="Arial Narrow" w:hAnsi="Arial Narrow"/>
            </w:rPr>
            <w:instrText xml:space="preserve"> CITATION Ver08 \l 1033 </w:instrText>
          </w:r>
          <w:r w:rsidR="00D47297">
            <w:rPr>
              <w:rFonts w:ascii="Arial Narrow" w:hAnsi="Arial Narrow"/>
            </w:rPr>
            <w:fldChar w:fldCharType="separate"/>
          </w:r>
          <w:r w:rsidR="00D47297">
            <w:rPr>
              <w:rFonts w:ascii="Arial Narrow" w:hAnsi="Arial Narrow"/>
              <w:noProof/>
            </w:rPr>
            <w:t xml:space="preserve"> </w:t>
          </w:r>
          <w:r w:rsidR="00D47297" w:rsidRPr="00D47297">
            <w:rPr>
              <w:rFonts w:ascii="Arial Narrow" w:hAnsi="Arial Narrow"/>
              <w:noProof/>
            </w:rPr>
            <w:t>(Verardi &amp; Croux, Christophe, 2008)</w:t>
          </w:r>
          <w:r w:rsidR="00D47297">
            <w:rPr>
              <w:rFonts w:ascii="Arial Narrow" w:hAnsi="Arial Narrow"/>
            </w:rPr>
            <w:fldChar w:fldCharType="end"/>
          </w:r>
        </w:sdtContent>
      </w:sdt>
      <w:r w:rsidR="003C7123">
        <w:rPr>
          <w:rFonts w:ascii="Arial Narrow" w:hAnsi="Arial Narrow"/>
        </w:rPr>
        <w:t>.</w:t>
      </w:r>
    </w:p>
    <w:p w:rsidR="007F3966" w:rsidRPr="003C7123" w:rsidRDefault="007F3966" w:rsidP="00EB0DD7">
      <w:pPr>
        <w:spacing w:before="100" w:beforeAutospacing="1" w:after="100" w:afterAutospacing="1" w:line="276" w:lineRule="auto"/>
        <w:jc w:val="both"/>
        <w:rPr>
          <w:rFonts w:ascii="Arial Narrow" w:hAnsi="Arial Narrow"/>
        </w:rPr>
      </w:pPr>
    </w:p>
    <w:p w:rsidR="00150825" w:rsidRDefault="007F3966" w:rsidP="00EB0DD7">
      <w:pPr>
        <w:spacing w:before="100" w:beforeAutospacing="1" w:after="100" w:afterAutospacing="1" w:line="276" w:lineRule="auto"/>
        <w:jc w:val="both"/>
        <w:rPr>
          <w:rFonts w:ascii="Arial Narrow" w:eastAsia="Times New Roman" w:hAnsi="Arial Narrow" w:cs="Times New Roman"/>
        </w:rPr>
      </w:pPr>
      <w:r w:rsidRPr="007F3966">
        <w:rPr>
          <w:rFonts w:ascii="Arial Narrow" w:eastAsia="Times New Roman" w:hAnsi="Arial Narrow" w:cs="Times New Roman"/>
        </w:rPr>
        <w:t xml:space="preserve">The findings of this study have significant policy implications. Understanding how institutional quality and AI readiness interact can inform strategies for fostering an environment that supports technological innovation and </w:t>
      </w:r>
      <w:r w:rsidR="00D05EDD" w:rsidRPr="00EB0DD7">
        <w:rPr>
          <w:rFonts w:ascii="Arial Narrow" w:eastAsia="Times New Roman" w:hAnsi="Arial Narrow" w:cs="Times New Roman"/>
        </w:rPr>
        <w:t>accelera</w:t>
      </w:r>
      <w:r w:rsidR="00746BC0">
        <w:rPr>
          <w:rFonts w:ascii="Arial Narrow" w:eastAsia="Times New Roman" w:hAnsi="Arial Narrow" w:cs="Times New Roman"/>
        </w:rPr>
        <w:t xml:space="preserve">tes </w:t>
      </w:r>
      <w:r w:rsidR="00D05EDD" w:rsidRPr="00EB0DD7">
        <w:rPr>
          <w:rFonts w:ascii="Arial Narrow" w:eastAsia="Times New Roman" w:hAnsi="Arial Narrow" w:cs="Times New Roman"/>
        </w:rPr>
        <w:t>growth</w:t>
      </w:r>
      <w:r w:rsidR="00746BC0">
        <w:rPr>
          <w:rFonts w:ascii="Arial Narrow" w:eastAsia="Times New Roman" w:hAnsi="Arial Narrow" w:cs="Times New Roman"/>
        </w:rPr>
        <w:t xml:space="preserve"> in Sub-Saharan Africa</w:t>
      </w:r>
      <w:r w:rsidRPr="007F3966">
        <w:rPr>
          <w:rFonts w:ascii="Arial Narrow" w:eastAsia="Times New Roman" w:hAnsi="Arial Narrow" w:cs="Times New Roman"/>
        </w:rPr>
        <w:t xml:space="preserve">. Policymakers in SSA can leverage these insights to prioritize institutional reforms, promote AI adoption, and create a more conducive environment for growth. This research thus provides a valuable contribution to both the academic literature and the practical efforts to enhance the economic performance of Sub-Saharan Africa. </w:t>
      </w:r>
    </w:p>
    <w:p w:rsidR="00992280" w:rsidRPr="001C5DDE" w:rsidRDefault="001C5DDE" w:rsidP="00992280">
      <w:pPr>
        <w:pStyle w:val="NormalWeb"/>
        <w:rPr>
          <w:rFonts w:ascii="Arial Narrow" w:hAnsi="Arial Narrow"/>
          <w:sz w:val="22"/>
          <w:szCs w:val="22"/>
        </w:rPr>
      </w:pPr>
      <w:r w:rsidRPr="001C5DDE">
        <w:rPr>
          <w:rFonts w:ascii="Arial Narrow" w:hAnsi="Arial Narrow"/>
          <w:sz w:val="22"/>
          <w:szCs w:val="22"/>
        </w:rPr>
        <w:t>The remainder of this paper is structured as follows: Section 2 reviews the related literature. Section 3 discusses the state of institutions and AI readiness. Section 4 outlines the methodology and data. Section 5 presents the empirical results, and Section 6 concludes the study.</w:t>
      </w:r>
    </w:p>
    <w:p w:rsidR="00992280" w:rsidRPr="00B40384" w:rsidRDefault="00992280" w:rsidP="00992280">
      <w:pPr>
        <w:pStyle w:val="NormalWeb"/>
        <w:numPr>
          <w:ilvl w:val="0"/>
          <w:numId w:val="2"/>
        </w:numPr>
        <w:rPr>
          <w:rFonts w:ascii="Arial Narrow" w:hAnsi="Arial Narrow"/>
          <w:b/>
          <w:sz w:val="22"/>
          <w:szCs w:val="22"/>
        </w:rPr>
      </w:pPr>
      <w:r w:rsidRPr="00B40384">
        <w:rPr>
          <w:rFonts w:ascii="Arial Narrow" w:hAnsi="Arial Narrow"/>
          <w:b/>
          <w:sz w:val="22"/>
          <w:szCs w:val="22"/>
        </w:rPr>
        <w:t>Literature review</w:t>
      </w:r>
    </w:p>
    <w:p w:rsidR="00206401" w:rsidRPr="00DE0D54" w:rsidRDefault="004678D3" w:rsidP="00D44199">
      <w:pPr>
        <w:pStyle w:val="NormalWeb"/>
        <w:spacing w:line="276" w:lineRule="auto"/>
        <w:jc w:val="both"/>
        <w:rPr>
          <w:rFonts w:ascii="Arial Narrow" w:hAnsi="Arial Narrow"/>
          <w:sz w:val="22"/>
          <w:szCs w:val="22"/>
        </w:rPr>
      </w:pPr>
      <w:r w:rsidRPr="00DE0D54">
        <w:rPr>
          <w:rFonts w:ascii="Arial Narrow" w:hAnsi="Arial Narrow"/>
          <w:sz w:val="22"/>
          <w:szCs w:val="22"/>
        </w:rPr>
        <w:t xml:space="preserve">The nexus between institutional quality and economic growth has long been recognized in economic theory. Institutions, defined as the formal and informal rules governing economic, political, and social interactions </w:t>
      </w:r>
      <w:sdt>
        <w:sdtPr>
          <w:rPr>
            <w:rFonts w:ascii="Arial Narrow" w:hAnsi="Arial Narrow"/>
            <w:sz w:val="22"/>
            <w:szCs w:val="22"/>
          </w:rPr>
          <w:id w:val="579562744"/>
          <w:citation/>
        </w:sdtPr>
        <w:sdtEndPr/>
        <w:sdtContent>
          <w:r w:rsidR="008603AC">
            <w:rPr>
              <w:rFonts w:ascii="Arial Narrow" w:hAnsi="Arial Narrow"/>
              <w:sz w:val="22"/>
              <w:szCs w:val="22"/>
            </w:rPr>
            <w:fldChar w:fldCharType="begin"/>
          </w:r>
          <w:r w:rsidR="008603AC">
            <w:rPr>
              <w:rFonts w:ascii="Arial Narrow" w:hAnsi="Arial Narrow"/>
              <w:sz w:val="22"/>
              <w:szCs w:val="22"/>
            </w:rPr>
            <w:instrText xml:space="preserve">CITATION Nor901 \l 1033 </w:instrText>
          </w:r>
          <w:r w:rsidR="008603AC">
            <w:rPr>
              <w:rFonts w:ascii="Arial Narrow" w:hAnsi="Arial Narrow"/>
              <w:sz w:val="22"/>
              <w:szCs w:val="22"/>
            </w:rPr>
            <w:fldChar w:fldCharType="separate"/>
          </w:r>
          <w:r w:rsidR="008603AC" w:rsidRPr="008603AC">
            <w:rPr>
              <w:rFonts w:ascii="Arial Narrow" w:hAnsi="Arial Narrow"/>
              <w:noProof/>
              <w:sz w:val="22"/>
              <w:szCs w:val="22"/>
            </w:rPr>
            <w:t>(North, D. C, 1990)</w:t>
          </w:r>
          <w:r w:rsidR="008603AC">
            <w:rPr>
              <w:rFonts w:ascii="Arial Narrow" w:hAnsi="Arial Narrow"/>
              <w:sz w:val="22"/>
              <w:szCs w:val="22"/>
            </w:rPr>
            <w:fldChar w:fldCharType="end"/>
          </w:r>
        </w:sdtContent>
      </w:sdt>
      <w:r w:rsidRPr="00DE0D54">
        <w:rPr>
          <w:rFonts w:ascii="Arial Narrow" w:hAnsi="Arial Narrow"/>
          <w:sz w:val="22"/>
          <w:szCs w:val="22"/>
        </w:rPr>
        <w:t>, are critical for shaping incentives, reducing uncertainty, and fostering productivity. In regions like Sub-Saharan Africa (SSA), where growth trajectories are often impeded by governance issues, institutional quality plays an indispensable role.</w:t>
      </w:r>
      <w:r w:rsidR="00512F63" w:rsidRPr="00DE0D54">
        <w:rPr>
          <w:rFonts w:ascii="Arial Narrow" w:hAnsi="Arial Narrow"/>
          <w:sz w:val="22"/>
          <w:szCs w:val="22"/>
        </w:rPr>
        <w:t xml:space="preserve"> </w:t>
      </w:r>
      <w:r w:rsidR="0048317E">
        <w:rPr>
          <w:rFonts w:ascii="Arial Narrow" w:hAnsi="Arial Narrow"/>
          <w:noProof/>
          <w:sz w:val="22"/>
          <w:szCs w:val="22"/>
        </w:rPr>
        <w:t>Acemoglu &amp; Robinson (</w:t>
      </w:r>
      <w:r w:rsidR="0048317E" w:rsidRPr="0048317E">
        <w:rPr>
          <w:rFonts w:ascii="Arial Narrow" w:hAnsi="Arial Narrow"/>
          <w:noProof/>
          <w:sz w:val="22"/>
          <w:szCs w:val="22"/>
        </w:rPr>
        <w:t>2012)</w:t>
      </w:r>
      <w:r w:rsidR="00512F63" w:rsidRPr="00DE0D54">
        <w:rPr>
          <w:rFonts w:ascii="Arial Narrow" w:hAnsi="Arial Narrow"/>
          <w:sz w:val="22"/>
          <w:szCs w:val="22"/>
        </w:rPr>
        <w:t xml:space="preserve"> argue that inclusive institutions, which provide equitable access to resources and opportunities, are fundamental for sustained growth, contrasting extractive systems that often undermine development.</w:t>
      </w:r>
    </w:p>
    <w:p w:rsidR="004678D3" w:rsidRPr="00DE0D54" w:rsidRDefault="00D44199" w:rsidP="005901FB">
      <w:pPr>
        <w:pStyle w:val="NormalWeb"/>
        <w:spacing w:line="276" w:lineRule="auto"/>
        <w:jc w:val="both"/>
        <w:rPr>
          <w:rFonts w:ascii="Arial Narrow" w:hAnsi="Arial Narrow"/>
          <w:sz w:val="22"/>
          <w:szCs w:val="22"/>
        </w:rPr>
      </w:pPr>
      <w:r w:rsidRPr="00DE0D54">
        <w:rPr>
          <w:rFonts w:ascii="Arial Narrow" w:hAnsi="Arial Narrow"/>
          <w:sz w:val="22"/>
          <w:szCs w:val="22"/>
        </w:rPr>
        <w:t xml:space="preserve">Artificial intelligence (AI) readiness, meanwhile, represents the capability of a country to adopt and implement AI technologies effectively. AI readiness hinges on factors such as infrastructure, digital literacy, and innovation ecosystems </w:t>
      </w:r>
      <w:sdt>
        <w:sdtPr>
          <w:rPr>
            <w:rFonts w:ascii="Arial Narrow" w:hAnsi="Arial Narrow"/>
            <w:sz w:val="22"/>
            <w:szCs w:val="22"/>
          </w:rPr>
          <w:id w:val="521976108"/>
          <w:citation/>
        </w:sdtPr>
        <w:sdtEndPr/>
        <w:sdtContent>
          <w:r w:rsidR="008457CE">
            <w:rPr>
              <w:rFonts w:ascii="Arial Narrow" w:hAnsi="Arial Narrow"/>
              <w:sz w:val="22"/>
              <w:szCs w:val="22"/>
            </w:rPr>
            <w:fldChar w:fldCharType="begin"/>
          </w:r>
          <w:r w:rsidR="008457CE">
            <w:rPr>
              <w:rFonts w:ascii="Arial Narrow" w:hAnsi="Arial Narrow"/>
              <w:sz w:val="22"/>
              <w:szCs w:val="22"/>
            </w:rPr>
            <w:instrText xml:space="preserve"> CITATION Ins23 \l 1033 </w:instrText>
          </w:r>
          <w:r w:rsidR="008457CE">
            <w:rPr>
              <w:rFonts w:ascii="Arial Narrow" w:hAnsi="Arial Narrow"/>
              <w:sz w:val="22"/>
              <w:szCs w:val="22"/>
            </w:rPr>
            <w:fldChar w:fldCharType="separate"/>
          </w:r>
          <w:r w:rsidR="008457CE" w:rsidRPr="008457CE">
            <w:rPr>
              <w:rFonts w:ascii="Arial Narrow" w:hAnsi="Arial Narrow"/>
              <w:noProof/>
              <w:sz w:val="22"/>
              <w:szCs w:val="22"/>
            </w:rPr>
            <w:t>(Insights, 2023)</w:t>
          </w:r>
          <w:r w:rsidR="008457CE">
            <w:rPr>
              <w:rFonts w:ascii="Arial Narrow" w:hAnsi="Arial Narrow"/>
              <w:sz w:val="22"/>
              <w:szCs w:val="22"/>
            </w:rPr>
            <w:fldChar w:fldCharType="end"/>
          </w:r>
        </w:sdtContent>
      </w:sdt>
      <w:r w:rsidRPr="00DE0D54">
        <w:rPr>
          <w:rFonts w:ascii="Arial Narrow" w:hAnsi="Arial Narrow"/>
          <w:sz w:val="22"/>
          <w:szCs w:val="22"/>
        </w:rPr>
        <w:t xml:space="preserve">. Integrating AI within SSA economies offers potential productivity enhancements, especially in sectors like agriculture, healthcare, and financial services </w:t>
      </w:r>
      <w:sdt>
        <w:sdtPr>
          <w:rPr>
            <w:rFonts w:ascii="Arial Narrow" w:hAnsi="Arial Narrow"/>
            <w:sz w:val="22"/>
            <w:szCs w:val="22"/>
          </w:rPr>
          <w:id w:val="1879817345"/>
          <w:citation/>
        </w:sdtPr>
        <w:sdtEndPr/>
        <w:sdtContent>
          <w:r w:rsidR="008603AC">
            <w:rPr>
              <w:rFonts w:ascii="Arial Narrow" w:hAnsi="Arial Narrow"/>
              <w:sz w:val="22"/>
              <w:szCs w:val="22"/>
            </w:rPr>
            <w:fldChar w:fldCharType="begin"/>
          </w:r>
          <w:r w:rsidR="008603AC">
            <w:rPr>
              <w:rFonts w:ascii="Arial Narrow" w:hAnsi="Arial Narrow"/>
              <w:sz w:val="22"/>
              <w:szCs w:val="22"/>
            </w:rPr>
            <w:instrText xml:space="preserve"> CITATION Bug18 \l 1033 </w:instrText>
          </w:r>
          <w:r w:rsidR="008603AC">
            <w:rPr>
              <w:rFonts w:ascii="Arial Narrow" w:hAnsi="Arial Narrow"/>
              <w:sz w:val="22"/>
              <w:szCs w:val="22"/>
            </w:rPr>
            <w:fldChar w:fldCharType="separate"/>
          </w:r>
          <w:r w:rsidR="008603AC" w:rsidRPr="008603AC">
            <w:rPr>
              <w:rFonts w:ascii="Arial Narrow" w:hAnsi="Arial Narrow"/>
              <w:noProof/>
              <w:sz w:val="22"/>
              <w:szCs w:val="22"/>
            </w:rPr>
            <w:t>(Bughin, 2018)</w:t>
          </w:r>
          <w:r w:rsidR="008603AC">
            <w:rPr>
              <w:rFonts w:ascii="Arial Narrow" w:hAnsi="Arial Narrow"/>
              <w:sz w:val="22"/>
              <w:szCs w:val="22"/>
            </w:rPr>
            <w:fldChar w:fldCharType="end"/>
          </w:r>
        </w:sdtContent>
      </w:sdt>
      <w:r w:rsidRPr="00DE0D54">
        <w:rPr>
          <w:rFonts w:ascii="Arial Narrow" w:hAnsi="Arial Narrow"/>
          <w:sz w:val="22"/>
          <w:szCs w:val="22"/>
        </w:rPr>
        <w:t>. However, institutional quality often dictates the success of such technological integration by influencing regulatory frameworks, trust, and adaptability</w:t>
      </w:r>
      <w:r w:rsidR="008603AC">
        <w:rPr>
          <w:rFonts w:ascii="Arial Narrow" w:hAnsi="Arial Narrow"/>
          <w:sz w:val="22"/>
          <w:szCs w:val="22"/>
        </w:rPr>
        <w:t xml:space="preserve"> within economies </w:t>
      </w:r>
      <w:sdt>
        <w:sdtPr>
          <w:rPr>
            <w:rFonts w:ascii="Arial Narrow" w:hAnsi="Arial Narrow"/>
            <w:sz w:val="22"/>
            <w:szCs w:val="22"/>
          </w:rPr>
          <w:id w:val="-2089139227"/>
          <w:citation/>
        </w:sdtPr>
        <w:sdtEndPr/>
        <w:sdtContent>
          <w:r w:rsidR="008603AC">
            <w:rPr>
              <w:rFonts w:ascii="Arial Narrow" w:hAnsi="Arial Narrow"/>
              <w:sz w:val="22"/>
              <w:szCs w:val="22"/>
            </w:rPr>
            <w:fldChar w:fldCharType="begin"/>
          </w:r>
          <w:r w:rsidR="008603AC">
            <w:rPr>
              <w:rFonts w:ascii="Arial Narrow" w:hAnsi="Arial Narrow"/>
              <w:sz w:val="22"/>
              <w:szCs w:val="22"/>
            </w:rPr>
            <w:instrText xml:space="preserve">CITATION Rod04 \l 1033 </w:instrText>
          </w:r>
          <w:r w:rsidR="008603AC">
            <w:rPr>
              <w:rFonts w:ascii="Arial Narrow" w:hAnsi="Arial Narrow"/>
              <w:sz w:val="22"/>
              <w:szCs w:val="22"/>
            </w:rPr>
            <w:fldChar w:fldCharType="separate"/>
          </w:r>
          <w:r w:rsidR="008603AC" w:rsidRPr="008603AC">
            <w:rPr>
              <w:rFonts w:ascii="Arial Narrow" w:hAnsi="Arial Narrow"/>
              <w:noProof/>
              <w:sz w:val="22"/>
              <w:szCs w:val="22"/>
            </w:rPr>
            <w:t>(Rodrik, D, 2004)</w:t>
          </w:r>
          <w:r w:rsidR="008603AC">
            <w:rPr>
              <w:rFonts w:ascii="Arial Narrow" w:hAnsi="Arial Narrow"/>
              <w:sz w:val="22"/>
              <w:szCs w:val="22"/>
            </w:rPr>
            <w:fldChar w:fldCharType="end"/>
          </w:r>
        </w:sdtContent>
      </w:sdt>
      <w:r w:rsidRPr="00DE0D54">
        <w:rPr>
          <w:rFonts w:ascii="Arial Narrow" w:hAnsi="Arial Narrow"/>
          <w:sz w:val="22"/>
          <w:szCs w:val="22"/>
        </w:rPr>
        <w:t>.</w:t>
      </w:r>
      <w:r w:rsidR="00B463DB" w:rsidRPr="00DE0D54">
        <w:rPr>
          <w:sz w:val="22"/>
          <w:szCs w:val="22"/>
        </w:rPr>
        <w:t xml:space="preserve"> </w:t>
      </w:r>
      <w:r w:rsidR="00B463DB" w:rsidRPr="00DE0D54">
        <w:rPr>
          <w:rFonts w:ascii="Arial Narrow" w:hAnsi="Arial Narrow"/>
          <w:sz w:val="22"/>
          <w:szCs w:val="22"/>
        </w:rPr>
        <w:t xml:space="preserve">The intersection of institutional quality and AI readiness aligns with theories of endogenous growth </w:t>
      </w:r>
      <w:sdt>
        <w:sdtPr>
          <w:rPr>
            <w:rFonts w:ascii="Arial Narrow" w:hAnsi="Arial Narrow"/>
            <w:sz w:val="22"/>
            <w:szCs w:val="22"/>
          </w:rPr>
          <w:id w:val="-1636168812"/>
          <w:citation/>
        </w:sdtPr>
        <w:sdtEndPr/>
        <w:sdtContent>
          <w:r w:rsidR="002E7FE0">
            <w:rPr>
              <w:rFonts w:ascii="Arial Narrow" w:hAnsi="Arial Narrow"/>
              <w:sz w:val="22"/>
              <w:szCs w:val="22"/>
            </w:rPr>
            <w:fldChar w:fldCharType="begin"/>
          </w:r>
          <w:r w:rsidR="002E7FE0">
            <w:rPr>
              <w:rFonts w:ascii="Arial Narrow" w:hAnsi="Arial Narrow"/>
              <w:sz w:val="22"/>
              <w:szCs w:val="22"/>
            </w:rPr>
            <w:instrText xml:space="preserve"> CITATION Rom90 \l 1033 </w:instrText>
          </w:r>
          <w:r w:rsidR="002E7FE0">
            <w:rPr>
              <w:rFonts w:ascii="Arial Narrow" w:hAnsi="Arial Narrow"/>
              <w:sz w:val="22"/>
              <w:szCs w:val="22"/>
            </w:rPr>
            <w:fldChar w:fldCharType="separate"/>
          </w:r>
          <w:r w:rsidR="002E7FE0" w:rsidRPr="002E7FE0">
            <w:rPr>
              <w:rFonts w:ascii="Arial Narrow" w:hAnsi="Arial Narrow"/>
              <w:noProof/>
              <w:sz w:val="22"/>
              <w:szCs w:val="22"/>
            </w:rPr>
            <w:t>(Romer, 1990)</w:t>
          </w:r>
          <w:r w:rsidR="002E7FE0">
            <w:rPr>
              <w:rFonts w:ascii="Arial Narrow" w:hAnsi="Arial Narrow"/>
              <w:sz w:val="22"/>
              <w:szCs w:val="22"/>
            </w:rPr>
            <w:fldChar w:fldCharType="end"/>
          </w:r>
        </w:sdtContent>
      </w:sdt>
      <w:r w:rsidR="00B463DB" w:rsidRPr="00DE0D54">
        <w:rPr>
          <w:rFonts w:ascii="Arial Narrow" w:hAnsi="Arial Narrow"/>
          <w:sz w:val="22"/>
          <w:szCs w:val="22"/>
        </w:rPr>
        <w:t>, which emphasize innovation and technology adoption as key growth drivers. Institutions provide the foundation for such advancements by ensuring property rights, fostering research and development (R&amp;D), and facilitating knowledge diffusion. Thus, the theoretical framework underlines how the synergy between robust institutions and AI readiness can catalyze growth in SSA.</w:t>
      </w:r>
    </w:p>
    <w:p w:rsidR="004678D3" w:rsidRPr="00DE0D54" w:rsidRDefault="00472794" w:rsidP="00472794">
      <w:pPr>
        <w:pStyle w:val="NormalWeb"/>
        <w:spacing w:line="276" w:lineRule="auto"/>
        <w:jc w:val="both"/>
        <w:rPr>
          <w:rFonts w:ascii="Arial Narrow" w:hAnsi="Arial Narrow"/>
          <w:sz w:val="22"/>
          <w:szCs w:val="22"/>
        </w:rPr>
      </w:pPr>
      <w:r w:rsidRPr="00DE0D54">
        <w:rPr>
          <w:rFonts w:ascii="Arial Narrow" w:hAnsi="Arial Narrow"/>
          <w:sz w:val="22"/>
          <w:szCs w:val="22"/>
        </w:rPr>
        <w:t xml:space="preserve">Empirical studies highlight the profound impact of institutional quality on economic outcomes. For instance, studies by </w:t>
      </w:r>
      <w:r w:rsidR="002E7FE0" w:rsidRPr="002E7FE0">
        <w:rPr>
          <w:rFonts w:ascii="Arial Narrow" w:hAnsi="Arial Narrow"/>
          <w:noProof/>
          <w:sz w:val="22"/>
          <w:szCs w:val="22"/>
        </w:rPr>
        <w:t>Kauf</w:t>
      </w:r>
      <w:r w:rsidR="002E7FE0">
        <w:rPr>
          <w:rFonts w:ascii="Arial Narrow" w:hAnsi="Arial Narrow"/>
          <w:noProof/>
          <w:sz w:val="22"/>
          <w:szCs w:val="22"/>
        </w:rPr>
        <w:t>mann, Kraay, A, &amp; Mastruzzi, M. (</w:t>
      </w:r>
      <w:r w:rsidR="002E7FE0" w:rsidRPr="002E7FE0">
        <w:rPr>
          <w:rFonts w:ascii="Arial Narrow" w:hAnsi="Arial Narrow"/>
          <w:noProof/>
          <w:sz w:val="22"/>
          <w:szCs w:val="22"/>
        </w:rPr>
        <w:t>2011)</w:t>
      </w:r>
      <w:r w:rsidRPr="00DE0D54">
        <w:rPr>
          <w:rFonts w:ascii="Arial Narrow" w:hAnsi="Arial Narrow"/>
          <w:sz w:val="22"/>
          <w:szCs w:val="22"/>
        </w:rPr>
        <w:t xml:space="preserve"> using the Worldwide Governance Indicators (WGI) show that governance dimensions such as government effectiveness, regulatory quality, and rule of law significantly correlate with GDP per capita growth. In SSA, weak institutional frameworks have been linked to corruption, inefficiency, and policy instability, undermining investor confidence and long-term development </w:t>
      </w:r>
      <w:sdt>
        <w:sdtPr>
          <w:rPr>
            <w:rFonts w:ascii="Arial Narrow" w:hAnsi="Arial Narrow"/>
            <w:sz w:val="22"/>
            <w:szCs w:val="22"/>
          </w:rPr>
          <w:id w:val="1816293740"/>
          <w:citation/>
        </w:sdtPr>
        <w:sdtEndPr/>
        <w:sdtContent>
          <w:r w:rsidR="005D1959">
            <w:rPr>
              <w:rFonts w:ascii="Arial Narrow" w:hAnsi="Arial Narrow"/>
              <w:sz w:val="22"/>
              <w:szCs w:val="22"/>
            </w:rPr>
            <w:fldChar w:fldCharType="begin"/>
          </w:r>
          <w:r w:rsidR="005D1959">
            <w:rPr>
              <w:rFonts w:ascii="Arial Narrow" w:hAnsi="Arial Narrow"/>
              <w:sz w:val="22"/>
              <w:szCs w:val="22"/>
            </w:rPr>
            <w:instrText xml:space="preserve"> CITATION Mis20 \l 1033 </w:instrText>
          </w:r>
          <w:r w:rsidR="005D1959">
            <w:rPr>
              <w:rFonts w:ascii="Arial Narrow" w:hAnsi="Arial Narrow"/>
              <w:sz w:val="22"/>
              <w:szCs w:val="22"/>
            </w:rPr>
            <w:fldChar w:fldCharType="separate"/>
          </w:r>
          <w:r w:rsidR="005D1959" w:rsidRPr="005D1959">
            <w:rPr>
              <w:rFonts w:ascii="Arial Narrow" w:hAnsi="Arial Narrow"/>
              <w:noProof/>
              <w:sz w:val="22"/>
              <w:szCs w:val="22"/>
            </w:rPr>
            <w:t>(Mishra &amp; Daly, K, 2020)</w:t>
          </w:r>
          <w:r w:rsidR="005D1959">
            <w:rPr>
              <w:rFonts w:ascii="Arial Narrow" w:hAnsi="Arial Narrow"/>
              <w:sz w:val="22"/>
              <w:szCs w:val="22"/>
            </w:rPr>
            <w:fldChar w:fldCharType="end"/>
          </w:r>
        </w:sdtContent>
      </w:sdt>
      <w:r w:rsidRPr="00DE0D54">
        <w:rPr>
          <w:rFonts w:ascii="Arial Narrow" w:hAnsi="Arial Narrow"/>
          <w:sz w:val="22"/>
          <w:szCs w:val="22"/>
        </w:rPr>
        <w:t>.</w:t>
      </w:r>
    </w:p>
    <w:p w:rsidR="00E20701" w:rsidRPr="003E6538" w:rsidRDefault="00E20701" w:rsidP="00472794">
      <w:pPr>
        <w:pStyle w:val="NormalWeb"/>
        <w:spacing w:line="276" w:lineRule="auto"/>
        <w:jc w:val="both"/>
        <w:rPr>
          <w:rFonts w:ascii="Arial Narrow" w:hAnsi="Arial Narrow"/>
          <w:sz w:val="22"/>
          <w:szCs w:val="22"/>
        </w:rPr>
      </w:pPr>
      <w:r w:rsidRPr="00DE0D54">
        <w:rPr>
          <w:rFonts w:ascii="Arial Narrow" w:hAnsi="Arial Narrow"/>
          <w:sz w:val="22"/>
          <w:szCs w:val="22"/>
        </w:rPr>
        <w:t xml:space="preserve">Furthermore, recent studies on AI readiness in SSA suggest a mixed potential for AI-driven transformation. A report by </w:t>
      </w:r>
      <w:r w:rsidR="00BC41C2" w:rsidRPr="00BC41C2">
        <w:rPr>
          <w:rFonts w:ascii="Arial Narrow" w:hAnsi="Arial Narrow"/>
          <w:noProof/>
          <w:sz w:val="22"/>
          <w:szCs w:val="22"/>
        </w:rPr>
        <w:t xml:space="preserve">Institute, McKinsey Global, </w:t>
      </w:r>
      <w:r w:rsidR="00BC41C2">
        <w:rPr>
          <w:rFonts w:ascii="Arial Narrow" w:hAnsi="Arial Narrow"/>
          <w:noProof/>
          <w:sz w:val="22"/>
          <w:szCs w:val="22"/>
        </w:rPr>
        <w:t>(</w:t>
      </w:r>
      <w:r w:rsidR="00BC41C2" w:rsidRPr="00BC41C2">
        <w:rPr>
          <w:rFonts w:ascii="Arial Narrow" w:hAnsi="Arial Narrow"/>
          <w:noProof/>
          <w:sz w:val="22"/>
          <w:szCs w:val="22"/>
        </w:rPr>
        <w:t>2021)</w:t>
      </w:r>
      <w:r w:rsidR="00BC41C2">
        <w:rPr>
          <w:rFonts w:ascii="Arial Narrow" w:hAnsi="Arial Narrow"/>
          <w:noProof/>
          <w:sz w:val="22"/>
          <w:szCs w:val="22"/>
        </w:rPr>
        <w:t xml:space="preserve"> </w:t>
      </w:r>
      <w:r w:rsidRPr="00DE0D54">
        <w:rPr>
          <w:rFonts w:ascii="Arial Narrow" w:hAnsi="Arial Narrow"/>
          <w:sz w:val="22"/>
          <w:szCs w:val="22"/>
        </w:rPr>
        <w:t xml:space="preserve">found that AI technologies could add $1.2 trillion to the global economy by 2030, with SSA standing to benefit substantially in agriculture and public services. However, inadequate digital infrastructure and skill gaps remain critical barriers. For example, </w:t>
      </w:r>
      <w:r w:rsidR="001D7CBC" w:rsidRPr="001D7CBC">
        <w:rPr>
          <w:rFonts w:ascii="Arial Narrow" w:hAnsi="Arial Narrow"/>
          <w:noProof/>
          <w:sz w:val="22"/>
          <w:szCs w:val="22"/>
        </w:rPr>
        <w:t xml:space="preserve">Kone &amp; Islam, M, </w:t>
      </w:r>
      <w:r w:rsidR="001D7CBC">
        <w:rPr>
          <w:rFonts w:ascii="Arial Narrow" w:hAnsi="Arial Narrow"/>
          <w:noProof/>
          <w:sz w:val="22"/>
          <w:szCs w:val="22"/>
        </w:rPr>
        <w:t>(</w:t>
      </w:r>
      <w:r w:rsidR="001D7CBC" w:rsidRPr="001D7CBC">
        <w:rPr>
          <w:rFonts w:ascii="Arial Narrow" w:hAnsi="Arial Narrow"/>
          <w:noProof/>
          <w:sz w:val="22"/>
          <w:szCs w:val="22"/>
        </w:rPr>
        <w:t>2022)</w:t>
      </w:r>
      <w:r w:rsidRPr="00DE0D54">
        <w:rPr>
          <w:rFonts w:ascii="Arial Narrow" w:hAnsi="Arial Narrow"/>
          <w:sz w:val="22"/>
          <w:szCs w:val="22"/>
        </w:rPr>
        <w:t xml:space="preserve"> emphasize that SSA’s AI readiness is hampered by underfunded education systems and low innovation expenditure.</w:t>
      </w:r>
      <w:r w:rsidR="00DE0D54" w:rsidRPr="00DE0D54">
        <w:t xml:space="preserve"> </w:t>
      </w:r>
      <w:r w:rsidR="00DE0D54" w:rsidRPr="00DE0D54">
        <w:rPr>
          <w:rFonts w:ascii="Arial Narrow" w:hAnsi="Arial Narrow"/>
          <w:sz w:val="22"/>
          <w:szCs w:val="22"/>
        </w:rPr>
        <w:t xml:space="preserve">Other several studies explore how </w:t>
      </w:r>
      <w:r w:rsidR="00DE0D54" w:rsidRPr="00DE0D54">
        <w:rPr>
          <w:rFonts w:ascii="Arial Narrow" w:hAnsi="Arial Narrow"/>
          <w:sz w:val="22"/>
          <w:szCs w:val="22"/>
        </w:rPr>
        <w:lastRenderedPageBreak/>
        <w:t xml:space="preserve">institutional quality moderates the adoption and impact of technologies. </w:t>
      </w:r>
      <w:r w:rsidR="007550F3">
        <w:rPr>
          <w:rFonts w:ascii="Arial Narrow" w:hAnsi="Arial Narrow"/>
          <w:noProof/>
          <w:sz w:val="22"/>
          <w:szCs w:val="22"/>
        </w:rPr>
        <w:t>Andrews &amp; Criscuolo, C,(</w:t>
      </w:r>
      <w:r w:rsidR="007550F3" w:rsidRPr="007550F3">
        <w:rPr>
          <w:rFonts w:ascii="Arial Narrow" w:hAnsi="Arial Narrow"/>
          <w:noProof/>
          <w:sz w:val="22"/>
          <w:szCs w:val="22"/>
        </w:rPr>
        <w:t>2013)</w:t>
      </w:r>
      <w:r w:rsidR="007550F3">
        <w:rPr>
          <w:rFonts w:ascii="Arial Narrow" w:hAnsi="Arial Narrow"/>
          <w:noProof/>
          <w:sz w:val="22"/>
          <w:szCs w:val="22"/>
        </w:rPr>
        <w:t xml:space="preserve"> </w:t>
      </w:r>
      <w:r w:rsidR="00DE0D54" w:rsidRPr="00DE0D54">
        <w:rPr>
          <w:rFonts w:ascii="Arial Narrow" w:hAnsi="Arial Narrow"/>
          <w:sz w:val="22"/>
          <w:szCs w:val="22"/>
        </w:rPr>
        <w:t xml:space="preserve">find that countries with better institutions experience faster technology diffusion due to enhanced policy support and reduced risks for innovators. In SSA, strong institutions facilitate access to international technology partnerships, boost R&amp;D, and enable regulatory reforms conducive to AI integration </w:t>
      </w:r>
      <w:sdt>
        <w:sdtPr>
          <w:rPr>
            <w:rFonts w:ascii="Arial Narrow" w:hAnsi="Arial Narrow"/>
            <w:sz w:val="22"/>
            <w:szCs w:val="22"/>
          </w:rPr>
          <w:id w:val="1056897247"/>
          <w:citation/>
        </w:sdtPr>
        <w:sdtEndPr/>
        <w:sdtContent>
          <w:r w:rsidR="00FA6AEC">
            <w:rPr>
              <w:rFonts w:ascii="Arial Narrow" w:hAnsi="Arial Narrow"/>
              <w:sz w:val="22"/>
              <w:szCs w:val="22"/>
            </w:rPr>
            <w:fldChar w:fldCharType="begin"/>
          </w:r>
          <w:r w:rsidR="00FA6AEC">
            <w:rPr>
              <w:rFonts w:ascii="Arial Narrow" w:hAnsi="Arial Narrow"/>
              <w:sz w:val="22"/>
              <w:szCs w:val="22"/>
            </w:rPr>
            <w:instrText xml:space="preserve"> CITATION Zha20 \l 1033 </w:instrText>
          </w:r>
          <w:r w:rsidR="00FA6AEC">
            <w:rPr>
              <w:rFonts w:ascii="Arial Narrow" w:hAnsi="Arial Narrow"/>
              <w:sz w:val="22"/>
              <w:szCs w:val="22"/>
            </w:rPr>
            <w:fldChar w:fldCharType="separate"/>
          </w:r>
          <w:r w:rsidR="00FA6AEC" w:rsidRPr="00FA6AEC">
            <w:rPr>
              <w:rFonts w:ascii="Arial Narrow" w:hAnsi="Arial Narrow"/>
              <w:noProof/>
              <w:sz w:val="22"/>
              <w:szCs w:val="22"/>
            </w:rPr>
            <w:t>(Zhao &amp; et al, 2020)</w:t>
          </w:r>
          <w:r w:rsidR="00FA6AEC">
            <w:rPr>
              <w:rFonts w:ascii="Arial Narrow" w:hAnsi="Arial Narrow"/>
              <w:sz w:val="22"/>
              <w:szCs w:val="22"/>
            </w:rPr>
            <w:fldChar w:fldCharType="end"/>
          </w:r>
        </w:sdtContent>
      </w:sdt>
      <w:r w:rsidR="00DE0D54" w:rsidRPr="00DE0D54">
        <w:rPr>
          <w:rFonts w:ascii="Arial Narrow" w:hAnsi="Arial Narrow"/>
          <w:sz w:val="22"/>
          <w:szCs w:val="22"/>
        </w:rPr>
        <w:t>.</w:t>
      </w:r>
      <w:r w:rsidR="003E6538">
        <w:rPr>
          <w:rFonts w:ascii="Arial Narrow" w:hAnsi="Arial Narrow"/>
          <w:sz w:val="22"/>
          <w:szCs w:val="22"/>
        </w:rPr>
        <w:t xml:space="preserve"> In addition,</w:t>
      </w:r>
      <w:r w:rsidR="003E6538" w:rsidRPr="003E6538">
        <w:rPr>
          <w:rFonts w:ascii="Arial Narrow" w:hAnsi="Arial Narrow"/>
          <w:sz w:val="22"/>
          <w:szCs w:val="22"/>
        </w:rPr>
        <w:t xml:space="preserve"> empirical evidence suggests that AI applications have the potential to address key developmental challenges in SSA. For instance, studies by </w:t>
      </w:r>
      <w:sdt>
        <w:sdtPr>
          <w:rPr>
            <w:rFonts w:ascii="Arial Narrow" w:hAnsi="Arial Narrow"/>
            <w:sz w:val="22"/>
            <w:szCs w:val="22"/>
          </w:rPr>
          <w:id w:val="-318033757"/>
          <w:citation/>
        </w:sdtPr>
        <w:sdtEndPr/>
        <w:sdtContent>
          <w:r w:rsidR="00937C83">
            <w:rPr>
              <w:rFonts w:ascii="Arial Narrow" w:hAnsi="Arial Narrow"/>
              <w:sz w:val="22"/>
              <w:szCs w:val="22"/>
            </w:rPr>
            <w:fldChar w:fldCharType="begin"/>
          </w:r>
          <w:r w:rsidR="00937C83">
            <w:rPr>
              <w:rFonts w:ascii="Arial Narrow" w:hAnsi="Arial Narrow"/>
              <w:sz w:val="22"/>
              <w:szCs w:val="22"/>
            </w:rPr>
            <w:instrText xml:space="preserve"> CITATION Ake10 \l 1033 </w:instrText>
          </w:r>
          <w:r w:rsidR="00937C83">
            <w:rPr>
              <w:rFonts w:ascii="Arial Narrow" w:hAnsi="Arial Narrow"/>
              <w:sz w:val="22"/>
              <w:szCs w:val="22"/>
            </w:rPr>
            <w:fldChar w:fldCharType="separate"/>
          </w:r>
          <w:r w:rsidR="00937C83" w:rsidRPr="00937C83">
            <w:rPr>
              <w:rFonts w:ascii="Arial Narrow" w:hAnsi="Arial Narrow"/>
              <w:noProof/>
              <w:sz w:val="22"/>
              <w:szCs w:val="22"/>
            </w:rPr>
            <w:t>(Aker &amp; Mbiti, I.M, 2010)</w:t>
          </w:r>
          <w:r w:rsidR="00937C83">
            <w:rPr>
              <w:rFonts w:ascii="Arial Narrow" w:hAnsi="Arial Narrow"/>
              <w:sz w:val="22"/>
              <w:szCs w:val="22"/>
            </w:rPr>
            <w:fldChar w:fldCharType="end"/>
          </w:r>
        </w:sdtContent>
      </w:sdt>
      <w:r w:rsidR="003E6538" w:rsidRPr="003E6538">
        <w:rPr>
          <w:rFonts w:ascii="Arial Narrow" w:hAnsi="Arial Narrow"/>
          <w:sz w:val="22"/>
          <w:szCs w:val="22"/>
        </w:rPr>
        <w:t xml:space="preserve"> demonstrate how AI-powered mobile applications have revolutionized financial inclusion and agricultural productivity. However, AI's transformative impact is contingent on institutional frameworks that safeguard data privacy, promote fair competition, and incentivize technological investments </w:t>
      </w:r>
      <w:sdt>
        <w:sdtPr>
          <w:rPr>
            <w:rFonts w:ascii="Arial Narrow" w:hAnsi="Arial Narrow"/>
            <w:sz w:val="22"/>
            <w:szCs w:val="22"/>
          </w:rPr>
          <w:id w:val="-874540251"/>
          <w:citation/>
        </w:sdtPr>
        <w:sdtEndPr/>
        <w:sdtContent>
          <w:r w:rsidR="00937C83">
            <w:rPr>
              <w:rFonts w:ascii="Arial Narrow" w:hAnsi="Arial Narrow"/>
              <w:sz w:val="22"/>
              <w:szCs w:val="22"/>
            </w:rPr>
            <w:fldChar w:fldCharType="begin"/>
          </w:r>
          <w:r w:rsidR="00937C83">
            <w:rPr>
              <w:rFonts w:ascii="Arial Narrow" w:hAnsi="Arial Narrow"/>
              <w:sz w:val="22"/>
              <w:szCs w:val="22"/>
            </w:rPr>
            <w:instrText xml:space="preserve"> CITATION Ban20 \l 1033 </w:instrText>
          </w:r>
          <w:r w:rsidR="00937C83">
            <w:rPr>
              <w:rFonts w:ascii="Arial Narrow" w:hAnsi="Arial Narrow"/>
              <w:sz w:val="22"/>
              <w:szCs w:val="22"/>
            </w:rPr>
            <w:fldChar w:fldCharType="separate"/>
          </w:r>
          <w:r w:rsidR="00937C83" w:rsidRPr="00937C83">
            <w:rPr>
              <w:rFonts w:ascii="Arial Narrow" w:hAnsi="Arial Narrow"/>
              <w:noProof/>
              <w:sz w:val="22"/>
              <w:szCs w:val="22"/>
            </w:rPr>
            <w:t>(Banga &amp; te Velde, D. W, 2020)</w:t>
          </w:r>
          <w:r w:rsidR="00937C83">
            <w:rPr>
              <w:rFonts w:ascii="Arial Narrow" w:hAnsi="Arial Narrow"/>
              <w:sz w:val="22"/>
              <w:szCs w:val="22"/>
            </w:rPr>
            <w:fldChar w:fldCharType="end"/>
          </w:r>
        </w:sdtContent>
      </w:sdt>
      <w:r w:rsidR="003E6538" w:rsidRPr="003E6538">
        <w:rPr>
          <w:rFonts w:ascii="Arial Narrow" w:hAnsi="Arial Narrow"/>
          <w:sz w:val="22"/>
          <w:szCs w:val="22"/>
        </w:rPr>
        <w:t>.</w:t>
      </w:r>
    </w:p>
    <w:p w:rsidR="004678D3" w:rsidRPr="003E6538" w:rsidRDefault="003E6538" w:rsidP="00256B6D">
      <w:pPr>
        <w:jc w:val="both"/>
        <w:rPr>
          <w:rFonts w:ascii="Arial Narrow" w:hAnsi="Arial Narrow"/>
        </w:rPr>
      </w:pPr>
      <w:r w:rsidRPr="003E6538">
        <w:rPr>
          <w:rFonts w:ascii="Arial Narrow" w:hAnsi="Arial Narrow"/>
        </w:rPr>
        <w:t xml:space="preserve">While existing studies highlight the individual contributions of institutional quality and AI readiness, research exploring their interplay is still nascent. Recent work by </w:t>
      </w:r>
      <w:r w:rsidR="00296C31">
        <w:rPr>
          <w:rFonts w:ascii="Arial Narrow" w:hAnsi="Arial Narrow"/>
          <w:noProof/>
        </w:rPr>
        <w:t>Yameogo &amp; Senbet, L. W,(</w:t>
      </w:r>
      <w:r w:rsidR="00296C31" w:rsidRPr="00296C31">
        <w:rPr>
          <w:rFonts w:ascii="Arial Narrow" w:hAnsi="Arial Narrow"/>
          <w:noProof/>
        </w:rPr>
        <w:t>2023)</w:t>
      </w:r>
      <w:r w:rsidR="00296C31">
        <w:rPr>
          <w:rFonts w:ascii="Arial Narrow" w:hAnsi="Arial Narrow"/>
        </w:rPr>
        <w:t xml:space="preserve"> </w:t>
      </w:r>
      <w:r w:rsidRPr="003E6538">
        <w:rPr>
          <w:rFonts w:ascii="Arial Narrow" w:hAnsi="Arial Narrow"/>
        </w:rPr>
        <w:t>underscores that the combination of strong institutions and AI readiness could significantly enhance productivity and growth in SSA by reducing inefficiencies and fostering innovation. Their findings highlight the importance of coordinated policies that integrate governance reforms with technological advancements to maximize developmental outcomes.</w:t>
      </w:r>
      <w:r w:rsidR="00DA52E6">
        <w:rPr>
          <w:rFonts w:ascii="Arial Narrow" w:hAnsi="Arial Narrow"/>
        </w:rPr>
        <w:t xml:space="preserve"> </w:t>
      </w:r>
      <w:r w:rsidR="001F1CD8">
        <w:rPr>
          <w:rFonts w:ascii="Arial Narrow" w:hAnsi="Arial Narrow"/>
        </w:rPr>
        <w:t>However, s</w:t>
      </w:r>
      <w:r w:rsidR="001F1CD8" w:rsidRPr="001F1CD8">
        <w:rPr>
          <w:rFonts w:ascii="Arial Narrow" w:hAnsi="Arial Narrow"/>
        </w:rPr>
        <w:t>everal gaps remain. Firstly, there is limited empirical evidence on the causal pathways linking institutional quality and AI readiness to growth in SSA. Secondly, most studies adopt cross-sectional approaches, overlooking the dynamic and evolving nature of institutions and AI readiness over time. Lastly, the role of specific governance dimensions (e.g., regulatory quality, control of corruption) in moderating AI</w:t>
      </w:r>
      <w:r w:rsidR="00473805">
        <w:rPr>
          <w:rFonts w:ascii="Arial Narrow" w:hAnsi="Arial Narrow"/>
        </w:rPr>
        <w:t xml:space="preserve"> adoption remains underexplored, thus this study </w:t>
      </w:r>
      <w:r w:rsidR="00C567BE">
        <w:rPr>
          <w:rFonts w:ascii="Arial Narrow" w:hAnsi="Arial Narrow"/>
        </w:rPr>
        <w:t>examines role of i</w:t>
      </w:r>
      <w:r w:rsidR="00473805">
        <w:rPr>
          <w:rFonts w:ascii="Arial Narrow" w:hAnsi="Arial Narrow"/>
        </w:rPr>
        <w:t>nstitutional</w:t>
      </w:r>
      <w:r w:rsidR="00C567BE" w:rsidRPr="00C567BE">
        <w:rPr>
          <w:rFonts w:ascii="Arial Narrow" w:hAnsi="Arial Narrow"/>
        </w:rPr>
        <w:t xml:space="preserve"> quality and artificial intelligence r</w:t>
      </w:r>
      <w:r w:rsidR="00473805" w:rsidRPr="00C567BE">
        <w:rPr>
          <w:rFonts w:ascii="Arial Narrow" w:hAnsi="Arial Narrow"/>
        </w:rPr>
        <w:t>eadiness</w:t>
      </w:r>
      <w:r w:rsidR="00C567BE" w:rsidRPr="00C567BE">
        <w:rPr>
          <w:rFonts w:ascii="Arial Narrow" w:hAnsi="Arial Narrow"/>
        </w:rPr>
        <w:t xml:space="preserve"> on growth</w:t>
      </w:r>
      <w:r w:rsidR="00473805" w:rsidRPr="00C567BE">
        <w:rPr>
          <w:rFonts w:ascii="Arial Narrow" w:hAnsi="Arial Narrow"/>
        </w:rPr>
        <w:t xml:space="preserve"> in Sub-Saharan Africa</w:t>
      </w:r>
      <w:r w:rsidR="00C567BE">
        <w:rPr>
          <w:rFonts w:ascii="Arial Narrow" w:hAnsi="Arial Narrow"/>
        </w:rPr>
        <w:t>.</w:t>
      </w:r>
    </w:p>
    <w:p w:rsidR="00992280" w:rsidRPr="00206401" w:rsidRDefault="00831E94" w:rsidP="00206401">
      <w:pPr>
        <w:pStyle w:val="NormalWeb"/>
        <w:numPr>
          <w:ilvl w:val="0"/>
          <w:numId w:val="2"/>
        </w:numPr>
        <w:spacing w:line="276" w:lineRule="auto"/>
        <w:rPr>
          <w:rFonts w:ascii="Arial Narrow" w:hAnsi="Arial Narrow"/>
          <w:b/>
          <w:sz w:val="22"/>
          <w:szCs w:val="22"/>
        </w:rPr>
      </w:pPr>
      <w:r w:rsidRPr="00206401">
        <w:rPr>
          <w:rFonts w:ascii="Arial Narrow" w:hAnsi="Arial Narrow"/>
          <w:b/>
          <w:sz w:val="22"/>
          <w:szCs w:val="22"/>
        </w:rPr>
        <w:t xml:space="preserve">The state of the </w:t>
      </w:r>
      <w:r w:rsidR="00D01D9A" w:rsidRPr="00206401">
        <w:rPr>
          <w:rFonts w:ascii="Arial Narrow" w:hAnsi="Arial Narrow"/>
          <w:b/>
          <w:sz w:val="22"/>
          <w:szCs w:val="22"/>
        </w:rPr>
        <w:t>Institutions and AI Readiness in Sub-Saharan</w:t>
      </w:r>
      <w:r w:rsidR="00206401">
        <w:rPr>
          <w:rFonts w:ascii="Arial Narrow" w:hAnsi="Arial Narrow"/>
          <w:b/>
          <w:sz w:val="22"/>
          <w:szCs w:val="22"/>
        </w:rPr>
        <w:t xml:space="preserve"> C</w:t>
      </w:r>
      <w:r w:rsidR="00D01D9A" w:rsidRPr="00206401">
        <w:rPr>
          <w:rFonts w:ascii="Arial Narrow" w:hAnsi="Arial Narrow"/>
          <w:b/>
          <w:sz w:val="22"/>
          <w:szCs w:val="22"/>
        </w:rPr>
        <w:t>ountries</w:t>
      </w:r>
    </w:p>
    <w:p w:rsidR="00074A2A" w:rsidRPr="00206401" w:rsidRDefault="00F0440C" w:rsidP="00206401">
      <w:pPr>
        <w:spacing w:line="276" w:lineRule="auto"/>
        <w:jc w:val="both"/>
        <w:rPr>
          <w:rFonts w:ascii="Arial Narrow" w:hAnsi="Arial Narrow"/>
          <w:b/>
        </w:rPr>
      </w:pPr>
      <w:r w:rsidRPr="00206401">
        <w:rPr>
          <w:rFonts w:ascii="Arial Narrow" w:hAnsi="Arial Narrow"/>
        </w:rPr>
        <w:t>Section 3 examines the relationship between institutional quality and AI readiness in Sub-Saharan African countries. It explores how the strength of governance, regulatory frameworks, and infrastructure influences the region's ability to adopt and integrate artificial intelligence technologies.</w:t>
      </w:r>
    </w:p>
    <w:p w:rsidR="00074A2A" w:rsidRPr="009C1F15" w:rsidRDefault="0028512C" w:rsidP="00206401">
      <w:pPr>
        <w:pStyle w:val="NormalWeb"/>
        <w:spacing w:line="276" w:lineRule="auto"/>
        <w:rPr>
          <w:rFonts w:ascii="Arial Narrow" w:hAnsi="Arial Narrow"/>
          <w:b/>
          <w:sz w:val="22"/>
          <w:szCs w:val="22"/>
        </w:rPr>
      </w:pPr>
      <w:r>
        <w:rPr>
          <w:rFonts w:ascii="Arial Narrow" w:hAnsi="Arial Narrow"/>
          <w:b/>
          <w:sz w:val="22"/>
          <w:szCs w:val="22"/>
        </w:rPr>
        <w:t xml:space="preserve">Figure </w:t>
      </w:r>
      <w:r w:rsidR="009C1F15">
        <w:rPr>
          <w:rFonts w:ascii="Arial Narrow" w:hAnsi="Arial Narrow"/>
          <w:b/>
          <w:sz w:val="22"/>
          <w:szCs w:val="22"/>
        </w:rPr>
        <w:t>1</w:t>
      </w:r>
      <w:r w:rsidR="00B4559E" w:rsidRPr="009C1F15">
        <w:rPr>
          <w:rFonts w:ascii="Arial Narrow" w:hAnsi="Arial Narrow"/>
          <w:b/>
          <w:sz w:val="22"/>
          <w:szCs w:val="22"/>
        </w:rPr>
        <w:t>: Comparison of</w:t>
      </w:r>
      <w:r w:rsidR="00BF09E8" w:rsidRPr="009C1F15">
        <w:rPr>
          <w:rFonts w:ascii="Arial Narrow" w:hAnsi="Arial Narrow"/>
          <w:b/>
          <w:sz w:val="22"/>
          <w:szCs w:val="22"/>
        </w:rPr>
        <w:t xml:space="preserve"> aggregated</w:t>
      </w:r>
      <w:r w:rsidR="00B4559E" w:rsidRPr="009C1F15">
        <w:rPr>
          <w:rFonts w:ascii="Arial Narrow" w:hAnsi="Arial Narrow"/>
          <w:b/>
          <w:sz w:val="22"/>
          <w:szCs w:val="22"/>
        </w:rPr>
        <w:t xml:space="preserve"> institutiona</w:t>
      </w:r>
      <w:r w:rsidR="00BF09E8" w:rsidRPr="009C1F15">
        <w:rPr>
          <w:rFonts w:ascii="Arial Narrow" w:hAnsi="Arial Narrow"/>
          <w:b/>
          <w:sz w:val="22"/>
          <w:szCs w:val="22"/>
        </w:rPr>
        <w:t>l quality indicators</w:t>
      </w:r>
      <w:r w:rsidR="00B4559E" w:rsidRPr="009C1F15">
        <w:rPr>
          <w:rFonts w:ascii="Arial Narrow" w:hAnsi="Arial Narrow"/>
          <w:b/>
          <w:sz w:val="22"/>
          <w:szCs w:val="22"/>
        </w:rPr>
        <w:t xml:space="preserve"> between 2000-2005 and 2015-2020</w:t>
      </w:r>
    </w:p>
    <w:p w:rsidR="00B827B0" w:rsidRPr="00206401" w:rsidRDefault="00074A2A" w:rsidP="00206401">
      <w:pPr>
        <w:pStyle w:val="NormalWeb"/>
        <w:spacing w:line="276" w:lineRule="auto"/>
        <w:rPr>
          <w:rFonts w:ascii="Arial Narrow" w:hAnsi="Arial Narrow"/>
          <w:b/>
          <w:sz w:val="22"/>
          <w:szCs w:val="22"/>
        </w:rPr>
      </w:pPr>
      <w:r w:rsidRPr="00206401">
        <w:rPr>
          <w:rFonts w:ascii="Arial Narrow" w:hAnsi="Arial Narrow"/>
          <w:b/>
          <w:noProof/>
          <w:sz w:val="22"/>
          <w:szCs w:val="22"/>
        </w:rPr>
        <w:drawing>
          <wp:inline distT="0" distB="0" distL="0" distR="0">
            <wp:extent cx="2829339" cy="2290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496" cy="2322646"/>
                    </a:xfrm>
                    <a:prstGeom prst="rect">
                      <a:avLst/>
                    </a:prstGeom>
                    <a:noFill/>
                    <a:ln>
                      <a:noFill/>
                    </a:ln>
                  </pic:spPr>
                </pic:pic>
              </a:graphicData>
            </a:graphic>
          </wp:inline>
        </w:drawing>
      </w:r>
      <w:r w:rsidR="00024308" w:rsidRPr="00206401">
        <w:rPr>
          <w:rFonts w:ascii="Arial Narrow" w:hAnsi="Arial Narrow"/>
          <w:b/>
          <w:sz w:val="22"/>
          <w:szCs w:val="22"/>
        </w:rPr>
        <w:t xml:space="preserve"> </w:t>
      </w:r>
      <w:r w:rsidR="00024308" w:rsidRPr="00206401">
        <w:rPr>
          <w:rFonts w:ascii="Arial Narrow" w:hAnsi="Arial Narrow"/>
          <w:b/>
          <w:noProof/>
          <w:sz w:val="22"/>
          <w:szCs w:val="22"/>
        </w:rPr>
        <w:drawing>
          <wp:inline distT="0" distB="0" distL="0" distR="0">
            <wp:extent cx="2842592" cy="2301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3726" cy="2350732"/>
                    </a:xfrm>
                    <a:prstGeom prst="rect">
                      <a:avLst/>
                    </a:prstGeom>
                    <a:noFill/>
                    <a:ln>
                      <a:noFill/>
                    </a:ln>
                  </pic:spPr>
                </pic:pic>
              </a:graphicData>
            </a:graphic>
          </wp:inline>
        </w:drawing>
      </w:r>
      <w:r w:rsidR="00B827B0" w:rsidRPr="00206401">
        <w:rPr>
          <w:rFonts w:ascii="Arial Narrow" w:hAnsi="Arial Narrow"/>
          <w:b/>
          <w:sz w:val="22"/>
          <w:szCs w:val="22"/>
        </w:rPr>
        <w:t xml:space="preserve">Source: </w:t>
      </w:r>
      <w:r w:rsidR="00B827B0" w:rsidRPr="009C1F15">
        <w:rPr>
          <w:rFonts w:ascii="Arial Narrow" w:hAnsi="Arial Narrow"/>
          <w:sz w:val="22"/>
          <w:szCs w:val="22"/>
        </w:rPr>
        <w:t>Author’s own computation</w:t>
      </w:r>
    </w:p>
    <w:p w:rsidR="0024263D" w:rsidRPr="009C1F15" w:rsidRDefault="00250476" w:rsidP="009C1F15">
      <w:pPr>
        <w:spacing w:before="100" w:beforeAutospacing="1" w:after="100" w:afterAutospacing="1" w:line="276" w:lineRule="auto"/>
        <w:jc w:val="both"/>
        <w:rPr>
          <w:rFonts w:ascii="Arial Narrow" w:eastAsia="Times New Roman" w:hAnsi="Arial Narrow" w:cs="Times New Roman"/>
        </w:rPr>
      </w:pPr>
      <w:r>
        <w:rPr>
          <w:rFonts w:ascii="Arial Narrow" w:eastAsia="Times New Roman" w:hAnsi="Arial Narrow" w:cs="Times New Roman"/>
        </w:rPr>
        <w:t>Figure 1 compares the</w:t>
      </w:r>
      <w:r w:rsidR="00B12212" w:rsidRPr="00B12212">
        <w:rPr>
          <w:rFonts w:ascii="Arial Narrow" w:eastAsia="Times New Roman" w:hAnsi="Arial Narrow" w:cs="Times New Roman"/>
        </w:rPr>
        <w:t xml:space="preserve"> institutional quality indicators in Sub-Saharan Africa for the periods 2000-2005 and 2015-2020 indicates varying degrees of progress in governance and institutional reforms. During 2000-2005, many countries faced </w:t>
      </w:r>
      <w:r w:rsidR="00B12212" w:rsidRPr="00B12212">
        <w:rPr>
          <w:rFonts w:ascii="Arial Narrow" w:eastAsia="Times New Roman" w:hAnsi="Arial Narrow" w:cs="Times New Roman"/>
        </w:rPr>
        <w:lastRenderedPageBreak/>
        <w:t>challenges in areas such as government effectiveness and regulatory quality, reflecting constraints in state capacity and governance systems. By 2015-2020, some improvements were observed in these indicators, possibly linked to reforms in public administration and regulatory frameworks. Countries like Rwanda and Botswana demonstrated progress in enhancing institutional performance, while others, particularly those experiencing prolonged conflict or instability, had more limited advancements.</w:t>
      </w:r>
      <w:r w:rsidR="00DA335E">
        <w:rPr>
          <w:rFonts w:ascii="Arial Narrow" w:eastAsia="Times New Roman" w:hAnsi="Arial Narrow" w:cs="Times New Roman"/>
        </w:rPr>
        <w:t xml:space="preserve"> </w:t>
      </w:r>
    </w:p>
    <w:p w:rsidR="00BF09E8" w:rsidRPr="00206401" w:rsidRDefault="00DA335E" w:rsidP="00206401">
      <w:pPr>
        <w:pStyle w:val="NormalWeb"/>
        <w:spacing w:line="276" w:lineRule="auto"/>
        <w:rPr>
          <w:rFonts w:ascii="Arial Narrow" w:hAnsi="Arial Narrow"/>
          <w:b/>
          <w:sz w:val="22"/>
          <w:szCs w:val="22"/>
        </w:rPr>
      </w:pPr>
      <w:r>
        <w:rPr>
          <w:rFonts w:ascii="Arial Narrow" w:hAnsi="Arial Narrow"/>
          <w:b/>
          <w:sz w:val="22"/>
          <w:szCs w:val="22"/>
        </w:rPr>
        <w:t xml:space="preserve">Figure </w:t>
      </w:r>
      <w:r w:rsidR="004047E6">
        <w:rPr>
          <w:rFonts w:ascii="Arial Narrow" w:hAnsi="Arial Narrow"/>
          <w:b/>
          <w:sz w:val="22"/>
          <w:szCs w:val="22"/>
        </w:rPr>
        <w:t>2</w:t>
      </w:r>
      <w:r w:rsidR="00BF09E8" w:rsidRPr="00206401">
        <w:rPr>
          <w:rFonts w:ascii="Arial Narrow" w:hAnsi="Arial Narrow"/>
          <w:b/>
          <w:sz w:val="22"/>
          <w:szCs w:val="22"/>
        </w:rPr>
        <w:t>: Contributions of institutional quality indicators between 2000-2005 and 2015-2020</w:t>
      </w:r>
    </w:p>
    <w:p w:rsidR="00DF3AC8" w:rsidRPr="005D2167" w:rsidRDefault="00BF09E8" w:rsidP="00206401">
      <w:pPr>
        <w:pStyle w:val="NormalWeb"/>
        <w:spacing w:line="276" w:lineRule="auto"/>
        <w:rPr>
          <w:rFonts w:ascii="Arial Narrow" w:hAnsi="Arial Narrow"/>
          <w:sz w:val="22"/>
          <w:szCs w:val="22"/>
        </w:rPr>
      </w:pPr>
      <w:r w:rsidRPr="00206401">
        <w:rPr>
          <w:rFonts w:ascii="Arial Narrow" w:hAnsi="Arial Narrow"/>
          <w:noProof/>
          <w:sz w:val="22"/>
          <w:szCs w:val="22"/>
        </w:rPr>
        <w:drawing>
          <wp:inline distT="0" distB="0" distL="0" distR="0">
            <wp:extent cx="2769704" cy="2331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468" cy="2350431"/>
                    </a:xfrm>
                    <a:prstGeom prst="rect">
                      <a:avLst/>
                    </a:prstGeom>
                    <a:noFill/>
                    <a:ln>
                      <a:noFill/>
                    </a:ln>
                  </pic:spPr>
                </pic:pic>
              </a:graphicData>
            </a:graphic>
          </wp:inline>
        </w:drawing>
      </w:r>
      <w:r w:rsidRPr="00206401">
        <w:rPr>
          <w:rFonts w:ascii="Arial Narrow" w:hAnsi="Arial Narrow"/>
          <w:sz w:val="22"/>
          <w:szCs w:val="22"/>
        </w:rPr>
        <w:t xml:space="preserve"> </w:t>
      </w:r>
      <w:r w:rsidRPr="00206401">
        <w:rPr>
          <w:rFonts w:ascii="Arial Narrow" w:hAnsi="Arial Narrow"/>
          <w:noProof/>
          <w:sz w:val="22"/>
          <w:szCs w:val="22"/>
        </w:rPr>
        <w:drawing>
          <wp:inline distT="0" distB="0" distL="0" distR="0">
            <wp:extent cx="3013699" cy="233754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506" cy="2366094"/>
                    </a:xfrm>
                    <a:prstGeom prst="rect">
                      <a:avLst/>
                    </a:prstGeom>
                    <a:noFill/>
                    <a:ln>
                      <a:noFill/>
                    </a:ln>
                  </pic:spPr>
                </pic:pic>
              </a:graphicData>
            </a:graphic>
          </wp:inline>
        </w:drawing>
      </w:r>
      <w:r w:rsidR="00DF3AC8" w:rsidRPr="00206401">
        <w:rPr>
          <w:rFonts w:ascii="Arial Narrow" w:hAnsi="Arial Narrow"/>
          <w:b/>
          <w:sz w:val="22"/>
          <w:szCs w:val="22"/>
        </w:rPr>
        <w:t xml:space="preserve">Source: </w:t>
      </w:r>
      <w:r w:rsidR="00DF3AC8" w:rsidRPr="009C1F15">
        <w:rPr>
          <w:rFonts w:ascii="Arial Narrow" w:hAnsi="Arial Narrow"/>
          <w:sz w:val="22"/>
          <w:szCs w:val="22"/>
        </w:rPr>
        <w:t>Author’s own computation</w:t>
      </w:r>
    </w:p>
    <w:p w:rsidR="0024263D" w:rsidRPr="00206401" w:rsidRDefault="009E087C" w:rsidP="00206401">
      <w:pPr>
        <w:spacing w:before="100" w:beforeAutospacing="1" w:after="100" w:afterAutospacing="1" w:line="276" w:lineRule="auto"/>
        <w:jc w:val="both"/>
        <w:rPr>
          <w:rFonts w:ascii="Arial Narrow" w:eastAsia="Times New Roman" w:hAnsi="Arial Narrow" w:cs="Times New Roman"/>
        </w:rPr>
      </w:pPr>
      <w:r w:rsidRPr="00206401">
        <w:rPr>
          <w:rFonts w:ascii="Arial Narrow" w:eastAsia="Times New Roman" w:hAnsi="Arial Narrow" w:cs="Times New Roman"/>
        </w:rPr>
        <w:t xml:space="preserve">When we look </w:t>
      </w:r>
      <w:r w:rsidR="00B2549D" w:rsidRPr="00206401">
        <w:rPr>
          <w:rFonts w:ascii="Arial Narrow" w:eastAsia="Times New Roman" w:hAnsi="Arial Narrow" w:cs="Times New Roman"/>
        </w:rPr>
        <w:t xml:space="preserve">at </w:t>
      </w:r>
      <w:r w:rsidR="00B2549D">
        <w:rPr>
          <w:rFonts w:ascii="Arial Narrow" w:eastAsia="Times New Roman" w:hAnsi="Arial Narrow" w:cs="Times New Roman"/>
        </w:rPr>
        <w:t xml:space="preserve">figure 2, </w:t>
      </w:r>
      <w:r w:rsidR="0024263D" w:rsidRPr="00206401">
        <w:rPr>
          <w:rFonts w:ascii="Arial Narrow" w:eastAsia="Times New Roman" w:hAnsi="Arial Narrow" w:cs="Times New Roman"/>
        </w:rPr>
        <w:t xml:space="preserve">the </w:t>
      </w:r>
      <w:r w:rsidRPr="009E087C">
        <w:rPr>
          <w:rFonts w:ascii="Arial Narrow" w:eastAsia="Times New Roman" w:hAnsi="Arial Narrow" w:cs="Times New Roman"/>
        </w:rPr>
        <w:t xml:space="preserve">contributions of institutional quality indicators between 2000-2005 and 2015-2020 </w:t>
      </w:r>
      <w:r w:rsidR="0024263D" w:rsidRPr="00206401">
        <w:rPr>
          <w:rFonts w:ascii="Arial Narrow" w:eastAsia="Times New Roman" w:hAnsi="Arial Narrow" w:cs="Times New Roman"/>
        </w:rPr>
        <w:t>we see</w:t>
      </w:r>
      <w:r w:rsidRPr="009E087C">
        <w:rPr>
          <w:rFonts w:ascii="Arial Narrow" w:eastAsia="Times New Roman" w:hAnsi="Arial Narrow" w:cs="Times New Roman"/>
        </w:rPr>
        <w:t xml:space="preserve"> mixed progress across different governance dimensions. In the earlier period, challenges such as limited state capacity, weaker regulatory frameworks, and constrained public sector efficiency were prominent across the region. By 2015-2020, certain countries, including Rwanda, Ghana, and Senegal, exhibited notable improvements in some indicators, such as government effectiveness and regulatory quality, attributed to reforms aimed at enhancing public service delivery and fostering a more conducive business environment. For example, Rwanda's focus on administrative efficiency and anti-corruption measures helped streamline public services, while Ghana and Senegal made strides in improving regulatory systems to attract investment and support economic diversification.</w:t>
      </w:r>
    </w:p>
    <w:p w:rsidR="00CF75F4" w:rsidRDefault="0024263D" w:rsidP="00206401">
      <w:pPr>
        <w:spacing w:before="100" w:beforeAutospacing="1" w:after="100" w:afterAutospacing="1" w:line="276" w:lineRule="auto"/>
        <w:jc w:val="both"/>
        <w:rPr>
          <w:rFonts w:ascii="Arial Narrow" w:eastAsia="Times New Roman" w:hAnsi="Arial Narrow" w:cs="Times New Roman"/>
        </w:rPr>
      </w:pPr>
      <w:r w:rsidRPr="00B12212">
        <w:rPr>
          <w:rFonts w:ascii="Arial Narrow" w:eastAsia="Times New Roman" w:hAnsi="Arial Narrow" w:cs="Times New Roman"/>
        </w:rPr>
        <w:t xml:space="preserve">Despite observed progress in some indicators, issues such as corruption and challenges in strengthening the rule of law remain areas for further attention. Regional disparities in institutional development point to the need for context-specific approaches to reforms. While certain nations have benefited from increased economic activity and improved governance structures, others may require sustained efforts to address institutional weaknesses. </w:t>
      </w:r>
    </w:p>
    <w:p w:rsidR="009C1F15" w:rsidRDefault="009C1F15" w:rsidP="00206401">
      <w:pPr>
        <w:spacing w:before="100" w:beforeAutospacing="1" w:after="100" w:afterAutospacing="1" w:line="276" w:lineRule="auto"/>
        <w:jc w:val="both"/>
        <w:rPr>
          <w:rFonts w:ascii="Arial Narrow" w:eastAsia="Times New Roman" w:hAnsi="Arial Narrow" w:cs="Times New Roman"/>
        </w:rPr>
      </w:pPr>
    </w:p>
    <w:p w:rsidR="00256B6D" w:rsidRDefault="00256B6D" w:rsidP="00206401">
      <w:pPr>
        <w:spacing w:before="100" w:beforeAutospacing="1" w:after="100" w:afterAutospacing="1" w:line="276" w:lineRule="auto"/>
        <w:jc w:val="both"/>
        <w:rPr>
          <w:rFonts w:ascii="Arial Narrow" w:eastAsia="Times New Roman" w:hAnsi="Arial Narrow" w:cs="Times New Roman"/>
        </w:rPr>
      </w:pPr>
    </w:p>
    <w:p w:rsidR="009C1F15" w:rsidRDefault="009C1F15" w:rsidP="00206401">
      <w:pPr>
        <w:spacing w:before="100" w:beforeAutospacing="1" w:after="100" w:afterAutospacing="1" w:line="276" w:lineRule="auto"/>
        <w:jc w:val="both"/>
        <w:rPr>
          <w:rFonts w:ascii="Arial Narrow" w:eastAsia="Times New Roman" w:hAnsi="Arial Narrow" w:cs="Times New Roman"/>
        </w:rPr>
      </w:pPr>
    </w:p>
    <w:p w:rsidR="00067792" w:rsidRDefault="00067792" w:rsidP="00206401">
      <w:pPr>
        <w:spacing w:before="100" w:beforeAutospacing="1" w:after="100" w:afterAutospacing="1" w:line="276" w:lineRule="auto"/>
        <w:jc w:val="both"/>
        <w:rPr>
          <w:rFonts w:ascii="Arial Narrow" w:eastAsia="Times New Roman" w:hAnsi="Arial Narrow" w:cs="Times New Roman"/>
        </w:rPr>
      </w:pPr>
    </w:p>
    <w:p w:rsidR="00B2549D" w:rsidRDefault="00B2549D" w:rsidP="00206401">
      <w:pPr>
        <w:spacing w:before="100" w:beforeAutospacing="1" w:after="100" w:afterAutospacing="1" w:line="276" w:lineRule="auto"/>
        <w:jc w:val="both"/>
        <w:rPr>
          <w:rFonts w:ascii="Arial Narrow" w:eastAsia="Times New Roman" w:hAnsi="Arial Narrow" w:cs="Times New Roman"/>
        </w:rPr>
      </w:pPr>
    </w:p>
    <w:p w:rsidR="00B2549D" w:rsidRPr="00206401" w:rsidRDefault="00B2549D" w:rsidP="00206401">
      <w:pPr>
        <w:spacing w:before="100" w:beforeAutospacing="1" w:after="100" w:afterAutospacing="1" w:line="276" w:lineRule="auto"/>
        <w:jc w:val="both"/>
        <w:rPr>
          <w:rFonts w:ascii="Arial Narrow" w:eastAsia="Times New Roman" w:hAnsi="Arial Narrow" w:cs="Times New Roman"/>
        </w:rPr>
      </w:pPr>
    </w:p>
    <w:p w:rsidR="00CF75F4" w:rsidRPr="00206401" w:rsidRDefault="00D4090B" w:rsidP="00206401">
      <w:pPr>
        <w:pStyle w:val="NormalWeb"/>
        <w:spacing w:line="276" w:lineRule="auto"/>
        <w:rPr>
          <w:rFonts w:ascii="Arial Narrow" w:hAnsi="Arial Narrow"/>
          <w:b/>
          <w:sz w:val="22"/>
          <w:szCs w:val="22"/>
        </w:rPr>
      </w:pPr>
      <w:r>
        <w:rPr>
          <w:rFonts w:ascii="Arial Narrow" w:hAnsi="Arial Narrow"/>
          <w:b/>
          <w:sz w:val="22"/>
          <w:szCs w:val="22"/>
        </w:rPr>
        <w:t>Figure 3</w:t>
      </w:r>
      <w:r w:rsidR="001A31E7" w:rsidRPr="00206401">
        <w:rPr>
          <w:rFonts w:ascii="Arial Narrow" w:hAnsi="Arial Narrow"/>
          <w:b/>
          <w:sz w:val="22"/>
          <w:szCs w:val="22"/>
        </w:rPr>
        <w:t>: Sub-Saharan</w:t>
      </w:r>
      <w:r w:rsidR="00230D86" w:rsidRPr="00206401">
        <w:rPr>
          <w:rFonts w:ascii="Arial Narrow" w:hAnsi="Arial Narrow"/>
          <w:b/>
          <w:sz w:val="22"/>
          <w:szCs w:val="22"/>
        </w:rPr>
        <w:t xml:space="preserve"> </w:t>
      </w:r>
      <w:r w:rsidR="00AC12A6" w:rsidRPr="00206401">
        <w:rPr>
          <w:rFonts w:ascii="Arial Narrow" w:hAnsi="Arial Narrow"/>
          <w:b/>
          <w:sz w:val="22"/>
          <w:szCs w:val="22"/>
        </w:rPr>
        <w:t xml:space="preserve">Africa Artificial Intelligence Reediness and its three </w:t>
      </w:r>
      <w:r w:rsidR="00F738C9" w:rsidRPr="00206401">
        <w:rPr>
          <w:rFonts w:ascii="Arial Narrow" w:hAnsi="Arial Narrow"/>
          <w:b/>
          <w:sz w:val="22"/>
          <w:szCs w:val="22"/>
        </w:rPr>
        <w:t>Contributions</w:t>
      </w:r>
      <w:r w:rsidR="00AC12A6" w:rsidRPr="00206401">
        <w:rPr>
          <w:rFonts w:ascii="Arial Narrow" w:hAnsi="Arial Narrow"/>
          <w:b/>
          <w:sz w:val="22"/>
          <w:szCs w:val="22"/>
        </w:rPr>
        <w:t xml:space="preserve"> pillars</w:t>
      </w:r>
    </w:p>
    <w:p w:rsidR="00DF3AC8" w:rsidRPr="003A0A6B" w:rsidRDefault="001A31E7" w:rsidP="00206401">
      <w:pPr>
        <w:pStyle w:val="NormalWeb"/>
        <w:spacing w:line="276" w:lineRule="auto"/>
        <w:rPr>
          <w:rFonts w:ascii="Arial Narrow" w:hAnsi="Arial Narrow"/>
          <w:sz w:val="22"/>
          <w:szCs w:val="22"/>
        </w:rPr>
      </w:pPr>
      <w:r w:rsidRPr="00206401">
        <w:rPr>
          <w:rFonts w:ascii="Arial Narrow" w:hAnsi="Arial Narrow"/>
          <w:noProof/>
          <w:sz w:val="22"/>
          <w:szCs w:val="22"/>
        </w:rPr>
        <w:drawing>
          <wp:inline distT="0" distB="0" distL="0" distR="0" wp14:anchorId="1FA794FD" wp14:editId="7B0B7277">
            <wp:extent cx="2841508" cy="2122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852" cy="2145433"/>
                    </a:xfrm>
                    <a:prstGeom prst="rect">
                      <a:avLst/>
                    </a:prstGeom>
                    <a:noFill/>
                    <a:ln>
                      <a:noFill/>
                    </a:ln>
                  </pic:spPr>
                </pic:pic>
              </a:graphicData>
            </a:graphic>
          </wp:inline>
        </w:drawing>
      </w:r>
      <w:r w:rsidR="00AC12A6" w:rsidRPr="00206401">
        <w:rPr>
          <w:rFonts w:ascii="Arial Narrow" w:hAnsi="Arial Narrow"/>
          <w:sz w:val="22"/>
          <w:szCs w:val="22"/>
        </w:rPr>
        <w:t xml:space="preserve"> </w:t>
      </w:r>
      <w:r w:rsidR="00AC12A6" w:rsidRPr="00206401">
        <w:rPr>
          <w:rFonts w:ascii="Arial Narrow" w:hAnsi="Arial Narrow"/>
          <w:noProof/>
          <w:sz w:val="22"/>
          <w:szCs w:val="22"/>
        </w:rPr>
        <w:drawing>
          <wp:inline distT="0" distB="0" distL="0" distR="0">
            <wp:extent cx="2894835" cy="211694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1686" cy="2136576"/>
                    </a:xfrm>
                    <a:prstGeom prst="rect">
                      <a:avLst/>
                    </a:prstGeom>
                    <a:noFill/>
                    <a:ln>
                      <a:noFill/>
                    </a:ln>
                  </pic:spPr>
                </pic:pic>
              </a:graphicData>
            </a:graphic>
          </wp:inline>
        </w:drawing>
      </w:r>
      <w:r w:rsidR="00DF3AC8" w:rsidRPr="00206401">
        <w:rPr>
          <w:rFonts w:ascii="Arial Narrow" w:hAnsi="Arial Narrow"/>
          <w:b/>
          <w:sz w:val="22"/>
          <w:szCs w:val="22"/>
        </w:rPr>
        <w:t xml:space="preserve">Source: </w:t>
      </w:r>
      <w:r w:rsidR="00DF3AC8" w:rsidRPr="003A0A6B">
        <w:rPr>
          <w:rFonts w:ascii="Arial Narrow" w:hAnsi="Arial Narrow"/>
          <w:sz w:val="22"/>
          <w:szCs w:val="22"/>
        </w:rPr>
        <w:t>Author’s own computation</w:t>
      </w:r>
    </w:p>
    <w:p w:rsidR="005A4DCE" w:rsidRPr="005A4DCE" w:rsidRDefault="00B2549D" w:rsidP="00206401">
      <w:pPr>
        <w:spacing w:before="100" w:beforeAutospacing="1" w:after="100" w:afterAutospacing="1" w:line="276" w:lineRule="auto"/>
        <w:jc w:val="both"/>
        <w:rPr>
          <w:rFonts w:ascii="Arial Narrow" w:eastAsia="Times New Roman" w:hAnsi="Arial Narrow" w:cs="Times New Roman"/>
        </w:rPr>
      </w:pPr>
      <w:r>
        <w:rPr>
          <w:rFonts w:ascii="Arial Narrow" w:eastAsia="Times New Roman" w:hAnsi="Arial Narrow" w:cs="Times New Roman"/>
        </w:rPr>
        <w:t>Figure3 indicates that i</w:t>
      </w:r>
      <w:r w:rsidR="005A4DCE" w:rsidRPr="005A4DCE">
        <w:rPr>
          <w:rFonts w:ascii="Arial Narrow" w:eastAsia="Times New Roman" w:hAnsi="Arial Narrow" w:cs="Times New Roman"/>
        </w:rPr>
        <w:t xml:space="preserve">n 2023, Sub-Saharan Africa's readiness for artificial intelligence (AI) is shaped by three key pillars: infrastructure, human capacity, and governance. Mauritius, South Africa, and Rwanda have made noticeable progress </w:t>
      </w:r>
      <w:r w:rsidR="00FB3E21">
        <w:rPr>
          <w:rFonts w:ascii="Arial Narrow" w:eastAsia="Times New Roman" w:hAnsi="Arial Narrow" w:cs="Times New Roman"/>
        </w:rPr>
        <w:t>i</w:t>
      </w:r>
      <w:r w:rsidR="005A4DCE" w:rsidRPr="005A4DCE">
        <w:rPr>
          <w:rFonts w:ascii="Arial Narrow" w:eastAsia="Times New Roman" w:hAnsi="Arial Narrow" w:cs="Times New Roman"/>
        </w:rPr>
        <w:t>n these areas. Mauritius has worked to strengthen its digital infrastructure, creating an environment that encourages AI innovation and research. South Africa, with its relatively advanced industrial base, has integrated AI into sectors such as healthcare and finance, benefiting from a skilled workforce and research institutions. Rwanda, through its Smart Rwanda Master Plan, has incorporated AI into its national development agenda, focusing on digital transformation and government service delivery.</w:t>
      </w:r>
      <w:r w:rsidR="003A0A6B">
        <w:rPr>
          <w:rFonts w:ascii="Arial Narrow" w:eastAsia="Times New Roman" w:hAnsi="Arial Narrow" w:cs="Times New Roman"/>
        </w:rPr>
        <w:t xml:space="preserve"> </w:t>
      </w:r>
      <w:r w:rsidR="005A4DCE" w:rsidRPr="005A4DCE">
        <w:rPr>
          <w:rFonts w:ascii="Arial Narrow" w:eastAsia="Times New Roman" w:hAnsi="Arial Narrow" w:cs="Times New Roman"/>
        </w:rPr>
        <w:t>However, challenges still exist across the region. While countries like Rwanda have made efforts to develop governance frameworks for AI, others like South Africa and Mauritius are still working on refining regulations to balance innovation with ethical considerations. Additionally, there are disparities in the availability of digital infrastructure, particularly in more rural areas, which may affect broader access to AI technologies.</w:t>
      </w:r>
    </w:p>
    <w:p w:rsidR="00CF75F4" w:rsidRPr="00206401" w:rsidRDefault="000F7B7A" w:rsidP="00206401">
      <w:pPr>
        <w:pStyle w:val="NormalWeb"/>
        <w:spacing w:line="276" w:lineRule="auto"/>
        <w:rPr>
          <w:rFonts w:ascii="Arial Narrow" w:hAnsi="Arial Narrow"/>
          <w:b/>
          <w:sz w:val="22"/>
          <w:szCs w:val="22"/>
        </w:rPr>
      </w:pPr>
      <w:r>
        <w:rPr>
          <w:rFonts w:ascii="Arial Narrow" w:hAnsi="Arial Narrow"/>
          <w:b/>
          <w:sz w:val="22"/>
          <w:szCs w:val="22"/>
        </w:rPr>
        <w:t>Figure 4</w:t>
      </w:r>
      <w:r w:rsidR="005A4DCE" w:rsidRPr="00206401">
        <w:rPr>
          <w:rFonts w:ascii="Arial Narrow" w:hAnsi="Arial Narrow"/>
          <w:b/>
          <w:sz w:val="22"/>
          <w:szCs w:val="22"/>
        </w:rPr>
        <w:t>: Correlation between institutional quality and AI readiness in sub-Saharan Africa</w:t>
      </w:r>
    </w:p>
    <w:p w:rsidR="003A0A6B" w:rsidRPr="003A0A6B" w:rsidRDefault="00B65187" w:rsidP="003A0A6B">
      <w:pPr>
        <w:pStyle w:val="NormalWeb"/>
        <w:spacing w:line="276" w:lineRule="auto"/>
        <w:rPr>
          <w:rFonts w:ascii="Arial Narrow" w:hAnsi="Arial Narrow"/>
          <w:sz w:val="22"/>
          <w:szCs w:val="22"/>
        </w:rPr>
      </w:pPr>
      <w:r w:rsidRPr="00206401">
        <w:rPr>
          <w:rFonts w:ascii="Arial Narrow" w:hAnsi="Arial Narrow"/>
          <w:noProof/>
          <w:sz w:val="22"/>
          <w:szCs w:val="22"/>
        </w:rPr>
        <w:lastRenderedPageBreak/>
        <w:drawing>
          <wp:inline distT="0" distB="0" distL="0" distR="0">
            <wp:extent cx="5835650" cy="2584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1619" cy="2609237"/>
                    </a:xfrm>
                    <a:prstGeom prst="rect">
                      <a:avLst/>
                    </a:prstGeom>
                    <a:noFill/>
                    <a:ln>
                      <a:noFill/>
                    </a:ln>
                  </pic:spPr>
                </pic:pic>
              </a:graphicData>
            </a:graphic>
          </wp:inline>
        </w:drawing>
      </w:r>
      <w:r w:rsidR="003A0A6B" w:rsidRPr="00206401">
        <w:rPr>
          <w:rFonts w:ascii="Arial Narrow" w:hAnsi="Arial Narrow"/>
          <w:b/>
          <w:sz w:val="22"/>
          <w:szCs w:val="22"/>
        </w:rPr>
        <w:t xml:space="preserve">Source: </w:t>
      </w:r>
      <w:r w:rsidR="003A0A6B" w:rsidRPr="003A0A6B">
        <w:rPr>
          <w:rFonts w:ascii="Arial Narrow" w:hAnsi="Arial Narrow"/>
          <w:sz w:val="22"/>
          <w:szCs w:val="22"/>
        </w:rPr>
        <w:t>Author’s own computation</w:t>
      </w:r>
    </w:p>
    <w:p w:rsidR="003A0A6B" w:rsidRPr="00206401" w:rsidRDefault="003A0A6B" w:rsidP="00206401">
      <w:pPr>
        <w:pStyle w:val="NormalWeb"/>
        <w:spacing w:line="276" w:lineRule="auto"/>
        <w:rPr>
          <w:rFonts w:ascii="Arial Narrow" w:hAnsi="Arial Narrow"/>
          <w:sz w:val="22"/>
          <w:szCs w:val="22"/>
        </w:rPr>
      </w:pPr>
    </w:p>
    <w:p w:rsidR="00113408" w:rsidRPr="000739D0" w:rsidRDefault="00224284" w:rsidP="00206401">
      <w:pPr>
        <w:spacing w:before="100" w:beforeAutospacing="1" w:after="100" w:afterAutospacing="1" w:line="276" w:lineRule="auto"/>
        <w:jc w:val="both"/>
        <w:rPr>
          <w:rFonts w:ascii="Arial Narrow" w:eastAsia="Times New Roman" w:hAnsi="Arial Narrow" w:cs="Times New Roman"/>
        </w:rPr>
      </w:pPr>
      <w:r>
        <w:rPr>
          <w:rFonts w:ascii="Arial Narrow" w:eastAsia="Times New Roman" w:hAnsi="Arial Narrow" w:cs="Times New Roman"/>
        </w:rPr>
        <w:t>Figure4</w:t>
      </w:r>
      <w:r w:rsidR="00113408" w:rsidRPr="000739D0">
        <w:rPr>
          <w:rFonts w:ascii="Arial Narrow" w:eastAsia="Times New Roman" w:hAnsi="Arial Narrow" w:cs="Times New Roman"/>
        </w:rPr>
        <w:t xml:space="preserve"> illustrates a general trend where higher institutional quality is associated with greater AI readiness in Sub-Saharan Africa. For example, </w:t>
      </w:r>
      <w:r w:rsidR="00113408" w:rsidRPr="00206401">
        <w:rPr>
          <w:rFonts w:ascii="Arial Narrow" w:eastAsia="Times New Roman" w:hAnsi="Arial Narrow" w:cs="Times New Roman"/>
          <w:bCs/>
        </w:rPr>
        <w:t>Mauritius</w:t>
      </w:r>
      <w:r w:rsidR="00113408" w:rsidRPr="000739D0">
        <w:rPr>
          <w:rFonts w:ascii="Arial Narrow" w:eastAsia="Times New Roman" w:hAnsi="Arial Narrow" w:cs="Times New Roman"/>
        </w:rPr>
        <w:t xml:space="preserve">, which performs well in both institutional quality and AI readiness, reflects its stable institutional frameworks and proactive policies that have supported AI development. </w:t>
      </w:r>
      <w:r w:rsidR="00113408" w:rsidRPr="00206401">
        <w:rPr>
          <w:rFonts w:ascii="Arial Narrow" w:eastAsia="Times New Roman" w:hAnsi="Arial Narrow" w:cs="Times New Roman"/>
          <w:bCs/>
        </w:rPr>
        <w:t>Rwanda</w:t>
      </w:r>
      <w:r w:rsidR="00113408" w:rsidRPr="000739D0">
        <w:rPr>
          <w:rFonts w:ascii="Arial Narrow" w:eastAsia="Times New Roman" w:hAnsi="Arial Narrow" w:cs="Times New Roman"/>
        </w:rPr>
        <w:t>, while not at the same level as Mauritius, shows a similar pattern, with improvements in governance and the implementation of the Smart Rwanda Master Plan contributing to progress in AI adoption. This suggests that sound institutions can help create an environment conducive to the development of AI technologies.</w:t>
      </w:r>
      <w:r w:rsidR="00113408" w:rsidRPr="00206401">
        <w:rPr>
          <w:rFonts w:ascii="Arial Narrow" w:eastAsia="Times New Roman" w:hAnsi="Arial Narrow" w:cs="Times New Roman"/>
        </w:rPr>
        <w:t xml:space="preserve"> </w:t>
      </w:r>
      <w:r w:rsidR="00113408" w:rsidRPr="000739D0">
        <w:rPr>
          <w:rFonts w:ascii="Arial Narrow" w:eastAsia="Times New Roman" w:hAnsi="Arial Narrow" w:cs="Times New Roman"/>
        </w:rPr>
        <w:t xml:space="preserve">Similarly, </w:t>
      </w:r>
      <w:r w:rsidR="00113408" w:rsidRPr="00206401">
        <w:rPr>
          <w:rFonts w:ascii="Arial Narrow" w:eastAsia="Times New Roman" w:hAnsi="Arial Narrow" w:cs="Times New Roman"/>
          <w:bCs/>
        </w:rPr>
        <w:t>South Africa</w:t>
      </w:r>
      <w:r w:rsidR="00113408" w:rsidRPr="000739D0">
        <w:rPr>
          <w:rFonts w:ascii="Arial Narrow" w:eastAsia="Times New Roman" w:hAnsi="Arial Narrow" w:cs="Times New Roman"/>
        </w:rPr>
        <w:t xml:space="preserve"> demonstrates a positive link between institutional quality and AI readiness. The country benefits from solid infrastructure, a skilled workforce, and established research institutions, which have facilitated AI integration across sectors like healthcare and finance. These examples highlight the role of effective institutions in supporting AI initiatives.</w:t>
      </w:r>
    </w:p>
    <w:p w:rsidR="00CF75F4" w:rsidRDefault="00113408" w:rsidP="00FF0002">
      <w:pPr>
        <w:spacing w:before="100" w:beforeAutospacing="1" w:after="100" w:afterAutospacing="1" w:line="276" w:lineRule="auto"/>
        <w:jc w:val="both"/>
        <w:rPr>
          <w:rFonts w:ascii="Arial Narrow" w:hAnsi="Arial Narrow"/>
        </w:rPr>
      </w:pPr>
      <w:r w:rsidRPr="000739D0">
        <w:rPr>
          <w:rFonts w:ascii="Arial Narrow" w:eastAsia="Times New Roman" w:hAnsi="Arial Narrow" w:cs="Times New Roman"/>
        </w:rPr>
        <w:t xml:space="preserve">In contrast, countries like </w:t>
      </w:r>
      <w:r w:rsidRPr="00206401">
        <w:rPr>
          <w:rFonts w:ascii="Arial Narrow" w:eastAsia="Times New Roman" w:hAnsi="Arial Narrow" w:cs="Times New Roman"/>
          <w:bCs/>
        </w:rPr>
        <w:t>Sudan</w:t>
      </w:r>
      <w:r w:rsidRPr="000739D0">
        <w:rPr>
          <w:rFonts w:ascii="Arial Narrow" w:eastAsia="Times New Roman" w:hAnsi="Arial Narrow" w:cs="Times New Roman"/>
        </w:rPr>
        <w:t xml:space="preserve">, </w:t>
      </w:r>
      <w:r w:rsidRPr="00206401">
        <w:rPr>
          <w:rFonts w:ascii="Arial Narrow" w:eastAsia="Times New Roman" w:hAnsi="Arial Narrow" w:cs="Times New Roman"/>
          <w:bCs/>
        </w:rPr>
        <w:t>Burundi</w:t>
      </w:r>
      <w:r w:rsidRPr="000739D0">
        <w:rPr>
          <w:rFonts w:ascii="Arial Narrow" w:eastAsia="Times New Roman" w:hAnsi="Arial Narrow" w:cs="Times New Roman"/>
        </w:rPr>
        <w:t xml:space="preserve">, and </w:t>
      </w:r>
      <w:r w:rsidRPr="00206401">
        <w:rPr>
          <w:rFonts w:ascii="Arial Narrow" w:eastAsia="Times New Roman" w:hAnsi="Arial Narrow" w:cs="Times New Roman"/>
          <w:bCs/>
        </w:rPr>
        <w:t>Congo</w:t>
      </w:r>
      <w:r w:rsidRPr="000739D0">
        <w:rPr>
          <w:rFonts w:ascii="Arial Narrow" w:eastAsia="Times New Roman" w:hAnsi="Arial Narrow" w:cs="Times New Roman"/>
        </w:rPr>
        <w:t>, located towards the lower end of the graph, show lower institut</w:t>
      </w:r>
      <w:r w:rsidRPr="00206401">
        <w:rPr>
          <w:rFonts w:ascii="Arial Narrow" w:eastAsia="Times New Roman" w:hAnsi="Arial Narrow" w:cs="Times New Roman"/>
        </w:rPr>
        <w:t>ional quality and AI readiness, this</w:t>
      </w:r>
      <w:r w:rsidRPr="00206401">
        <w:rPr>
          <w:rFonts w:ascii="Arial Narrow" w:hAnsi="Arial Narrow"/>
        </w:rPr>
        <w:t xml:space="preserve"> points to the importance of governance and regulatory frameworks in advancing AI readiness.</w:t>
      </w:r>
    </w:p>
    <w:p w:rsidR="00B42579" w:rsidRPr="00FF0002" w:rsidRDefault="00B42579" w:rsidP="00FF0002">
      <w:pPr>
        <w:spacing w:before="100" w:beforeAutospacing="1" w:after="100" w:afterAutospacing="1" w:line="276" w:lineRule="auto"/>
        <w:jc w:val="both"/>
        <w:rPr>
          <w:rFonts w:ascii="Arial Narrow" w:eastAsia="Times New Roman" w:hAnsi="Arial Narrow" w:cs="Times New Roman"/>
        </w:rPr>
      </w:pPr>
    </w:p>
    <w:p w:rsidR="00992280" w:rsidRDefault="00DE038E" w:rsidP="00DD770F">
      <w:pPr>
        <w:pStyle w:val="ListParagraph"/>
        <w:numPr>
          <w:ilvl w:val="0"/>
          <w:numId w:val="2"/>
        </w:numPr>
        <w:rPr>
          <w:rFonts w:ascii="Arial Narrow" w:hAnsi="Arial Narrow"/>
          <w:b/>
        </w:rPr>
      </w:pPr>
      <w:r w:rsidRPr="00DD770F">
        <w:rPr>
          <w:rFonts w:ascii="Arial Narrow" w:hAnsi="Arial Narrow"/>
          <w:b/>
        </w:rPr>
        <w:t>Methodology and data</w:t>
      </w:r>
    </w:p>
    <w:p w:rsidR="00670347" w:rsidRPr="00670347" w:rsidRDefault="00670347" w:rsidP="00670347">
      <w:pPr>
        <w:ind w:left="360"/>
        <w:rPr>
          <w:rFonts w:ascii="Arial Narrow" w:hAnsi="Arial Narrow"/>
          <w:b/>
        </w:rPr>
      </w:pPr>
      <w:r>
        <w:rPr>
          <w:rFonts w:ascii="Arial Narrow" w:hAnsi="Arial Narrow"/>
          <w:b/>
        </w:rPr>
        <w:t>4.1</w:t>
      </w:r>
      <w:r w:rsidR="002A1D66">
        <w:rPr>
          <w:rFonts w:ascii="Arial Narrow" w:hAnsi="Arial Narrow"/>
          <w:b/>
        </w:rPr>
        <w:t xml:space="preserve"> Econometric a</w:t>
      </w:r>
      <w:r w:rsidR="00875AA8">
        <w:rPr>
          <w:rFonts w:ascii="Arial Narrow" w:hAnsi="Arial Narrow"/>
          <w:b/>
        </w:rPr>
        <w:t>pproach</w:t>
      </w:r>
    </w:p>
    <w:p w:rsidR="00F00639" w:rsidRPr="00DD770F" w:rsidRDefault="00F00639" w:rsidP="00DD770F">
      <w:pPr>
        <w:spacing w:before="100" w:beforeAutospacing="1" w:after="100" w:afterAutospacing="1" w:line="276" w:lineRule="auto"/>
        <w:jc w:val="both"/>
        <w:rPr>
          <w:rFonts w:ascii="Arial Narrow" w:eastAsia="Times New Roman" w:hAnsi="Arial Narrow" w:cs="Times New Roman"/>
        </w:rPr>
      </w:pPr>
      <w:r w:rsidRPr="00F00639">
        <w:rPr>
          <w:rFonts w:ascii="Arial Narrow" w:eastAsia="Times New Roman" w:hAnsi="Arial Narrow" w:cs="Times New Roman"/>
        </w:rPr>
        <w:t>This study utilizes the Fixed Effects (FE) Panel Model to examine the relationship between institutional quality, artificial intellige</w:t>
      </w:r>
      <w:r w:rsidR="008E6CCB">
        <w:rPr>
          <w:rFonts w:ascii="Arial Narrow" w:eastAsia="Times New Roman" w:hAnsi="Arial Narrow" w:cs="Times New Roman"/>
        </w:rPr>
        <w:t>nce (AI) readiness, and</w:t>
      </w:r>
      <w:r w:rsidRPr="00F00639">
        <w:rPr>
          <w:rFonts w:ascii="Arial Narrow" w:eastAsia="Times New Roman" w:hAnsi="Arial Narrow" w:cs="Times New Roman"/>
        </w:rPr>
        <w:t xml:space="preserve"> growth</w:t>
      </w:r>
      <w:r w:rsidR="008E6CCB">
        <w:rPr>
          <w:rFonts w:ascii="Arial Narrow" w:eastAsia="Times New Roman" w:hAnsi="Arial Narrow" w:cs="Times New Roman"/>
        </w:rPr>
        <w:t xml:space="preserve"> dynamics</w:t>
      </w:r>
      <w:r w:rsidRPr="00F00639">
        <w:rPr>
          <w:rFonts w:ascii="Arial Narrow" w:eastAsia="Times New Roman" w:hAnsi="Arial Narrow" w:cs="Times New Roman"/>
        </w:rPr>
        <w:t xml:space="preserve"> in Sub-Saharan Africa. The</w:t>
      </w:r>
      <w:r w:rsidRPr="00DD770F">
        <w:rPr>
          <w:rFonts w:ascii="Arial Narrow" w:eastAsia="Times New Roman" w:hAnsi="Arial Narrow" w:cs="Times New Roman"/>
        </w:rPr>
        <w:t xml:space="preserve"> FE</w:t>
      </w:r>
      <w:r w:rsidRPr="00F00639">
        <w:rPr>
          <w:rFonts w:ascii="Arial Narrow" w:eastAsia="Times New Roman" w:hAnsi="Arial Narrow" w:cs="Times New Roman"/>
        </w:rPr>
        <w:t xml:space="preserve"> model is widely recognized for its ability to control unobserved, time-invariant heterogeneity by isolating within-entity variation. </w:t>
      </w:r>
      <w:r w:rsidR="00DD770F">
        <w:rPr>
          <w:rFonts w:ascii="Arial Narrow" w:eastAsia="Times New Roman" w:hAnsi="Arial Narrow" w:cs="Times New Roman"/>
        </w:rPr>
        <w:t>This</w:t>
      </w:r>
      <w:r w:rsidRPr="00F00639">
        <w:rPr>
          <w:rFonts w:ascii="Arial Narrow" w:eastAsia="Times New Roman" w:hAnsi="Arial Narrow" w:cs="Times New Roman"/>
        </w:rPr>
        <w:t xml:space="preserve"> study effectively accounts for country-specific factors, such as governance structures or cultural traits, which are constant over time but could otherwise confound the analysis</w:t>
      </w:r>
      <w:r w:rsidRPr="00DD770F">
        <w:rPr>
          <w:rFonts w:ascii="Arial Narrow" w:eastAsia="Times New Roman" w:hAnsi="Arial Narrow" w:cs="Times New Roman"/>
        </w:rPr>
        <w:t xml:space="preserve"> as presented </w:t>
      </w:r>
      <w:r w:rsidR="00343CE1">
        <w:rPr>
          <w:rFonts w:ascii="Arial Narrow" w:eastAsia="Times New Roman" w:hAnsi="Arial Narrow" w:cs="Times New Roman"/>
        </w:rPr>
        <w:t xml:space="preserve">in </w:t>
      </w:r>
      <w:r w:rsidRPr="00DD770F">
        <w:rPr>
          <w:rFonts w:ascii="Arial Narrow" w:eastAsia="Times New Roman" w:hAnsi="Arial Narrow" w:cs="Times New Roman"/>
        </w:rPr>
        <w:t>below equation</w:t>
      </w:r>
      <w:r w:rsidR="00343CE1">
        <w:rPr>
          <w:rFonts w:ascii="Arial Narrow" w:eastAsia="Times New Roman" w:hAnsi="Arial Narrow" w:cs="Times New Roman"/>
        </w:rPr>
        <w:t>1</w:t>
      </w:r>
      <w:r w:rsidRPr="00DD770F">
        <w:rPr>
          <w:rFonts w:ascii="Arial Narrow" w:eastAsia="Times New Roman" w:hAnsi="Arial Narrow" w:cs="Times New Roman"/>
        </w:rPr>
        <w:t>:</w:t>
      </w:r>
    </w:p>
    <w:p w:rsidR="00DD770F" w:rsidRPr="00DD770F" w:rsidRDefault="00F00639" w:rsidP="00DD770F">
      <w:pPr>
        <w:spacing w:before="100" w:beforeAutospacing="1" w:after="100" w:afterAutospacing="1" w:line="276" w:lineRule="auto"/>
        <w:jc w:val="both"/>
        <w:rPr>
          <w:rFonts w:ascii="Arial Narrow" w:eastAsia="Times New Roman" w:hAnsi="Arial Narrow" w:cs="Times New Roman"/>
        </w:rPr>
      </w:pPr>
      <w:r w:rsidRPr="00DD770F">
        <w:rPr>
          <w:rFonts w:ascii="Arial Narrow" w:hAnsi="Arial Narrow"/>
          <w:position w:val="-60"/>
        </w:rPr>
        <w:object w:dxaOrig="28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8pt" o:ole="">
            <v:imagedata r:id="rId15" o:title=""/>
          </v:shape>
          <o:OLEObject Type="Embed" ProgID="Equation.DSMT4" ShapeID="_x0000_i1025" DrawAspect="Content" ObjectID="_1798821948" r:id="rId16"/>
        </w:object>
      </w:r>
      <w:r w:rsidRPr="00F00639">
        <w:rPr>
          <w:rFonts w:ascii="Arial Narrow" w:eastAsia="Times New Roman" w:hAnsi="Arial Narrow" w:cs="Times New Roman"/>
        </w:rPr>
        <w:t xml:space="preserve"> </w:t>
      </w:r>
      <w:r w:rsidR="00DD770F">
        <w:rPr>
          <w:rFonts w:ascii="Arial Narrow" w:eastAsia="Times New Roman" w:hAnsi="Arial Narrow" w:cs="Times New Roman"/>
        </w:rPr>
        <w:t xml:space="preserve">         </w:t>
      </w:r>
      <w:r w:rsidR="00DD770F">
        <w:rPr>
          <w:rFonts w:ascii="Arial Narrow" w:eastAsia="Times New Roman" w:hAnsi="Arial Narrow" w:cs="Times New Roman"/>
        </w:rPr>
        <w:tab/>
      </w:r>
      <w:r w:rsidR="00DD770F">
        <w:rPr>
          <w:rFonts w:ascii="Arial Narrow" w:eastAsia="Times New Roman" w:hAnsi="Arial Narrow" w:cs="Times New Roman"/>
        </w:rPr>
        <w:tab/>
      </w:r>
      <w:r w:rsidR="00DD770F">
        <w:rPr>
          <w:rFonts w:ascii="Arial Narrow" w:eastAsia="Times New Roman" w:hAnsi="Arial Narrow" w:cs="Times New Roman"/>
        </w:rPr>
        <w:tab/>
      </w:r>
      <w:r w:rsidR="00DD770F">
        <w:rPr>
          <w:rFonts w:ascii="Arial Narrow" w:eastAsia="Times New Roman" w:hAnsi="Arial Narrow" w:cs="Times New Roman"/>
        </w:rPr>
        <w:tab/>
      </w:r>
      <w:r w:rsidR="00DD770F">
        <w:rPr>
          <w:rFonts w:ascii="Arial Narrow" w:eastAsia="Times New Roman" w:hAnsi="Arial Narrow" w:cs="Times New Roman"/>
        </w:rPr>
        <w:tab/>
      </w:r>
      <w:r w:rsidR="00DD770F">
        <w:rPr>
          <w:rFonts w:ascii="Arial Narrow" w:eastAsia="Times New Roman" w:hAnsi="Arial Narrow" w:cs="Times New Roman"/>
        </w:rPr>
        <w:tab/>
        <w:t xml:space="preserve">       (1)</w:t>
      </w:r>
    </w:p>
    <w:p w:rsidR="00D02BFB" w:rsidRPr="00DD770F" w:rsidRDefault="00F00639" w:rsidP="00DD770F">
      <w:pPr>
        <w:pStyle w:val="NormalWeb"/>
        <w:spacing w:line="276" w:lineRule="auto"/>
        <w:jc w:val="both"/>
        <w:rPr>
          <w:rFonts w:ascii="Arial Narrow" w:hAnsi="Arial Narrow"/>
          <w:sz w:val="22"/>
          <w:szCs w:val="22"/>
        </w:rPr>
      </w:pPr>
      <w:r w:rsidRPr="00F00639">
        <w:rPr>
          <w:rFonts w:ascii="Arial Narrow" w:hAnsi="Arial Narrow"/>
          <w:sz w:val="22"/>
          <w:szCs w:val="22"/>
        </w:rPr>
        <w:t>However, the FE model’s reliance on large sample sizes for robust parameter estimation can result in biased and less reliable estimates in small-sample settings, such as t</w:t>
      </w:r>
      <w:r w:rsidRPr="00DD770F">
        <w:rPr>
          <w:rFonts w:ascii="Arial Narrow" w:hAnsi="Arial Narrow"/>
          <w:sz w:val="22"/>
          <w:szCs w:val="22"/>
        </w:rPr>
        <w:t>he dataset used in this study</w:t>
      </w:r>
      <w:r w:rsidRPr="00F00639">
        <w:rPr>
          <w:rFonts w:ascii="Arial Narrow" w:hAnsi="Arial Narrow"/>
          <w:sz w:val="22"/>
          <w:szCs w:val="22"/>
        </w:rPr>
        <w:t>.</w:t>
      </w:r>
      <w:r w:rsidRPr="00DD770F">
        <w:rPr>
          <w:rFonts w:ascii="Arial Narrow" w:hAnsi="Arial Narrow"/>
          <w:sz w:val="22"/>
          <w:szCs w:val="22"/>
        </w:rPr>
        <w:t xml:space="preserve"> </w:t>
      </w:r>
      <w:r w:rsidR="00D02BFB" w:rsidRPr="00DD770F">
        <w:rPr>
          <w:rFonts w:ascii="Arial Narrow" w:hAnsi="Arial Narrow"/>
          <w:sz w:val="22"/>
          <w:szCs w:val="22"/>
        </w:rPr>
        <w:t>To address these limitations,</w:t>
      </w:r>
      <w:r w:rsidR="002C763A">
        <w:rPr>
          <w:rFonts w:ascii="Arial Narrow" w:hAnsi="Arial Narrow"/>
          <w:sz w:val="22"/>
          <w:szCs w:val="22"/>
        </w:rPr>
        <w:t xml:space="preserve"> the study incorporates the BC-GMM</w:t>
      </w:r>
      <w:r w:rsidR="00D02BFB" w:rsidRPr="00DD770F">
        <w:rPr>
          <w:rFonts w:ascii="Arial Narrow" w:hAnsi="Arial Narrow"/>
          <w:sz w:val="22"/>
          <w:szCs w:val="22"/>
        </w:rPr>
        <w:t xml:space="preserve"> model, which applies bootstrap methods to correct </w:t>
      </w:r>
      <w:r w:rsidR="002C763A">
        <w:rPr>
          <w:rFonts w:ascii="Arial Narrow" w:hAnsi="Arial Narrow"/>
          <w:sz w:val="22"/>
          <w:szCs w:val="22"/>
        </w:rPr>
        <w:t xml:space="preserve">for small-sample bias. The BC-GMM </w:t>
      </w:r>
      <w:r w:rsidR="00D02BFB" w:rsidRPr="00DD770F">
        <w:rPr>
          <w:rFonts w:ascii="Arial Narrow" w:hAnsi="Arial Narrow"/>
          <w:sz w:val="22"/>
          <w:szCs w:val="22"/>
        </w:rPr>
        <w:t xml:space="preserve">approach not only improves the precision of parameter estimates but also captures the dynamic aspects of the model, which are not adequately addressed by standard fixed-effects techniques </w:t>
      </w:r>
      <w:r w:rsidR="00D02BFB" w:rsidRPr="00F00639">
        <w:rPr>
          <w:rFonts w:ascii="Arial Narrow" w:hAnsi="Arial Narrow"/>
          <w:sz w:val="22"/>
          <w:szCs w:val="22"/>
        </w:rPr>
        <w:t>Kripfganz and Breitung (2022)</w:t>
      </w:r>
      <w:r w:rsidR="00D02BFB" w:rsidRPr="00DD770F">
        <w:rPr>
          <w:rFonts w:ascii="Arial Narrow" w:hAnsi="Arial Narrow"/>
          <w:sz w:val="22"/>
          <w:szCs w:val="22"/>
        </w:rPr>
        <w:t>. For instance, the inclusion of lagged dependent variables in dynamic panel models accounts for temporal dependencies, allowing the analysis to reflec</w:t>
      </w:r>
      <w:r w:rsidR="002C763A">
        <w:rPr>
          <w:rFonts w:ascii="Arial Narrow" w:hAnsi="Arial Narrow"/>
          <w:sz w:val="22"/>
          <w:szCs w:val="22"/>
        </w:rPr>
        <w:t>t how past levels of</w:t>
      </w:r>
      <w:r w:rsidR="00D02BFB" w:rsidRPr="00DD770F">
        <w:rPr>
          <w:rFonts w:ascii="Arial Narrow" w:hAnsi="Arial Narrow"/>
          <w:sz w:val="22"/>
          <w:szCs w:val="22"/>
        </w:rPr>
        <w:t xml:space="preserve"> growth</w:t>
      </w:r>
      <w:r w:rsidR="002C763A">
        <w:rPr>
          <w:rFonts w:ascii="Arial Narrow" w:hAnsi="Arial Narrow"/>
          <w:sz w:val="22"/>
          <w:szCs w:val="22"/>
        </w:rPr>
        <w:t xml:space="preserve"> dynamics</w:t>
      </w:r>
      <w:r w:rsidR="00D02BFB" w:rsidRPr="00DD770F">
        <w:rPr>
          <w:rFonts w:ascii="Arial Narrow" w:hAnsi="Arial Narrow"/>
          <w:sz w:val="22"/>
          <w:szCs w:val="22"/>
        </w:rPr>
        <w:t xml:space="preserve"> influence current outcomes. This dynamic perspective is essential for understanding persistence, feedback effects, and the gradual adjustment of economies to shocks as indicated the equation</w:t>
      </w:r>
      <w:r w:rsidR="00343CE1">
        <w:rPr>
          <w:rFonts w:ascii="Arial Narrow" w:hAnsi="Arial Narrow"/>
          <w:sz w:val="22"/>
          <w:szCs w:val="22"/>
        </w:rPr>
        <w:t xml:space="preserve"> 2</w:t>
      </w:r>
      <w:r w:rsidR="00D02BFB" w:rsidRPr="00DD770F">
        <w:rPr>
          <w:rFonts w:ascii="Arial Narrow" w:hAnsi="Arial Narrow"/>
          <w:sz w:val="22"/>
          <w:szCs w:val="22"/>
        </w:rPr>
        <w:t xml:space="preserve"> below:</w:t>
      </w:r>
    </w:p>
    <w:p w:rsidR="00F00639" w:rsidRPr="00DD770F" w:rsidRDefault="00DD770F" w:rsidP="00DD770F">
      <w:pPr>
        <w:spacing w:before="100" w:beforeAutospacing="1" w:after="100" w:afterAutospacing="1" w:line="276" w:lineRule="auto"/>
        <w:jc w:val="both"/>
        <w:rPr>
          <w:rFonts w:ascii="Arial Narrow" w:eastAsia="Times New Roman" w:hAnsi="Arial Narrow" w:cs="Times New Roman"/>
        </w:rPr>
      </w:pPr>
      <w:r>
        <w:rPr>
          <w:rFonts w:ascii="Arial Narrow" w:eastAsia="Times New Roman" w:hAnsi="Arial Narrow" w:cs="Times New Roman"/>
        </w:rPr>
        <w:t>(2)</w:t>
      </w:r>
      <w:r w:rsidR="00F12973">
        <w:rPr>
          <w:rFonts w:ascii="Arial Narrow" w:hAnsi="Arial Narrow"/>
          <w:noProof/>
        </w:rPr>
        <w:object w:dxaOrig="1440" w:dyaOrig="1440">
          <v:shape id="_x0000_s1027" type="#_x0000_t75" style="position:absolute;left:0;text-align:left;margin-left:0;margin-top:0;width:252.7pt;height:66.95pt;z-index:251659264;mso-position-horizontal:left;mso-position-horizontal-relative:text;mso-position-vertical-relative:text">
            <v:imagedata r:id="rId17" o:title=""/>
            <w10:wrap type="square" side="right"/>
          </v:shape>
          <o:OLEObject Type="Embed" ProgID="Equation.DSMT4" ShapeID="_x0000_s1027" DrawAspect="Content" ObjectID="_1798821949" r:id="rId18"/>
        </w:object>
      </w:r>
      <w:r w:rsidR="00A245ED" w:rsidRPr="00DD770F">
        <w:rPr>
          <w:rFonts w:ascii="Arial Narrow" w:eastAsia="Times New Roman" w:hAnsi="Arial Narrow" w:cs="Times New Roman"/>
        </w:rPr>
        <w:br w:type="textWrapping" w:clear="all"/>
      </w:r>
    </w:p>
    <w:p w:rsidR="00875AA8" w:rsidRDefault="00D02BFB" w:rsidP="00DD770F">
      <w:pPr>
        <w:spacing w:before="100" w:beforeAutospacing="1" w:after="100" w:afterAutospacing="1" w:line="276" w:lineRule="auto"/>
        <w:jc w:val="both"/>
        <w:rPr>
          <w:rFonts w:ascii="Arial Narrow" w:eastAsia="Times New Roman" w:hAnsi="Arial Narrow" w:cs="Times New Roman"/>
        </w:rPr>
      </w:pPr>
      <w:r w:rsidRPr="00D02BFB">
        <w:rPr>
          <w:rFonts w:ascii="Arial Narrow" w:eastAsia="Times New Roman" w:hAnsi="Arial Narrow" w:cs="Times New Roman"/>
        </w:rPr>
        <w:t>By addressing both small-sample bias and</w:t>
      </w:r>
      <w:r w:rsidR="002C763A">
        <w:rPr>
          <w:rFonts w:ascii="Arial Narrow" w:eastAsia="Times New Roman" w:hAnsi="Arial Narrow" w:cs="Times New Roman"/>
        </w:rPr>
        <w:t xml:space="preserve"> dynamic dependencies, the BC-GMM </w:t>
      </w:r>
      <w:r w:rsidRPr="00D02BFB">
        <w:rPr>
          <w:rFonts w:ascii="Arial Narrow" w:eastAsia="Times New Roman" w:hAnsi="Arial Narrow" w:cs="Times New Roman"/>
        </w:rPr>
        <w:t>model significantly enhances the reliability of estimates. Unlike the static FE model, it accommodates the temporal interplay among variables, which is critical in this study’s context. For example, it allows for the investigation of how institutional quality or AI readiness evo</w:t>
      </w:r>
      <w:r w:rsidR="002C763A">
        <w:rPr>
          <w:rFonts w:ascii="Arial Narrow" w:eastAsia="Times New Roman" w:hAnsi="Arial Narrow" w:cs="Times New Roman"/>
        </w:rPr>
        <w:t xml:space="preserve">lves and interacts with </w:t>
      </w:r>
      <w:r w:rsidRPr="00D02BFB">
        <w:rPr>
          <w:rFonts w:ascii="Arial Narrow" w:eastAsia="Times New Roman" w:hAnsi="Arial Narrow" w:cs="Times New Roman"/>
        </w:rPr>
        <w:t xml:space="preserve">growth </w:t>
      </w:r>
      <w:r w:rsidR="002C763A">
        <w:rPr>
          <w:rFonts w:ascii="Arial Narrow" w:eastAsia="Times New Roman" w:hAnsi="Arial Narrow" w:cs="Times New Roman"/>
        </w:rPr>
        <w:t xml:space="preserve">dynamics </w:t>
      </w:r>
      <w:r w:rsidRPr="00D02BFB">
        <w:rPr>
          <w:rFonts w:ascii="Arial Narrow" w:eastAsia="Times New Roman" w:hAnsi="Arial Narrow" w:cs="Times New Roman"/>
        </w:rPr>
        <w:t>over time. Furthermore, this dynamic feature improves the accuracy of inferences, especially in small datasets, by correcting for endogeneity and simultaneity biases introduced by lagged dependent variables.</w:t>
      </w:r>
    </w:p>
    <w:p w:rsidR="00875AA8" w:rsidRPr="00875AA8" w:rsidRDefault="00875AA8" w:rsidP="00875AA8">
      <w:pPr>
        <w:spacing w:before="100" w:beforeAutospacing="1" w:after="100" w:afterAutospacing="1" w:line="240" w:lineRule="auto"/>
        <w:outlineLvl w:val="2"/>
        <w:rPr>
          <w:rFonts w:ascii="Arial Narrow" w:hAnsi="Arial Narrow"/>
          <w:b/>
        </w:rPr>
      </w:pPr>
      <w:r>
        <w:rPr>
          <w:rFonts w:ascii="Arial Narrow" w:hAnsi="Arial Narrow"/>
          <w:b/>
        </w:rPr>
        <w:t>4.2 Rationale for variable s</w:t>
      </w:r>
      <w:r w:rsidRPr="00875AA8">
        <w:rPr>
          <w:rFonts w:ascii="Arial Narrow" w:hAnsi="Arial Narrow"/>
          <w:b/>
        </w:rPr>
        <w:t xml:space="preserve">election and </w:t>
      </w:r>
      <w:r w:rsidRPr="00DD770F">
        <w:rPr>
          <w:rFonts w:ascii="Arial Narrow" w:hAnsi="Arial Narrow"/>
          <w:b/>
        </w:rPr>
        <w:t>data</w:t>
      </w:r>
    </w:p>
    <w:p w:rsidR="00875AA8" w:rsidRPr="00875AA8" w:rsidRDefault="00875AA8" w:rsidP="00875AA8">
      <w:pPr>
        <w:spacing w:before="100" w:beforeAutospacing="1" w:after="100" w:afterAutospacing="1" w:line="276" w:lineRule="auto"/>
        <w:jc w:val="both"/>
        <w:rPr>
          <w:rFonts w:ascii="Arial Narrow" w:eastAsia="Times New Roman" w:hAnsi="Arial Narrow" w:cs="Times New Roman"/>
        </w:rPr>
      </w:pPr>
      <w:r w:rsidRPr="00875AA8">
        <w:rPr>
          <w:rFonts w:ascii="Arial Narrow" w:eastAsia="Times New Roman" w:hAnsi="Arial Narrow" w:cs="Times New Roman"/>
        </w:rPr>
        <w:t>This study examines the role of institutional quality and artificial intelligence (AI) readiness in driving growth in Sub-Saharan Africa, utilizing variables that reflect economic performance, financial development, and institutional fram</w:t>
      </w:r>
      <w:r w:rsidR="0054026E">
        <w:rPr>
          <w:rFonts w:ascii="Arial Narrow" w:eastAsia="Times New Roman" w:hAnsi="Arial Narrow" w:cs="Times New Roman"/>
        </w:rPr>
        <w:t xml:space="preserve">eworks. The dependent variables </w:t>
      </w:r>
      <w:r w:rsidRPr="00875AA8">
        <w:rPr>
          <w:rFonts w:ascii="Arial Narrow" w:eastAsia="Times New Roman" w:hAnsi="Arial Narrow" w:cs="Times New Roman"/>
        </w:rPr>
        <w:t>Credit to the Private Sector (CPS), Gross Capital Formation (GCF), Gross Domestic Product (</w:t>
      </w:r>
      <w:r w:rsidR="0054026E">
        <w:rPr>
          <w:rFonts w:ascii="Arial Narrow" w:eastAsia="Times New Roman" w:hAnsi="Arial Narrow" w:cs="Times New Roman"/>
        </w:rPr>
        <w:t xml:space="preserve">GDP), and Trade Openness (Open) </w:t>
      </w:r>
      <w:r w:rsidRPr="00875AA8">
        <w:rPr>
          <w:rFonts w:ascii="Arial Narrow" w:eastAsia="Times New Roman" w:hAnsi="Arial Narrow" w:cs="Times New Roman"/>
        </w:rPr>
        <w:t>capture different dimensions of economic growth</w:t>
      </w:r>
      <w:r w:rsidR="00C71FCA">
        <w:rPr>
          <w:rFonts w:ascii="Arial Narrow" w:eastAsia="Times New Roman" w:hAnsi="Arial Narrow" w:cs="Times New Roman"/>
        </w:rPr>
        <w:t xml:space="preserve"> sourced from the World Development Indicator (WDI) database</w:t>
      </w:r>
      <w:r w:rsidRPr="00875AA8">
        <w:rPr>
          <w:rFonts w:ascii="Arial Narrow" w:eastAsia="Times New Roman" w:hAnsi="Arial Narrow" w:cs="Times New Roman"/>
        </w:rPr>
        <w:t>. CPS measures the extent of financial intermediation and its capacity to support private-sector investment, which fosters economic expansion</w:t>
      </w:r>
      <w:r w:rsidR="00585C5C">
        <w:rPr>
          <w:rFonts w:ascii="Arial Narrow" w:eastAsia="Times New Roman" w:hAnsi="Arial Narrow" w:cs="Times New Roman"/>
          <w:noProof/>
        </w:rPr>
        <w:t xml:space="preserve"> </w:t>
      </w:r>
      <w:r w:rsidR="00585C5C" w:rsidRPr="0054026E">
        <w:rPr>
          <w:rFonts w:ascii="Arial Narrow" w:eastAsia="Times New Roman" w:hAnsi="Arial Narrow" w:cs="Times New Roman"/>
          <w:noProof/>
        </w:rPr>
        <w:t>(Demir</w:t>
      </w:r>
      <w:r w:rsidR="00585C5C">
        <w:rPr>
          <w:rFonts w:ascii="Arial Narrow" w:eastAsia="Times New Roman" w:hAnsi="Arial Narrow" w:cs="Times New Roman"/>
          <w:noProof/>
        </w:rPr>
        <w:t>güç-Kunt, Beck, T, &amp; Honohan, P</w:t>
      </w:r>
      <w:r w:rsidR="00585C5C" w:rsidRPr="0054026E">
        <w:rPr>
          <w:rFonts w:ascii="Arial Narrow" w:eastAsia="Times New Roman" w:hAnsi="Arial Narrow" w:cs="Times New Roman"/>
          <w:noProof/>
        </w:rPr>
        <w:t>, 2022)</w:t>
      </w:r>
      <w:r w:rsidRPr="00875AA8">
        <w:rPr>
          <w:rFonts w:ascii="Arial Narrow" w:eastAsia="Times New Roman" w:hAnsi="Arial Narrow" w:cs="Times New Roman"/>
        </w:rPr>
        <w:t xml:space="preserve">. GCF represents investments in physical infrastructure, </w:t>
      </w:r>
      <w:r>
        <w:rPr>
          <w:rFonts w:ascii="Arial Narrow" w:eastAsia="Times New Roman" w:hAnsi="Arial Narrow" w:cs="Times New Roman"/>
        </w:rPr>
        <w:t xml:space="preserve">which is </w:t>
      </w:r>
      <w:r w:rsidRPr="00875AA8">
        <w:rPr>
          <w:rFonts w:ascii="Arial Narrow" w:eastAsia="Times New Roman" w:hAnsi="Arial Narrow" w:cs="Times New Roman"/>
        </w:rPr>
        <w:t xml:space="preserve">critical for long-term productivity gains and economic resilience </w:t>
      </w:r>
      <w:sdt>
        <w:sdtPr>
          <w:rPr>
            <w:rFonts w:ascii="Arial Narrow" w:eastAsia="Times New Roman" w:hAnsi="Arial Narrow" w:cs="Times New Roman"/>
          </w:rPr>
          <w:id w:val="-79301811"/>
          <w:citation/>
        </w:sdtPr>
        <w:sdtEndPr/>
        <w:sdtContent>
          <w:r w:rsidR="0054026E">
            <w:rPr>
              <w:rFonts w:ascii="Arial Narrow" w:eastAsia="Times New Roman" w:hAnsi="Arial Narrow" w:cs="Times New Roman"/>
            </w:rPr>
            <w:fldChar w:fldCharType="begin"/>
          </w:r>
          <w:r w:rsidR="0054026E">
            <w:rPr>
              <w:rFonts w:ascii="Arial Narrow" w:eastAsia="Times New Roman" w:hAnsi="Arial Narrow" w:cs="Times New Roman"/>
            </w:rPr>
            <w:instrText xml:space="preserve"> CITATION OEC23 \l 1033 </w:instrText>
          </w:r>
          <w:r w:rsidR="0054026E">
            <w:rPr>
              <w:rFonts w:ascii="Arial Narrow" w:eastAsia="Times New Roman" w:hAnsi="Arial Narrow" w:cs="Times New Roman"/>
            </w:rPr>
            <w:fldChar w:fldCharType="separate"/>
          </w:r>
          <w:r w:rsidR="0054026E" w:rsidRPr="0054026E">
            <w:rPr>
              <w:rFonts w:ascii="Arial Narrow" w:eastAsia="Times New Roman" w:hAnsi="Arial Narrow" w:cs="Times New Roman"/>
              <w:noProof/>
            </w:rPr>
            <w:t>(OECD, 2023)</w:t>
          </w:r>
          <w:r w:rsidR="0054026E">
            <w:rPr>
              <w:rFonts w:ascii="Arial Narrow" w:eastAsia="Times New Roman" w:hAnsi="Arial Narrow" w:cs="Times New Roman"/>
            </w:rPr>
            <w:fldChar w:fldCharType="end"/>
          </w:r>
        </w:sdtContent>
      </w:sdt>
      <w:r w:rsidRPr="00875AA8">
        <w:rPr>
          <w:rFonts w:ascii="Arial Narrow" w:eastAsia="Times New Roman" w:hAnsi="Arial Narrow" w:cs="Times New Roman"/>
        </w:rPr>
        <w:t xml:space="preserve">. GDP serves as a comprehensive indicator of economic performance, while trade openness reflects the ability of economies to leverage global markets for growth through innovation and resource efficiency </w:t>
      </w:r>
      <w:sdt>
        <w:sdtPr>
          <w:rPr>
            <w:rFonts w:ascii="Arial Narrow" w:eastAsia="Times New Roman" w:hAnsi="Arial Narrow" w:cs="Times New Roman"/>
          </w:rPr>
          <w:id w:val="1303271221"/>
          <w:citation/>
        </w:sdtPr>
        <w:sdtEndPr/>
        <w:sdtContent>
          <w:r w:rsidR="00B7676E">
            <w:rPr>
              <w:rFonts w:ascii="Arial Narrow" w:eastAsia="Times New Roman" w:hAnsi="Arial Narrow" w:cs="Times New Roman"/>
            </w:rPr>
            <w:fldChar w:fldCharType="begin"/>
          </w:r>
          <w:r w:rsidR="00B7676E">
            <w:rPr>
              <w:rFonts w:ascii="Arial Narrow" w:eastAsia="Times New Roman" w:hAnsi="Arial Narrow" w:cs="Times New Roman"/>
            </w:rPr>
            <w:instrText xml:space="preserve"> CITATION Rod18 \l 1033 </w:instrText>
          </w:r>
          <w:r w:rsidR="00B7676E">
            <w:rPr>
              <w:rFonts w:ascii="Arial Narrow" w:eastAsia="Times New Roman" w:hAnsi="Arial Narrow" w:cs="Times New Roman"/>
            </w:rPr>
            <w:fldChar w:fldCharType="separate"/>
          </w:r>
          <w:r w:rsidR="00B7676E" w:rsidRPr="00B7676E">
            <w:rPr>
              <w:rFonts w:ascii="Arial Narrow" w:eastAsia="Times New Roman" w:hAnsi="Arial Narrow" w:cs="Times New Roman"/>
              <w:noProof/>
            </w:rPr>
            <w:t>(Rodrik, 2018)</w:t>
          </w:r>
          <w:r w:rsidR="00B7676E">
            <w:rPr>
              <w:rFonts w:ascii="Arial Narrow" w:eastAsia="Times New Roman" w:hAnsi="Arial Narrow" w:cs="Times New Roman"/>
            </w:rPr>
            <w:fldChar w:fldCharType="end"/>
          </w:r>
        </w:sdtContent>
      </w:sdt>
      <w:r w:rsidRPr="00875AA8">
        <w:rPr>
          <w:rFonts w:ascii="Arial Narrow" w:eastAsia="Times New Roman" w:hAnsi="Arial Narrow" w:cs="Times New Roman"/>
        </w:rPr>
        <w:t>.</w:t>
      </w:r>
    </w:p>
    <w:p w:rsidR="00875AA8" w:rsidRPr="00875AA8" w:rsidRDefault="00875AA8" w:rsidP="00875AA8">
      <w:pPr>
        <w:spacing w:before="100" w:beforeAutospacing="1" w:after="100" w:afterAutospacing="1" w:line="276" w:lineRule="auto"/>
        <w:jc w:val="both"/>
        <w:rPr>
          <w:rFonts w:ascii="Arial Narrow" w:eastAsia="Times New Roman" w:hAnsi="Arial Narrow" w:cs="Times New Roman"/>
        </w:rPr>
      </w:pPr>
      <w:r w:rsidRPr="00875AA8">
        <w:rPr>
          <w:rFonts w:ascii="Arial Narrow" w:eastAsia="Times New Roman" w:hAnsi="Arial Narrow" w:cs="Times New Roman"/>
        </w:rPr>
        <w:t xml:space="preserve">The independent variables </w:t>
      </w:r>
      <w:r w:rsidR="00C71FCA">
        <w:rPr>
          <w:rFonts w:ascii="Arial Narrow" w:eastAsia="Times New Roman" w:hAnsi="Arial Narrow" w:cs="Times New Roman"/>
        </w:rPr>
        <w:t xml:space="preserve">that </w:t>
      </w:r>
      <w:r w:rsidRPr="00875AA8">
        <w:rPr>
          <w:rFonts w:ascii="Arial Narrow" w:eastAsia="Times New Roman" w:hAnsi="Arial Narrow" w:cs="Times New Roman"/>
        </w:rPr>
        <w:t>address key enablers and barriers to growth</w:t>
      </w:r>
      <w:r w:rsidR="00C71FCA">
        <w:rPr>
          <w:rFonts w:ascii="Arial Narrow" w:eastAsia="Times New Roman" w:hAnsi="Arial Narrow" w:cs="Times New Roman"/>
        </w:rPr>
        <w:t xml:space="preserve"> are also sourced from WDI</w:t>
      </w:r>
      <w:r w:rsidRPr="00875AA8">
        <w:rPr>
          <w:rFonts w:ascii="Arial Narrow" w:eastAsia="Times New Roman" w:hAnsi="Arial Narrow" w:cs="Times New Roman"/>
        </w:rPr>
        <w:t>. Financial Development (Fin_D) assesses how a robust financial system mobilizes resources for productive investments and complements institutional frameworks to foster innovation and technological readiness</w:t>
      </w:r>
      <w:sdt>
        <w:sdtPr>
          <w:rPr>
            <w:rFonts w:ascii="Arial Narrow" w:eastAsia="Times New Roman" w:hAnsi="Arial Narrow" w:cs="Times New Roman"/>
          </w:rPr>
          <w:id w:val="-2035573842"/>
          <w:citation/>
        </w:sdtPr>
        <w:sdtEndPr/>
        <w:sdtContent>
          <w:r w:rsidR="005C7A8D">
            <w:rPr>
              <w:rFonts w:ascii="Arial Narrow" w:eastAsia="Times New Roman" w:hAnsi="Arial Narrow" w:cs="Times New Roman"/>
            </w:rPr>
            <w:fldChar w:fldCharType="begin"/>
          </w:r>
          <w:r w:rsidR="005C7A8D">
            <w:rPr>
              <w:rFonts w:ascii="Arial Narrow" w:eastAsia="Times New Roman" w:hAnsi="Arial Narrow" w:cs="Times New Roman"/>
            </w:rPr>
            <w:instrText xml:space="preserve"> CITATION Svi16 \l 1033 </w:instrText>
          </w:r>
          <w:r w:rsidR="005C7A8D">
            <w:rPr>
              <w:rFonts w:ascii="Arial Narrow" w:eastAsia="Times New Roman" w:hAnsi="Arial Narrow" w:cs="Times New Roman"/>
            </w:rPr>
            <w:fldChar w:fldCharType="separate"/>
          </w:r>
          <w:r w:rsidR="005C7A8D">
            <w:rPr>
              <w:rFonts w:ascii="Arial Narrow" w:eastAsia="Times New Roman" w:hAnsi="Arial Narrow" w:cs="Times New Roman"/>
              <w:noProof/>
            </w:rPr>
            <w:t xml:space="preserve"> </w:t>
          </w:r>
          <w:r w:rsidR="005C7A8D" w:rsidRPr="005C7A8D">
            <w:rPr>
              <w:rFonts w:ascii="Arial Narrow" w:eastAsia="Times New Roman" w:hAnsi="Arial Narrow" w:cs="Times New Roman"/>
              <w:noProof/>
            </w:rPr>
            <w:t>(Svirydzenka, 2016)</w:t>
          </w:r>
          <w:r w:rsidR="005C7A8D">
            <w:rPr>
              <w:rFonts w:ascii="Arial Narrow" w:eastAsia="Times New Roman" w:hAnsi="Arial Narrow" w:cs="Times New Roman"/>
            </w:rPr>
            <w:fldChar w:fldCharType="end"/>
          </w:r>
        </w:sdtContent>
      </w:sdt>
      <w:r w:rsidRPr="00875AA8">
        <w:rPr>
          <w:rFonts w:ascii="Arial Narrow" w:eastAsia="Times New Roman" w:hAnsi="Arial Narrow" w:cs="Times New Roman"/>
        </w:rPr>
        <w:t xml:space="preserve">. Inflation </w:t>
      </w:r>
      <w:r w:rsidRPr="00875AA8">
        <w:rPr>
          <w:rFonts w:ascii="Arial Narrow" w:eastAsia="Times New Roman" w:hAnsi="Arial Narrow" w:cs="Times New Roman"/>
        </w:rPr>
        <w:lastRenderedPageBreak/>
        <w:t>(Inf) captures macroeconomic stability, as high price volatility underm</w:t>
      </w:r>
      <w:r w:rsidR="005D3C3B">
        <w:rPr>
          <w:rFonts w:ascii="Arial Narrow" w:eastAsia="Times New Roman" w:hAnsi="Arial Narrow" w:cs="Times New Roman"/>
        </w:rPr>
        <w:t xml:space="preserve">ines investment and consumption </w:t>
      </w:r>
      <w:sdt>
        <w:sdtPr>
          <w:rPr>
            <w:rFonts w:ascii="Arial Narrow" w:eastAsia="Times New Roman" w:hAnsi="Arial Narrow" w:cs="Times New Roman"/>
          </w:rPr>
          <w:id w:val="-887336470"/>
          <w:citation/>
        </w:sdtPr>
        <w:sdtEndPr/>
        <w:sdtContent>
          <w:r w:rsidR="005D3C3B">
            <w:rPr>
              <w:rFonts w:ascii="Arial Narrow" w:eastAsia="Times New Roman" w:hAnsi="Arial Narrow" w:cs="Times New Roman"/>
            </w:rPr>
            <w:fldChar w:fldCharType="begin"/>
          </w:r>
          <w:r w:rsidR="005D3C3B">
            <w:rPr>
              <w:rFonts w:ascii="Arial Narrow" w:eastAsia="Times New Roman" w:hAnsi="Arial Narrow" w:cs="Times New Roman"/>
            </w:rPr>
            <w:instrText xml:space="preserve"> CITATION Bar22 \l 1033 </w:instrText>
          </w:r>
          <w:r w:rsidR="005D3C3B">
            <w:rPr>
              <w:rFonts w:ascii="Arial Narrow" w:eastAsia="Times New Roman" w:hAnsi="Arial Narrow" w:cs="Times New Roman"/>
            </w:rPr>
            <w:fldChar w:fldCharType="separate"/>
          </w:r>
          <w:r w:rsidR="005D3C3B" w:rsidRPr="005D3C3B">
            <w:rPr>
              <w:rFonts w:ascii="Arial Narrow" w:eastAsia="Times New Roman" w:hAnsi="Arial Narrow" w:cs="Times New Roman"/>
              <w:noProof/>
            </w:rPr>
            <w:t>(Barro &amp; Ursúa, J. F, 2022)</w:t>
          </w:r>
          <w:r w:rsidR="005D3C3B">
            <w:rPr>
              <w:rFonts w:ascii="Arial Narrow" w:eastAsia="Times New Roman" w:hAnsi="Arial Narrow" w:cs="Times New Roman"/>
            </w:rPr>
            <w:fldChar w:fldCharType="end"/>
          </w:r>
        </w:sdtContent>
      </w:sdt>
      <w:r w:rsidRPr="00875AA8">
        <w:rPr>
          <w:rFonts w:ascii="Arial Narrow" w:eastAsia="Times New Roman" w:hAnsi="Arial Narrow" w:cs="Times New Roman"/>
        </w:rPr>
        <w:t>. Remittances (Remit) serve as a vital source of external financing for many Sub-Saharan African countries, contributing to poverty reduction and investment in education and small businesses</w:t>
      </w:r>
      <w:sdt>
        <w:sdtPr>
          <w:rPr>
            <w:rFonts w:ascii="Arial Narrow" w:eastAsia="Times New Roman" w:hAnsi="Arial Narrow" w:cs="Times New Roman"/>
          </w:rPr>
          <w:id w:val="-852110644"/>
          <w:citation/>
        </w:sdtPr>
        <w:sdtEndPr/>
        <w:sdtContent>
          <w:r w:rsidR="003B3595">
            <w:rPr>
              <w:rFonts w:ascii="Arial Narrow" w:eastAsia="Times New Roman" w:hAnsi="Arial Narrow" w:cs="Times New Roman"/>
            </w:rPr>
            <w:fldChar w:fldCharType="begin"/>
          </w:r>
          <w:r w:rsidR="003B3595">
            <w:rPr>
              <w:rFonts w:ascii="Arial Narrow" w:eastAsia="Times New Roman" w:hAnsi="Arial Narrow" w:cs="Times New Roman"/>
            </w:rPr>
            <w:instrText xml:space="preserve"> CITATION UND23 \l 1033 </w:instrText>
          </w:r>
          <w:r w:rsidR="003B3595">
            <w:rPr>
              <w:rFonts w:ascii="Arial Narrow" w:eastAsia="Times New Roman" w:hAnsi="Arial Narrow" w:cs="Times New Roman"/>
            </w:rPr>
            <w:fldChar w:fldCharType="separate"/>
          </w:r>
          <w:r w:rsidR="003B3595">
            <w:rPr>
              <w:rFonts w:ascii="Arial Narrow" w:eastAsia="Times New Roman" w:hAnsi="Arial Narrow" w:cs="Times New Roman"/>
              <w:noProof/>
            </w:rPr>
            <w:t xml:space="preserve"> </w:t>
          </w:r>
          <w:r w:rsidR="003B3595" w:rsidRPr="003B3595">
            <w:rPr>
              <w:rFonts w:ascii="Arial Narrow" w:eastAsia="Times New Roman" w:hAnsi="Arial Narrow" w:cs="Times New Roman"/>
              <w:noProof/>
            </w:rPr>
            <w:t>(UNDP, 2023)</w:t>
          </w:r>
          <w:r w:rsidR="003B3595">
            <w:rPr>
              <w:rFonts w:ascii="Arial Narrow" w:eastAsia="Times New Roman" w:hAnsi="Arial Narrow" w:cs="Times New Roman"/>
            </w:rPr>
            <w:fldChar w:fldCharType="end"/>
          </w:r>
        </w:sdtContent>
      </w:sdt>
      <w:r w:rsidRPr="00875AA8">
        <w:rPr>
          <w:rFonts w:ascii="Arial Narrow" w:eastAsia="Times New Roman" w:hAnsi="Arial Narrow" w:cs="Times New Roman"/>
        </w:rPr>
        <w:t xml:space="preserve">. Education, measured through primary school enrollment rates (Schol_Prim), emphasizes the importance of human capital development in enabling countries to adopt and integrate AI technologies into their economies </w:t>
      </w:r>
      <w:sdt>
        <w:sdtPr>
          <w:rPr>
            <w:rFonts w:ascii="Arial Narrow" w:eastAsia="Times New Roman" w:hAnsi="Arial Narrow" w:cs="Times New Roman"/>
          </w:rPr>
          <w:id w:val="402573159"/>
          <w:citation/>
        </w:sdtPr>
        <w:sdtEndPr/>
        <w:sdtContent>
          <w:r w:rsidR="00621337">
            <w:rPr>
              <w:rFonts w:ascii="Arial Narrow" w:eastAsia="Times New Roman" w:hAnsi="Arial Narrow" w:cs="Times New Roman"/>
            </w:rPr>
            <w:fldChar w:fldCharType="begin"/>
          </w:r>
          <w:r w:rsidR="00621337">
            <w:rPr>
              <w:rFonts w:ascii="Arial Narrow" w:eastAsia="Times New Roman" w:hAnsi="Arial Narrow" w:cs="Times New Roman"/>
            </w:rPr>
            <w:instrText xml:space="preserve"> CITATION Han20 \l 1033 </w:instrText>
          </w:r>
          <w:r w:rsidR="00621337">
            <w:rPr>
              <w:rFonts w:ascii="Arial Narrow" w:eastAsia="Times New Roman" w:hAnsi="Arial Narrow" w:cs="Times New Roman"/>
            </w:rPr>
            <w:fldChar w:fldCharType="separate"/>
          </w:r>
          <w:r w:rsidR="00621337" w:rsidRPr="00621337">
            <w:rPr>
              <w:rFonts w:ascii="Arial Narrow" w:eastAsia="Times New Roman" w:hAnsi="Arial Narrow" w:cs="Times New Roman"/>
              <w:noProof/>
            </w:rPr>
            <w:t>(Hanushek &amp; Woessmann, L, 2020)</w:t>
          </w:r>
          <w:r w:rsidR="00621337">
            <w:rPr>
              <w:rFonts w:ascii="Arial Narrow" w:eastAsia="Times New Roman" w:hAnsi="Arial Narrow" w:cs="Times New Roman"/>
            </w:rPr>
            <w:fldChar w:fldCharType="end"/>
          </w:r>
        </w:sdtContent>
      </w:sdt>
      <w:r w:rsidRPr="00875AA8">
        <w:rPr>
          <w:rFonts w:ascii="Arial Narrow" w:eastAsia="Times New Roman" w:hAnsi="Arial Narrow" w:cs="Times New Roman"/>
        </w:rPr>
        <w:t>.</w:t>
      </w:r>
    </w:p>
    <w:p w:rsidR="00875AA8" w:rsidRPr="00067792" w:rsidRDefault="00875AA8" w:rsidP="00067792">
      <w:pPr>
        <w:pStyle w:val="NormalWeb"/>
        <w:spacing w:line="276" w:lineRule="auto"/>
        <w:jc w:val="both"/>
        <w:rPr>
          <w:rFonts w:ascii="Arial Narrow" w:hAnsi="Arial Narrow"/>
          <w:sz w:val="22"/>
          <w:szCs w:val="22"/>
        </w:rPr>
      </w:pPr>
      <w:r w:rsidRPr="00B42579">
        <w:rPr>
          <w:rFonts w:ascii="Arial Narrow" w:hAnsi="Arial Narrow"/>
          <w:sz w:val="22"/>
          <w:szCs w:val="22"/>
        </w:rPr>
        <w:t>I</w:t>
      </w:r>
      <w:r w:rsidR="00BB4DC0" w:rsidRPr="00B42579">
        <w:rPr>
          <w:rFonts w:ascii="Arial Narrow" w:hAnsi="Arial Narrow"/>
          <w:sz w:val="22"/>
          <w:szCs w:val="22"/>
        </w:rPr>
        <w:t xml:space="preserve">nstitutional quality indicators </w:t>
      </w:r>
      <w:r w:rsidR="00C71FCA" w:rsidRPr="00B42579">
        <w:rPr>
          <w:rFonts w:ascii="Arial Narrow" w:hAnsi="Arial Narrow"/>
          <w:sz w:val="22"/>
          <w:szCs w:val="22"/>
        </w:rPr>
        <w:t xml:space="preserve">are sourced from </w:t>
      </w:r>
      <w:r w:rsidR="00C71FCA" w:rsidRPr="00C71FCA">
        <w:rPr>
          <w:rFonts w:ascii="Arial Narrow" w:hAnsi="Arial Narrow"/>
          <w:sz w:val="22"/>
          <w:szCs w:val="22"/>
        </w:rPr>
        <w:t>Worldwide Governance Indicators</w:t>
      </w:r>
      <w:r w:rsidR="00C71FCA">
        <w:rPr>
          <w:rFonts w:ascii="Arial Narrow" w:hAnsi="Arial Narrow"/>
          <w:sz w:val="22"/>
          <w:szCs w:val="22"/>
        </w:rPr>
        <w:t xml:space="preserve">(WGI) </w:t>
      </w:r>
      <w:r w:rsidRPr="00B42579">
        <w:rPr>
          <w:rFonts w:ascii="Arial Narrow" w:hAnsi="Arial Narrow"/>
          <w:sz w:val="22"/>
          <w:szCs w:val="22"/>
        </w:rPr>
        <w:t>including Voice of Accountability, Political Stability, Government Effectiveness, Regulatory Quality, Rule of</w:t>
      </w:r>
      <w:r w:rsidR="00BB4DC0" w:rsidRPr="00B42579">
        <w:rPr>
          <w:rFonts w:ascii="Arial Narrow" w:hAnsi="Arial Narrow"/>
          <w:sz w:val="22"/>
          <w:szCs w:val="22"/>
        </w:rPr>
        <w:t xml:space="preserve"> Law, and Control of Corruption </w:t>
      </w:r>
      <w:r w:rsidRPr="00B42579">
        <w:rPr>
          <w:rFonts w:ascii="Arial Narrow" w:hAnsi="Arial Narrow"/>
          <w:sz w:val="22"/>
          <w:szCs w:val="22"/>
        </w:rPr>
        <w:t xml:space="preserve">capture governance and structural elements crucial for sustained growth. Strong institutions foster trust, reduce uncertainties, and enable efficient resource allocation, which </w:t>
      </w:r>
      <w:r w:rsidR="00841A7A" w:rsidRPr="00B42579">
        <w:rPr>
          <w:rFonts w:ascii="Arial Narrow" w:hAnsi="Arial Narrow"/>
          <w:sz w:val="22"/>
          <w:szCs w:val="22"/>
        </w:rPr>
        <w:t>is</w:t>
      </w:r>
      <w:r w:rsidRPr="00B42579">
        <w:rPr>
          <w:rFonts w:ascii="Arial Narrow" w:hAnsi="Arial Narrow"/>
          <w:sz w:val="22"/>
          <w:szCs w:val="22"/>
        </w:rPr>
        <w:t xml:space="preserve"> necessary for economic transformation and technological integration </w:t>
      </w:r>
      <w:sdt>
        <w:sdtPr>
          <w:rPr>
            <w:rFonts w:ascii="Arial Narrow" w:hAnsi="Arial Narrow"/>
            <w:sz w:val="22"/>
            <w:szCs w:val="22"/>
          </w:rPr>
          <w:id w:val="-460660812"/>
          <w:citation/>
        </w:sdtPr>
        <w:sdtEndPr/>
        <w:sdtContent>
          <w:r w:rsidR="00A16109" w:rsidRPr="00B42579">
            <w:rPr>
              <w:rFonts w:ascii="Arial Narrow" w:hAnsi="Arial Narrow"/>
              <w:sz w:val="22"/>
              <w:szCs w:val="22"/>
            </w:rPr>
            <w:fldChar w:fldCharType="begin"/>
          </w:r>
          <w:r w:rsidR="00A16109" w:rsidRPr="00B42579">
            <w:rPr>
              <w:rFonts w:ascii="Arial Narrow" w:hAnsi="Arial Narrow"/>
              <w:sz w:val="22"/>
              <w:szCs w:val="22"/>
            </w:rPr>
            <w:instrText xml:space="preserve">CITATION Ace20 \l 1033 </w:instrText>
          </w:r>
          <w:r w:rsidR="00A16109" w:rsidRPr="00B42579">
            <w:rPr>
              <w:rFonts w:ascii="Arial Narrow" w:hAnsi="Arial Narrow"/>
              <w:sz w:val="22"/>
              <w:szCs w:val="22"/>
            </w:rPr>
            <w:fldChar w:fldCharType="separate"/>
          </w:r>
          <w:r w:rsidR="00A16109" w:rsidRPr="00B42579">
            <w:rPr>
              <w:rFonts w:ascii="Arial Narrow" w:hAnsi="Arial Narrow"/>
              <w:sz w:val="22"/>
              <w:szCs w:val="22"/>
            </w:rPr>
            <w:t>(Acemoglu, D; Johnson, S; Robinson,J. A, 2020)</w:t>
          </w:r>
          <w:r w:rsidR="00A16109" w:rsidRPr="00B42579">
            <w:rPr>
              <w:rFonts w:ascii="Arial Narrow" w:hAnsi="Arial Narrow"/>
              <w:sz w:val="22"/>
              <w:szCs w:val="22"/>
            </w:rPr>
            <w:fldChar w:fldCharType="end"/>
          </w:r>
        </w:sdtContent>
      </w:sdt>
      <w:r w:rsidRPr="00B42579">
        <w:rPr>
          <w:rFonts w:ascii="Arial Narrow" w:hAnsi="Arial Narrow"/>
          <w:sz w:val="22"/>
          <w:szCs w:val="22"/>
        </w:rPr>
        <w:t xml:space="preserve">. </w:t>
      </w:r>
      <w:r w:rsidR="00DD61BC" w:rsidRPr="00B42579">
        <w:rPr>
          <w:rFonts w:ascii="Arial Narrow" w:hAnsi="Arial Narrow"/>
          <w:sz w:val="22"/>
          <w:szCs w:val="22"/>
        </w:rPr>
        <w:t xml:space="preserve"> </w:t>
      </w:r>
      <w:r w:rsidR="00BB4DC0" w:rsidRPr="00B42579">
        <w:rPr>
          <w:rFonts w:ascii="Arial Narrow" w:hAnsi="Arial Narrow"/>
          <w:sz w:val="22"/>
          <w:szCs w:val="22"/>
        </w:rPr>
        <w:t>Finally, AI readiness index</w:t>
      </w:r>
      <w:r w:rsidR="005135A8">
        <w:rPr>
          <w:rFonts w:ascii="Arial Narrow" w:hAnsi="Arial Narrow"/>
          <w:sz w:val="22"/>
          <w:szCs w:val="22"/>
        </w:rPr>
        <w:t xml:space="preserve"> </w:t>
      </w:r>
      <w:r w:rsidR="00B42579" w:rsidRPr="00B42579">
        <w:rPr>
          <w:rFonts w:ascii="Arial Narrow" w:hAnsi="Arial Narrow"/>
          <w:sz w:val="22"/>
          <w:szCs w:val="22"/>
        </w:rPr>
        <w:t>(2023)</w:t>
      </w:r>
      <w:r w:rsidR="00BB4DC0" w:rsidRPr="00B42579">
        <w:rPr>
          <w:rFonts w:ascii="Arial Narrow" w:hAnsi="Arial Narrow"/>
          <w:sz w:val="22"/>
          <w:szCs w:val="22"/>
        </w:rPr>
        <w:t xml:space="preserve"> is included, sourced from OpenAFRICA, to measure the degree of countries' AI readiness and evaluate its linkage with the quality of institutions. AI readiness is closely tied to the quality of institutions because strong institutions provide the governance, infrastructure, and regulatory frameworks necessary for the successful adoption and implementation of AI technologies.</w:t>
      </w:r>
    </w:p>
    <w:p w:rsidR="00875AA8" w:rsidRDefault="00841A7A" w:rsidP="00DD770F">
      <w:pPr>
        <w:spacing w:before="100" w:beforeAutospacing="1" w:after="100" w:afterAutospacing="1" w:line="276" w:lineRule="auto"/>
        <w:jc w:val="both"/>
        <w:rPr>
          <w:rFonts w:ascii="Arial Narrow" w:eastAsia="Times New Roman" w:hAnsi="Arial Narrow" w:cs="Times New Roman"/>
        </w:rPr>
      </w:pPr>
      <w:r w:rsidRPr="00841A7A">
        <w:rPr>
          <w:rFonts w:ascii="Arial Narrow" w:eastAsia="Times New Roman" w:hAnsi="Arial Narrow" w:cs="Times New Roman"/>
        </w:rPr>
        <w:t xml:space="preserve">This study is conducted in </w:t>
      </w:r>
      <w:r w:rsidR="0024198F" w:rsidRPr="00841A7A">
        <w:rPr>
          <w:rFonts w:ascii="Arial Narrow" w:eastAsia="Times New Roman" w:hAnsi="Arial Narrow" w:cs="Times New Roman"/>
        </w:rPr>
        <w:t xml:space="preserve">30 Sub-Saharan African countries </w:t>
      </w:r>
      <w:r w:rsidRPr="00841A7A">
        <w:rPr>
          <w:rFonts w:ascii="Arial Narrow" w:eastAsia="Times New Roman" w:hAnsi="Arial Narrow" w:cs="Times New Roman"/>
        </w:rPr>
        <w:t>ranging</w:t>
      </w:r>
      <w:r w:rsidR="0024198F" w:rsidRPr="00841A7A">
        <w:rPr>
          <w:rFonts w:ascii="Arial Narrow" w:eastAsia="Times New Roman" w:hAnsi="Arial Narrow" w:cs="Times New Roman"/>
        </w:rPr>
        <w:t xml:space="preserve"> </w:t>
      </w:r>
      <w:r w:rsidRPr="00841A7A">
        <w:rPr>
          <w:rFonts w:ascii="Arial Narrow" w:eastAsia="Times New Roman" w:hAnsi="Arial Narrow" w:cs="Times New Roman"/>
        </w:rPr>
        <w:t>in</w:t>
      </w:r>
      <w:r w:rsidR="0024198F" w:rsidRPr="00841A7A">
        <w:rPr>
          <w:rFonts w:ascii="Arial Narrow" w:eastAsia="Times New Roman" w:hAnsi="Arial Narrow" w:cs="Times New Roman"/>
        </w:rPr>
        <w:t xml:space="preserve"> economies, institutional contexts, and geographical locations</w:t>
      </w:r>
      <w:r w:rsidR="00AC6F7D">
        <w:rPr>
          <w:rFonts w:ascii="Arial Narrow" w:eastAsia="Times New Roman" w:hAnsi="Arial Narrow" w:cs="Times New Roman"/>
        </w:rPr>
        <w:t xml:space="preserve"> spanning from 2000 to 2021</w:t>
      </w:r>
      <w:r w:rsidR="0024198F" w:rsidRPr="00841A7A">
        <w:rPr>
          <w:rFonts w:ascii="Arial Narrow" w:eastAsia="Times New Roman" w:hAnsi="Arial Narrow" w:cs="Times New Roman"/>
        </w:rPr>
        <w:t xml:space="preserve">. The sample features both low-income countries </w:t>
      </w:r>
      <w:r w:rsidRPr="00841A7A">
        <w:rPr>
          <w:rFonts w:ascii="Arial Narrow" w:eastAsia="Times New Roman" w:hAnsi="Arial Narrow" w:cs="Times New Roman"/>
        </w:rPr>
        <w:t>and middle-income countries</w:t>
      </w:r>
      <w:r w:rsidR="0024198F" w:rsidRPr="00841A7A">
        <w:rPr>
          <w:rFonts w:ascii="Arial Narrow" w:eastAsia="Times New Roman" w:hAnsi="Arial Narrow" w:cs="Times New Roman"/>
        </w:rPr>
        <w:t>, reflecting different stages of economic development. It also inclu</w:t>
      </w:r>
      <w:r w:rsidR="00BB4DC0">
        <w:rPr>
          <w:rFonts w:ascii="Arial Narrow" w:eastAsia="Times New Roman" w:hAnsi="Arial Narrow" w:cs="Times New Roman"/>
        </w:rPr>
        <w:t xml:space="preserve">des resource-dependent countries </w:t>
      </w:r>
      <w:r w:rsidR="0024198F" w:rsidRPr="00841A7A">
        <w:rPr>
          <w:rFonts w:ascii="Arial Narrow" w:eastAsia="Times New Roman" w:hAnsi="Arial Narrow" w:cs="Times New Roman"/>
        </w:rPr>
        <w:t>and more div</w:t>
      </w:r>
      <w:r w:rsidRPr="00841A7A">
        <w:rPr>
          <w:rFonts w:ascii="Arial Narrow" w:eastAsia="Times New Roman" w:hAnsi="Arial Narrow" w:cs="Times New Roman"/>
        </w:rPr>
        <w:t>ersified economies</w:t>
      </w:r>
      <w:r w:rsidR="0024198F" w:rsidRPr="00841A7A">
        <w:rPr>
          <w:rFonts w:ascii="Arial Narrow" w:eastAsia="Times New Roman" w:hAnsi="Arial Narrow" w:cs="Times New Roman"/>
        </w:rPr>
        <w:t>, offering a broad perspective on various growth drivers. The geographical diversity, including landlocke</w:t>
      </w:r>
      <w:r w:rsidRPr="00841A7A">
        <w:rPr>
          <w:rFonts w:ascii="Arial Narrow" w:eastAsia="Times New Roman" w:hAnsi="Arial Narrow" w:cs="Times New Roman"/>
        </w:rPr>
        <w:t xml:space="preserve">d </w:t>
      </w:r>
      <w:r w:rsidR="0024198F" w:rsidRPr="00841A7A">
        <w:rPr>
          <w:rFonts w:ascii="Arial Narrow" w:eastAsia="Times New Roman" w:hAnsi="Arial Narrow" w:cs="Times New Roman"/>
        </w:rPr>
        <w:t>and i</w:t>
      </w:r>
      <w:r w:rsidRPr="00841A7A">
        <w:rPr>
          <w:rFonts w:ascii="Arial Narrow" w:eastAsia="Times New Roman" w:hAnsi="Arial Narrow" w:cs="Times New Roman"/>
        </w:rPr>
        <w:t xml:space="preserve">sland </w:t>
      </w:r>
      <w:r w:rsidR="00BB4DC0" w:rsidRPr="00841A7A">
        <w:rPr>
          <w:rFonts w:ascii="Arial Narrow" w:eastAsia="Times New Roman" w:hAnsi="Arial Narrow" w:cs="Times New Roman"/>
        </w:rPr>
        <w:t>countries</w:t>
      </w:r>
      <w:r w:rsidR="0024198F" w:rsidRPr="00841A7A">
        <w:rPr>
          <w:rFonts w:ascii="Arial Narrow" w:eastAsia="Times New Roman" w:hAnsi="Arial Narrow" w:cs="Times New Roman"/>
        </w:rPr>
        <w:t>, helps to consider different regional factors. Additionally, the sample includes countries with varying levels of institutional quality, from more stable institutio</w:t>
      </w:r>
      <w:r w:rsidRPr="00841A7A">
        <w:rPr>
          <w:rFonts w:ascii="Arial Narrow" w:eastAsia="Times New Roman" w:hAnsi="Arial Narrow" w:cs="Times New Roman"/>
        </w:rPr>
        <w:t xml:space="preserve">ns </w:t>
      </w:r>
      <w:r w:rsidR="0024198F" w:rsidRPr="00841A7A">
        <w:rPr>
          <w:rFonts w:ascii="Arial Narrow" w:eastAsia="Times New Roman" w:hAnsi="Arial Narrow" w:cs="Times New Roman"/>
        </w:rPr>
        <w:t xml:space="preserve">to those with weaker </w:t>
      </w:r>
      <w:r w:rsidRPr="00841A7A">
        <w:rPr>
          <w:rFonts w:ascii="Arial Narrow" w:eastAsia="Times New Roman" w:hAnsi="Arial Narrow" w:cs="Times New Roman"/>
        </w:rPr>
        <w:t>governance structures</w:t>
      </w:r>
      <w:r w:rsidR="0024198F" w:rsidRPr="00841A7A">
        <w:rPr>
          <w:rFonts w:ascii="Arial Narrow" w:eastAsia="Times New Roman" w:hAnsi="Arial Narrow" w:cs="Times New Roman"/>
        </w:rPr>
        <w:t>, providing a more comprehensive view of the potential factor</w:t>
      </w:r>
      <w:r w:rsidR="000B0333">
        <w:rPr>
          <w:rFonts w:ascii="Arial Narrow" w:eastAsia="Times New Roman" w:hAnsi="Arial Narrow" w:cs="Times New Roman"/>
        </w:rPr>
        <w:t xml:space="preserve">s influencing </w:t>
      </w:r>
      <w:r w:rsidR="0024198F" w:rsidRPr="00841A7A">
        <w:rPr>
          <w:rFonts w:ascii="Arial Narrow" w:eastAsia="Times New Roman" w:hAnsi="Arial Narrow" w:cs="Times New Roman"/>
        </w:rPr>
        <w:t>growth</w:t>
      </w:r>
      <w:r w:rsidR="000B0333">
        <w:rPr>
          <w:rFonts w:ascii="Arial Narrow" w:eastAsia="Times New Roman" w:hAnsi="Arial Narrow" w:cs="Times New Roman"/>
        </w:rPr>
        <w:t xml:space="preserve"> dynamics</w:t>
      </w:r>
      <w:r w:rsidR="0024198F" w:rsidRPr="00841A7A">
        <w:rPr>
          <w:rFonts w:ascii="Arial Narrow" w:eastAsia="Times New Roman" w:hAnsi="Arial Narrow" w:cs="Times New Roman"/>
        </w:rPr>
        <w:t xml:space="preserve"> and AI readiness.</w:t>
      </w:r>
    </w:p>
    <w:p w:rsidR="0054520C" w:rsidRPr="00652834" w:rsidRDefault="0054520C" w:rsidP="00DD770F">
      <w:pPr>
        <w:spacing w:before="100" w:beforeAutospacing="1" w:after="100" w:afterAutospacing="1" w:line="276" w:lineRule="auto"/>
        <w:jc w:val="both"/>
        <w:rPr>
          <w:rFonts w:ascii="Arial Narrow" w:eastAsia="Times New Roman" w:hAnsi="Arial Narrow" w:cs="Times New Roman"/>
          <w:sz w:val="10"/>
        </w:rPr>
      </w:pPr>
    </w:p>
    <w:p w:rsidR="00F00639" w:rsidRPr="00DD770F" w:rsidRDefault="00793E95" w:rsidP="00793E95">
      <w:pPr>
        <w:pStyle w:val="NormalWeb"/>
        <w:numPr>
          <w:ilvl w:val="0"/>
          <w:numId w:val="2"/>
        </w:numPr>
        <w:spacing w:line="276" w:lineRule="auto"/>
        <w:rPr>
          <w:rFonts w:ascii="Arial Narrow" w:hAnsi="Arial Narrow"/>
          <w:b/>
          <w:sz w:val="22"/>
          <w:szCs w:val="22"/>
        </w:rPr>
      </w:pPr>
      <w:r>
        <w:rPr>
          <w:rFonts w:ascii="Arial Narrow" w:hAnsi="Arial Narrow"/>
          <w:b/>
          <w:sz w:val="22"/>
          <w:szCs w:val="22"/>
        </w:rPr>
        <w:t>Empirical findings and discussions</w:t>
      </w:r>
    </w:p>
    <w:p w:rsidR="00A66162" w:rsidRPr="00A66162" w:rsidRDefault="006B6936" w:rsidP="006B6936">
      <w:pPr>
        <w:pStyle w:val="NormalWeb"/>
        <w:ind w:left="360"/>
        <w:rPr>
          <w:rFonts w:ascii="Arial Narrow" w:hAnsi="Arial Narrow"/>
          <w:b/>
          <w:sz w:val="22"/>
          <w:szCs w:val="22"/>
        </w:rPr>
      </w:pPr>
      <w:r>
        <w:rPr>
          <w:rFonts w:ascii="Arial Narrow" w:hAnsi="Arial Narrow"/>
          <w:b/>
          <w:sz w:val="22"/>
          <w:szCs w:val="22"/>
        </w:rPr>
        <w:t xml:space="preserve">Table 1: </w:t>
      </w:r>
      <w:r w:rsidR="00A66162" w:rsidRPr="00A66162">
        <w:rPr>
          <w:rFonts w:ascii="Arial Narrow" w:hAnsi="Arial Narrow"/>
          <w:b/>
          <w:sz w:val="22"/>
          <w:szCs w:val="22"/>
        </w:rPr>
        <w:t>Summary statistics</w:t>
      </w:r>
    </w:p>
    <w:tbl>
      <w:tblPr>
        <w:tblW w:w="0" w:type="auto"/>
        <w:jc w:val="center"/>
        <w:tblLayout w:type="fixed"/>
        <w:tblCellMar>
          <w:left w:w="75" w:type="dxa"/>
          <w:right w:w="75" w:type="dxa"/>
        </w:tblCellMar>
        <w:tblLook w:val="0000" w:firstRow="0" w:lastRow="0" w:firstColumn="0" w:lastColumn="0" w:noHBand="0" w:noVBand="0"/>
      </w:tblPr>
      <w:tblGrid>
        <w:gridCol w:w="1803"/>
        <w:gridCol w:w="576"/>
        <w:gridCol w:w="1008"/>
        <w:gridCol w:w="864"/>
        <w:gridCol w:w="1152"/>
        <w:gridCol w:w="1008"/>
        <w:gridCol w:w="1296"/>
        <w:gridCol w:w="1296"/>
      </w:tblGrid>
      <w:tr w:rsidR="00A66162" w:rsidRPr="00952585" w:rsidTr="002B6B44">
        <w:trPr>
          <w:jc w:val="center"/>
        </w:trPr>
        <w:tc>
          <w:tcPr>
            <w:tcW w:w="1803"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576"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1008"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864"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1152"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008"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1296"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1296" w:type="dxa"/>
            <w:tcBorders>
              <w:top w:val="single" w:sz="6" w:space="0" w:color="auto"/>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r>
      <w:tr w:rsidR="00A66162" w:rsidRPr="00952585" w:rsidTr="002B6B44">
        <w:trPr>
          <w:jc w:val="center"/>
        </w:trPr>
        <w:tc>
          <w:tcPr>
            <w:tcW w:w="1803"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V</w:t>
            </w:r>
            <w:r w:rsidR="00952585" w:rsidRPr="00952585">
              <w:rPr>
                <w:rFonts w:ascii="Arial Narrow" w:hAnsi="Arial Narrow" w:cs="Times New Roman"/>
                <w:sz w:val="20"/>
                <w:szCs w:val="20"/>
              </w:rPr>
              <w:t>ariables</w:t>
            </w:r>
          </w:p>
        </w:tc>
        <w:tc>
          <w:tcPr>
            <w:tcW w:w="576"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N</w:t>
            </w:r>
          </w:p>
        </w:tc>
        <w:tc>
          <w:tcPr>
            <w:tcW w:w="1008"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mean</w:t>
            </w:r>
          </w:p>
        </w:tc>
        <w:tc>
          <w:tcPr>
            <w:tcW w:w="864"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sd</w:t>
            </w:r>
          </w:p>
        </w:tc>
        <w:tc>
          <w:tcPr>
            <w:tcW w:w="1152"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min</w:t>
            </w:r>
          </w:p>
        </w:tc>
        <w:tc>
          <w:tcPr>
            <w:tcW w:w="1008"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max</w:t>
            </w:r>
          </w:p>
        </w:tc>
        <w:tc>
          <w:tcPr>
            <w:tcW w:w="1296"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skewness</w:t>
            </w:r>
          </w:p>
        </w:tc>
        <w:tc>
          <w:tcPr>
            <w:tcW w:w="1296"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kurtosis</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CPS</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654</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18.48</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17.98</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0.00154</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104.8</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2.251</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8.389</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GCF</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642</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22.06</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9.264</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1.097</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76.78</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1.538</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7.554</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GDPG</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660</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4.005</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4.108</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-20.81</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26.52</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-1.143</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10.68</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Open</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659</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64.53</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34.34</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4.128</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235.8</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2.035</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8.511</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Fin_D</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660</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-217.4</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63.06</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-363.3</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-52.34</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0.490</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3.310</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Inf</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633</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8.269</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29.81</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-4.295</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513.9</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13.16</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193.5</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Remit</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642</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2.985</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3.715</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0</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26.84</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2.117</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8.846</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Schol_Prim</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540</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97.85</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21.77</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31.85</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151.7</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-0.0807</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2.967</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Voic_acc</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475</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-45.53</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98.75</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-547.5</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68.44</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-1.698</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6.696</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Polit_stab</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464</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-26.20</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83.81</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-480.4</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82.56</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-1.798</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7.856</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Gvt_ef</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417</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-81.18</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100.1</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-534.2</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76.57</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-0.925</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4.663</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Regul_qual</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491</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-72.07</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93.74</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-480.4</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78.71</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-1.266</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5.199</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Rule_law</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449</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-69.28</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113.2</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-1,251</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70.51</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-3.515</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30.45</w:t>
            </w:r>
          </w:p>
        </w:tc>
      </w:tr>
      <w:tr w:rsidR="00A66162" w:rsidRPr="00952585" w:rsidTr="002B6B44">
        <w:trPr>
          <w:jc w:val="center"/>
        </w:trPr>
        <w:tc>
          <w:tcPr>
            <w:tcW w:w="1803"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r w:rsidRPr="00952585">
              <w:rPr>
                <w:rFonts w:ascii="Arial Narrow" w:hAnsi="Arial Narrow" w:cs="Times New Roman"/>
                <w:sz w:val="20"/>
                <w:szCs w:val="20"/>
              </w:rPr>
              <w:t>control_cor</w:t>
            </w:r>
          </w:p>
        </w:tc>
        <w:tc>
          <w:tcPr>
            <w:tcW w:w="57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449</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-76.07</w:t>
            </w:r>
          </w:p>
        </w:tc>
        <w:tc>
          <w:tcPr>
            <w:tcW w:w="864"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106.6</w:t>
            </w:r>
          </w:p>
        </w:tc>
        <w:tc>
          <w:tcPr>
            <w:tcW w:w="1152"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-590.5</w:t>
            </w:r>
          </w:p>
        </w:tc>
        <w:tc>
          <w:tcPr>
            <w:tcW w:w="1008"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95.57</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-0.851</w:t>
            </w:r>
          </w:p>
        </w:tc>
        <w:tc>
          <w:tcPr>
            <w:tcW w:w="1296" w:type="dxa"/>
            <w:tcBorders>
              <w:top w:val="nil"/>
              <w:left w:val="nil"/>
              <w:bottom w:val="nil"/>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r w:rsidRPr="00952585">
              <w:rPr>
                <w:rFonts w:ascii="Arial Narrow" w:hAnsi="Arial Narrow" w:cs="Times New Roman"/>
                <w:sz w:val="20"/>
                <w:szCs w:val="20"/>
              </w:rPr>
              <w:t>3.976</w:t>
            </w:r>
          </w:p>
        </w:tc>
      </w:tr>
      <w:tr w:rsidR="00A66162" w:rsidRPr="00952585" w:rsidTr="002B6B44">
        <w:tblPrEx>
          <w:tblBorders>
            <w:bottom w:val="single" w:sz="6" w:space="0" w:color="auto"/>
          </w:tblBorders>
        </w:tblPrEx>
        <w:trPr>
          <w:jc w:val="center"/>
        </w:trPr>
        <w:tc>
          <w:tcPr>
            <w:tcW w:w="1803"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rPr>
                <w:rFonts w:ascii="Arial Narrow" w:hAnsi="Arial Narrow" w:cs="Times New Roman"/>
                <w:sz w:val="20"/>
                <w:szCs w:val="20"/>
              </w:rPr>
            </w:pPr>
          </w:p>
        </w:tc>
        <w:tc>
          <w:tcPr>
            <w:tcW w:w="576"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008"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864"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152"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008"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296"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c>
          <w:tcPr>
            <w:tcW w:w="1296" w:type="dxa"/>
            <w:tcBorders>
              <w:top w:val="nil"/>
              <w:left w:val="nil"/>
              <w:bottom w:val="single" w:sz="6" w:space="0" w:color="auto"/>
              <w:right w:val="nil"/>
            </w:tcBorders>
          </w:tcPr>
          <w:p w:rsidR="00A66162" w:rsidRPr="00952585" w:rsidRDefault="00A66162" w:rsidP="002B6B44">
            <w:pPr>
              <w:widowControl w:val="0"/>
              <w:autoSpaceDE w:val="0"/>
              <w:autoSpaceDN w:val="0"/>
              <w:adjustRightInd w:val="0"/>
              <w:spacing w:after="0" w:line="240" w:lineRule="auto"/>
              <w:jc w:val="center"/>
              <w:rPr>
                <w:rFonts w:ascii="Arial Narrow" w:hAnsi="Arial Narrow" w:cs="Times New Roman"/>
                <w:sz w:val="20"/>
                <w:szCs w:val="20"/>
              </w:rPr>
            </w:pPr>
          </w:p>
        </w:tc>
      </w:tr>
    </w:tbl>
    <w:p w:rsidR="00992280" w:rsidRDefault="001A20C6" w:rsidP="00992280">
      <w:pPr>
        <w:pStyle w:val="NormalWeb"/>
      </w:pPr>
      <w:r w:rsidRPr="00206401">
        <w:rPr>
          <w:rFonts w:ascii="Arial Narrow" w:hAnsi="Arial Narrow"/>
          <w:b/>
          <w:sz w:val="22"/>
          <w:szCs w:val="22"/>
        </w:rPr>
        <w:lastRenderedPageBreak/>
        <w:t xml:space="preserve">Source: </w:t>
      </w:r>
      <w:r w:rsidRPr="003A0A6B">
        <w:rPr>
          <w:rFonts w:ascii="Arial Narrow" w:hAnsi="Arial Narrow"/>
          <w:sz w:val="22"/>
          <w:szCs w:val="22"/>
        </w:rPr>
        <w:t>Author’s own computation</w:t>
      </w:r>
    </w:p>
    <w:p w:rsidR="005721E7" w:rsidRPr="00200E5F" w:rsidRDefault="00224284" w:rsidP="00200E5F">
      <w:pPr>
        <w:pStyle w:val="NormalWeb"/>
        <w:spacing w:line="276" w:lineRule="auto"/>
        <w:jc w:val="both"/>
        <w:rPr>
          <w:rFonts w:ascii="Arial Narrow" w:hAnsi="Arial Narrow"/>
          <w:sz w:val="22"/>
          <w:szCs w:val="22"/>
        </w:rPr>
      </w:pPr>
      <w:r>
        <w:rPr>
          <w:rFonts w:ascii="Arial Narrow" w:hAnsi="Arial Narrow"/>
          <w:sz w:val="22"/>
          <w:szCs w:val="22"/>
        </w:rPr>
        <w:t>Table1</w:t>
      </w:r>
      <w:r w:rsidR="00952585" w:rsidRPr="00952585">
        <w:rPr>
          <w:rFonts w:ascii="Arial Narrow" w:hAnsi="Arial Narrow"/>
          <w:sz w:val="22"/>
          <w:szCs w:val="22"/>
        </w:rPr>
        <w:t xml:space="preserve"> reveal</w:t>
      </w:r>
      <w:r>
        <w:rPr>
          <w:rFonts w:ascii="Arial Narrow" w:hAnsi="Arial Narrow"/>
          <w:sz w:val="22"/>
          <w:szCs w:val="22"/>
        </w:rPr>
        <w:t>s</w:t>
      </w:r>
      <w:r w:rsidR="00952585" w:rsidRPr="00952585">
        <w:rPr>
          <w:rFonts w:ascii="Arial Narrow" w:hAnsi="Arial Narrow"/>
          <w:sz w:val="22"/>
          <w:szCs w:val="22"/>
        </w:rPr>
        <w:t xml:space="preserve"> significant diversity across the variables and countries in the sample. Credit to the private sector (CPS) and gross capital formation (GCF) show moderate averages (18.48% and 22.06%, respectively) with high variability, as indicated by their large standard deviations, and positive skewness suggests outliers with high values. GDP growth (GDPG) has a mean of 4.005%, but the high kurtosis (10.68) reflects extreme cases of economic contraction or rapid growth. Trade openness (Open) and remittances (Remit) show moderate averages (64.53% and 2.985%, respectively), with positive skewness indicating a concentration of lower values and a few high outliers. Inflation (Inf) demonstrates extreme variability (SD = 29.81), driven by hyperinflation episodes in some countries, as shown by its high skewness (13.16) and kurtosis (193.5). School enrollment (Schol_Prim) has a high average (97.85%) and near-normal distribution, while institutional quality indicators generally exhibit negative means, reflecting governance challenges typical in many developing countries. Notably, variables like Rule of Law and Government Effectiveness have high kurtosis, indicating a few extreme cases, which may require robust econometric approaches to mitigate the influence of outliers and</w:t>
      </w:r>
      <w:r w:rsidR="00200E5F">
        <w:rPr>
          <w:rFonts w:ascii="Arial Narrow" w:hAnsi="Arial Narrow"/>
          <w:sz w:val="22"/>
          <w:szCs w:val="22"/>
        </w:rPr>
        <w:t xml:space="preserve"> heterogeneity in the analysis.</w:t>
      </w:r>
    </w:p>
    <w:p w:rsidR="00212781" w:rsidRPr="006B6936" w:rsidRDefault="006B6936" w:rsidP="006B6936">
      <w:pPr>
        <w:pStyle w:val="NormalWeb"/>
        <w:ind w:left="360"/>
        <w:rPr>
          <w:rFonts w:ascii="Arial Narrow" w:hAnsi="Arial Narrow"/>
          <w:b/>
          <w:sz w:val="22"/>
          <w:szCs w:val="22"/>
        </w:rPr>
      </w:pPr>
      <w:r>
        <w:rPr>
          <w:rFonts w:ascii="Arial Narrow" w:hAnsi="Arial Narrow"/>
          <w:b/>
          <w:sz w:val="22"/>
          <w:szCs w:val="22"/>
        </w:rPr>
        <w:t>Table 2: Correlation Metrix</w:t>
      </w:r>
    </w:p>
    <w:tbl>
      <w:tblPr>
        <w:tblW w:w="0" w:type="auto"/>
        <w:tblLook w:val="0000" w:firstRow="0" w:lastRow="0" w:firstColumn="0" w:lastColumn="0" w:noHBand="0" w:noVBand="0"/>
      </w:tblPr>
      <w:tblGrid>
        <w:gridCol w:w="762"/>
        <w:gridCol w:w="511"/>
        <w:gridCol w:w="511"/>
        <w:gridCol w:w="536"/>
        <w:gridCol w:w="511"/>
        <w:gridCol w:w="536"/>
        <w:gridCol w:w="495"/>
        <w:gridCol w:w="495"/>
        <w:gridCol w:w="762"/>
        <w:gridCol w:w="649"/>
        <w:gridCol w:w="685"/>
        <w:gridCol w:w="531"/>
        <w:gridCol w:w="756"/>
        <w:gridCol w:w="655"/>
        <w:gridCol w:w="744"/>
      </w:tblGrid>
      <w:tr w:rsidR="00F73511" w:rsidRPr="00E73B35" w:rsidTr="0029375F">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c>
          <w:tcPr>
            <w:tcW w:w="0" w:type="auto"/>
            <w:tcBorders>
              <w:top w:val="single" w:sz="4" w:space="0" w:color="auto"/>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6"/>
              </w:rPr>
            </w:pPr>
          </w:p>
        </w:tc>
      </w:tr>
      <w:tr w:rsidR="00F73511" w:rsidRPr="00E73B35" w:rsidTr="0029375F">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CPS</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GCF</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GDPG</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Open</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Fin_D</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Inf</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Remit</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Schol_Prim</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Voic_acc</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Polit_stab</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Gvt_ef</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Regul_qual</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Rule_law</w:t>
            </w:r>
          </w:p>
        </w:tc>
        <w:tc>
          <w:tcPr>
            <w:tcW w:w="0" w:type="auto"/>
            <w:tcBorders>
              <w:top w:val="nil"/>
              <w:left w:val="nil"/>
              <w:bottom w:val="nil"/>
              <w:right w:val="nil"/>
            </w:tcBorders>
            <w:shd w:val="clear" w:color="auto" w:fill="D0CECE" w:themeFill="background2" w:themeFillShade="E6"/>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control_cor</w:t>
            </w:r>
          </w:p>
        </w:tc>
      </w:tr>
      <w:tr w:rsidR="00F73511" w:rsidRPr="00E73B35" w:rsidTr="00F73511">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CPS</w:t>
            </w: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single" w:sz="4" w:space="0" w:color="auto"/>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GCF</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GDPG</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Open</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(0.59)</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Fin_D</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0.78</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-0.07</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Inf</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-0.10</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-0.16</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Remit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-0.07</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(0.27)</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(0.07)</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Schol_Prim</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0.10</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-0.05</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(0.86)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(0.29)</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Voic_acc</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0.44</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0.17</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0.46</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0.05</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(0.83)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(0.70)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Polit_stab</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-0.05</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0.36</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(0.25)</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(0.94)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Gvt_ef</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0.44</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0.65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0.21</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0.62</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(0.90)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Regul_qual</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0.52</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0.30</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0.58</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-0.04</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0.54</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0.36</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0.73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(0.37)</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(0.38)</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Rule_law</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0.50</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-0.06</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-0.01</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0.46</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0.52</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(0.95)</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(0.23)</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(0.90)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r w:rsidR="00F73511" w:rsidRPr="00E73B35" w:rsidTr="00F73511">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r>
      <w:tr w:rsidR="00F73511" w:rsidRPr="00E73B35" w:rsidTr="00F73511">
        <w:trPr>
          <w:trHeight w:val="70"/>
        </w:trPr>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r w:rsidRPr="00E73B35">
              <w:rPr>
                <w:rFonts w:ascii="Arial Narrow" w:eastAsiaTheme="minorEastAsia" w:hAnsi="Arial Narrow" w:cs="Segoe UI"/>
                <w:sz w:val="13"/>
                <w:szCs w:val="11"/>
              </w:rPr>
              <w:t>control_cor</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0.47</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0.33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-0.05</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0.42</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0.59</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-0.02</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0.07</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0.57</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0.43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0.65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0.65</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0.73</w:t>
            </w:r>
            <w:r w:rsidRPr="00E73B35">
              <w:rPr>
                <w:rFonts w:ascii="Arial Narrow" w:eastAsiaTheme="minorEastAsia" w:hAnsi="Arial Narrow" w:cs="Segoe UI"/>
                <w:sz w:val="13"/>
                <w:szCs w:val="11"/>
                <w:vertAlign w:val="superscript"/>
              </w:rPr>
              <w:t>***</w:t>
            </w:r>
          </w:p>
        </w:tc>
        <w:tc>
          <w:tcPr>
            <w:tcW w:w="0" w:type="auto"/>
            <w:tcBorders>
              <w:top w:val="nil"/>
              <w:left w:val="nil"/>
              <w:bottom w:val="nil"/>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1.00</w:t>
            </w:r>
          </w:p>
        </w:tc>
      </w:tr>
      <w:tr w:rsidR="00F73511" w:rsidRPr="00E73B35" w:rsidTr="00F73511">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rPr>
                <w:rFonts w:ascii="Arial Narrow" w:eastAsiaTheme="minorEastAsia" w:hAnsi="Arial Narrow" w:cs="Segoe UI"/>
                <w:sz w:val="13"/>
                <w:szCs w:val="11"/>
              </w:rPr>
            </w:pP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(0.28)</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(0.62)</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(0.94)</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(0.15)</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r w:rsidRPr="00E73B35">
              <w:rPr>
                <w:rFonts w:ascii="Arial Narrow" w:eastAsiaTheme="minorEastAsia" w:hAnsi="Arial Narrow" w:cs="Segoe UI"/>
                <w:sz w:val="13"/>
                <w:szCs w:val="11"/>
              </w:rPr>
              <w:t>(0.00)</w:t>
            </w:r>
          </w:p>
        </w:tc>
        <w:tc>
          <w:tcPr>
            <w:tcW w:w="0" w:type="auto"/>
            <w:tcBorders>
              <w:top w:val="nil"/>
              <w:left w:val="nil"/>
              <w:bottom w:val="single" w:sz="4" w:space="0" w:color="auto"/>
              <w:right w:val="nil"/>
            </w:tcBorders>
          </w:tcPr>
          <w:p w:rsidR="00F73511" w:rsidRPr="00E73B35" w:rsidRDefault="00F73511" w:rsidP="00F73511">
            <w:pPr>
              <w:widowControl w:val="0"/>
              <w:autoSpaceDE w:val="0"/>
              <w:autoSpaceDN w:val="0"/>
              <w:adjustRightInd w:val="0"/>
              <w:spacing w:after="0" w:line="240" w:lineRule="auto"/>
              <w:jc w:val="center"/>
              <w:rPr>
                <w:rFonts w:ascii="Arial Narrow" w:eastAsiaTheme="minorEastAsia" w:hAnsi="Arial Narrow" w:cs="Segoe UI"/>
                <w:sz w:val="13"/>
                <w:szCs w:val="11"/>
              </w:rPr>
            </w:pPr>
          </w:p>
        </w:tc>
      </w:tr>
    </w:tbl>
    <w:p w:rsidR="00F73511" w:rsidRPr="00F73511" w:rsidRDefault="00F73511" w:rsidP="00F73511">
      <w:pPr>
        <w:widowControl w:val="0"/>
        <w:autoSpaceDE w:val="0"/>
        <w:autoSpaceDN w:val="0"/>
        <w:adjustRightInd w:val="0"/>
        <w:spacing w:after="0" w:line="240" w:lineRule="auto"/>
        <w:rPr>
          <w:rFonts w:ascii="Segoe UI" w:eastAsiaTheme="minorEastAsia" w:hAnsi="Segoe UI" w:cs="Segoe UI"/>
          <w:sz w:val="16"/>
          <w:szCs w:val="11"/>
        </w:rPr>
      </w:pPr>
      <w:r w:rsidRPr="00F73511">
        <w:rPr>
          <w:rFonts w:ascii="Segoe UI" w:eastAsiaTheme="minorEastAsia" w:hAnsi="Segoe UI" w:cs="Segoe UI"/>
          <w:i/>
          <w:iCs/>
          <w:sz w:val="16"/>
          <w:szCs w:val="11"/>
        </w:rPr>
        <w:t>p</w:t>
      </w:r>
      <w:r w:rsidRPr="00F73511">
        <w:rPr>
          <w:rFonts w:ascii="Segoe UI" w:eastAsiaTheme="minorEastAsia" w:hAnsi="Segoe UI" w:cs="Segoe UI"/>
          <w:sz w:val="16"/>
          <w:szCs w:val="11"/>
        </w:rPr>
        <w:t>-values in parentheses</w:t>
      </w:r>
    </w:p>
    <w:p w:rsidR="00F73511" w:rsidRDefault="00F73511" w:rsidP="00F73511">
      <w:pPr>
        <w:widowControl w:val="0"/>
        <w:autoSpaceDE w:val="0"/>
        <w:autoSpaceDN w:val="0"/>
        <w:adjustRightInd w:val="0"/>
        <w:spacing w:after="0" w:line="240" w:lineRule="auto"/>
        <w:rPr>
          <w:rFonts w:ascii="Segoe UI" w:eastAsiaTheme="minorEastAsia" w:hAnsi="Segoe UI" w:cs="Segoe UI"/>
          <w:sz w:val="16"/>
          <w:szCs w:val="11"/>
        </w:rPr>
      </w:pPr>
      <w:r w:rsidRPr="00F73511">
        <w:rPr>
          <w:rFonts w:ascii="Segoe UI" w:eastAsiaTheme="minorEastAsia" w:hAnsi="Segoe UI" w:cs="Segoe UI"/>
          <w:sz w:val="16"/>
          <w:szCs w:val="11"/>
          <w:vertAlign w:val="superscript"/>
        </w:rPr>
        <w:t>*</w:t>
      </w:r>
      <w:r w:rsidRPr="00F73511">
        <w:rPr>
          <w:rFonts w:ascii="Segoe UI" w:eastAsiaTheme="minorEastAsia" w:hAnsi="Segoe UI" w:cs="Segoe UI"/>
          <w:sz w:val="16"/>
          <w:szCs w:val="11"/>
        </w:rPr>
        <w:t xml:space="preserve"> </w:t>
      </w:r>
      <w:r w:rsidRPr="00F73511">
        <w:rPr>
          <w:rFonts w:ascii="Segoe UI" w:eastAsiaTheme="minorEastAsia" w:hAnsi="Segoe UI" w:cs="Segoe UI"/>
          <w:i/>
          <w:iCs/>
          <w:sz w:val="16"/>
          <w:szCs w:val="11"/>
        </w:rPr>
        <w:t>p</w:t>
      </w:r>
      <w:r w:rsidRPr="00F73511">
        <w:rPr>
          <w:rFonts w:ascii="Segoe UI" w:eastAsiaTheme="minorEastAsia" w:hAnsi="Segoe UI" w:cs="Segoe UI"/>
          <w:sz w:val="16"/>
          <w:szCs w:val="11"/>
        </w:rPr>
        <w:t xml:space="preserve"> &lt; 0.05, </w:t>
      </w:r>
      <w:r w:rsidRPr="00F73511">
        <w:rPr>
          <w:rFonts w:ascii="Segoe UI" w:eastAsiaTheme="minorEastAsia" w:hAnsi="Segoe UI" w:cs="Segoe UI"/>
          <w:sz w:val="16"/>
          <w:szCs w:val="11"/>
          <w:vertAlign w:val="superscript"/>
        </w:rPr>
        <w:t>**</w:t>
      </w:r>
      <w:r w:rsidRPr="00F73511">
        <w:rPr>
          <w:rFonts w:ascii="Segoe UI" w:eastAsiaTheme="minorEastAsia" w:hAnsi="Segoe UI" w:cs="Segoe UI"/>
          <w:sz w:val="16"/>
          <w:szCs w:val="11"/>
        </w:rPr>
        <w:t xml:space="preserve"> </w:t>
      </w:r>
      <w:r w:rsidRPr="00F73511">
        <w:rPr>
          <w:rFonts w:ascii="Segoe UI" w:eastAsiaTheme="minorEastAsia" w:hAnsi="Segoe UI" w:cs="Segoe UI"/>
          <w:i/>
          <w:iCs/>
          <w:sz w:val="16"/>
          <w:szCs w:val="11"/>
        </w:rPr>
        <w:t>p</w:t>
      </w:r>
      <w:r w:rsidRPr="00F73511">
        <w:rPr>
          <w:rFonts w:ascii="Segoe UI" w:eastAsiaTheme="minorEastAsia" w:hAnsi="Segoe UI" w:cs="Segoe UI"/>
          <w:sz w:val="16"/>
          <w:szCs w:val="11"/>
        </w:rPr>
        <w:t xml:space="preserve"> &lt; 0.01, </w:t>
      </w:r>
      <w:r w:rsidRPr="00F73511">
        <w:rPr>
          <w:rFonts w:ascii="Segoe UI" w:eastAsiaTheme="minorEastAsia" w:hAnsi="Segoe UI" w:cs="Segoe UI"/>
          <w:sz w:val="16"/>
          <w:szCs w:val="11"/>
          <w:vertAlign w:val="superscript"/>
        </w:rPr>
        <w:t>***</w:t>
      </w:r>
      <w:r w:rsidRPr="00F73511">
        <w:rPr>
          <w:rFonts w:ascii="Segoe UI" w:eastAsiaTheme="minorEastAsia" w:hAnsi="Segoe UI" w:cs="Segoe UI"/>
          <w:sz w:val="16"/>
          <w:szCs w:val="11"/>
        </w:rPr>
        <w:t xml:space="preserve"> </w:t>
      </w:r>
      <w:r w:rsidRPr="00F73511">
        <w:rPr>
          <w:rFonts w:ascii="Segoe UI" w:eastAsiaTheme="minorEastAsia" w:hAnsi="Segoe UI" w:cs="Segoe UI"/>
          <w:i/>
          <w:iCs/>
          <w:sz w:val="16"/>
          <w:szCs w:val="11"/>
        </w:rPr>
        <w:t>p</w:t>
      </w:r>
      <w:r w:rsidRPr="00F73511">
        <w:rPr>
          <w:rFonts w:ascii="Segoe UI" w:eastAsiaTheme="minorEastAsia" w:hAnsi="Segoe UI" w:cs="Segoe UI"/>
          <w:sz w:val="16"/>
          <w:szCs w:val="11"/>
        </w:rPr>
        <w:t xml:space="preserve"> &lt; 0.001</w:t>
      </w:r>
    </w:p>
    <w:p w:rsidR="00F9045F" w:rsidRDefault="00F9045F" w:rsidP="00F73511">
      <w:pPr>
        <w:widowControl w:val="0"/>
        <w:autoSpaceDE w:val="0"/>
        <w:autoSpaceDN w:val="0"/>
        <w:adjustRightInd w:val="0"/>
        <w:spacing w:after="0" w:line="240" w:lineRule="auto"/>
        <w:rPr>
          <w:rFonts w:ascii="Segoe UI" w:eastAsiaTheme="minorEastAsia" w:hAnsi="Segoe UI" w:cs="Segoe UI"/>
          <w:sz w:val="16"/>
          <w:szCs w:val="11"/>
        </w:rPr>
      </w:pPr>
      <w:r w:rsidRPr="00206401">
        <w:rPr>
          <w:rFonts w:ascii="Arial Narrow" w:hAnsi="Arial Narrow"/>
          <w:b/>
        </w:rPr>
        <w:t xml:space="preserve">Source: </w:t>
      </w:r>
      <w:r w:rsidRPr="003A0A6B">
        <w:rPr>
          <w:rFonts w:ascii="Arial Narrow" w:hAnsi="Arial Narrow"/>
        </w:rPr>
        <w:t>Author’s own computation</w:t>
      </w:r>
    </w:p>
    <w:p w:rsidR="00F9045F" w:rsidRPr="005135A8" w:rsidRDefault="00F9045F" w:rsidP="00F73511">
      <w:pPr>
        <w:widowControl w:val="0"/>
        <w:autoSpaceDE w:val="0"/>
        <w:autoSpaceDN w:val="0"/>
        <w:adjustRightInd w:val="0"/>
        <w:spacing w:after="0" w:line="240" w:lineRule="auto"/>
        <w:rPr>
          <w:rFonts w:ascii="Segoe UI" w:eastAsiaTheme="minorEastAsia" w:hAnsi="Segoe UI" w:cs="Segoe UI"/>
          <w:sz w:val="2"/>
          <w:szCs w:val="11"/>
        </w:rPr>
      </w:pPr>
    </w:p>
    <w:p w:rsidR="00F9045F" w:rsidRDefault="00F9045F" w:rsidP="00F73511">
      <w:pPr>
        <w:widowControl w:val="0"/>
        <w:autoSpaceDE w:val="0"/>
        <w:autoSpaceDN w:val="0"/>
        <w:adjustRightInd w:val="0"/>
        <w:spacing w:after="0" w:line="240" w:lineRule="auto"/>
        <w:rPr>
          <w:rFonts w:ascii="Segoe UI" w:eastAsiaTheme="minorEastAsia" w:hAnsi="Segoe UI" w:cs="Segoe UI"/>
          <w:sz w:val="16"/>
          <w:szCs w:val="11"/>
        </w:rPr>
      </w:pPr>
    </w:p>
    <w:p w:rsidR="00652834" w:rsidRPr="005135A8" w:rsidRDefault="00F73511" w:rsidP="00CE13F1">
      <w:pPr>
        <w:widowControl w:val="0"/>
        <w:autoSpaceDE w:val="0"/>
        <w:autoSpaceDN w:val="0"/>
        <w:adjustRightInd w:val="0"/>
        <w:spacing w:after="0" w:line="276" w:lineRule="auto"/>
        <w:jc w:val="both"/>
        <w:rPr>
          <w:rFonts w:ascii="Arial Narrow" w:hAnsi="Arial Narrow" w:cs="Segoe UI"/>
        </w:rPr>
      </w:pPr>
      <w:r w:rsidRPr="00E73B35">
        <w:rPr>
          <w:rFonts w:ascii="Arial Narrow" w:hAnsi="Arial Narrow" w:cs="Segoe UI"/>
        </w:rPr>
        <w:t xml:space="preserve">The correlation matrix </w:t>
      </w:r>
      <w:r w:rsidR="00224284">
        <w:rPr>
          <w:rFonts w:ascii="Arial Narrow" w:hAnsi="Arial Narrow" w:cs="Segoe UI"/>
        </w:rPr>
        <w:t xml:space="preserve">in table2 </w:t>
      </w:r>
      <w:r w:rsidRPr="00E73B35">
        <w:rPr>
          <w:rFonts w:ascii="Arial Narrow" w:hAnsi="Arial Narrow" w:cs="Segoe UI"/>
        </w:rPr>
        <w:t xml:space="preserve">reveals key relationships among the variables, highlighting financial development (Fin_D) as strongly correlated with credit to the private sector (CPS) (0.78***), suggesting that more developed financial </w:t>
      </w:r>
      <w:r w:rsidRPr="00E73B35">
        <w:rPr>
          <w:rFonts w:ascii="Arial Narrow" w:hAnsi="Arial Narrow" w:cs="Segoe UI"/>
        </w:rPr>
        <w:lastRenderedPageBreak/>
        <w:t>systems support private-sector credit access. CPS also shows moderate positive correlations with trade openness (Open) (0.31***), government effectiveness (Gvt_ef) (0.59***), and control of corruption (control_cor) (0.47***), indicating that institutional quality and trade integration foster credit expansion. Gross capital formation (GCF) is moderately correlated with Open (0.55***) and control_cor (0.33***), suggesting that investment levels benefit from both external trade and governance improvements. GDP growth (GDPG) exhibits weak negative correlations with inflation (Inf) (-0.16***), reflecting the adverse effects of macroeconomic instability on growth. Institutional quality indicators are positively interrelated (e.g., regulatory quality and control_cor: 0.65***) and show moderate associations with CPS, Open, and Fin_D, emphasizing their collective role in supporting financial and economic development. Inflation shows weak negative correlations with CPS (-0.10**) and GCF (-0.13**), further underscoring the destabilizing effects of price volatility. These patterns align with the descriptive statistics by illustrating the interconnectedness of institutional quality, financial development, and economic performance, while also highlighting variability in relationships across countries.</w:t>
      </w:r>
    </w:p>
    <w:p w:rsidR="00212781" w:rsidRPr="00F55268" w:rsidRDefault="00F55268" w:rsidP="00212781">
      <w:pPr>
        <w:keepNext/>
        <w:widowControl w:val="0"/>
        <w:autoSpaceDE w:val="0"/>
        <w:autoSpaceDN w:val="0"/>
        <w:adjustRightInd w:val="0"/>
        <w:spacing w:after="0" w:line="240" w:lineRule="auto"/>
        <w:rPr>
          <w:rFonts w:ascii="Arial Narrow" w:eastAsia="Times New Roman" w:hAnsi="Arial Narrow" w:cs="Times New Roman"/>
          <w:b/>
        </w:rPr>
      </w:pPr>
      <w:r>
        <w:rPr>
          <w:rFonts w:ascii="Arial Narrow" w:eastAsia="Times New Roman" w:hAnsi="Arial Narrow" w:cs="Times New Roman"/>
          <w:b/>
        </w:rPr>
        <w:t>Table 3</w:t>
      </w:r>
      <w:r w:rsidR="00212781" w:rsidRPr="00F55268">
        <w:rPr>
          <w:rFonts w:ascii="Arial Narrow" w:eastAsia="Times New Roman" w:hAnsi="Arial Narrow" w:cs="Times New Roman"/>
          <w:b/>
        </w:rPr>
        <w:t xml:space="preserve">: Institution </w:t>
      </w:r>
      <w:r w:rsidR="00E73B35">
        <w:rPr>
          <w:rFonts w:ascii="Arial Narrow" w:eastAsia="Times New Roman" w:hAnsi="Arial Narrow" w:cs="Times New Roman"/>
          <w:b/>
        </w:rPr>
        <w:t>Quality and Growth Dynamics in S</w:t>
      </w:r>
      <w:r w:rsidR="00212781" w:rsidRPr="00F55268">
        <w:rPr>
          <w:rFonts w:ascii="Arial Narrow" w:eastAsia="Times New Roman" w:hAnsi="Arial Narrow" w:cs="Times New Roman"/>
          <w:b/>
        </w:rPr>
        <w:t xml:space="preserve">ub-Saharan </w:t>
      </w:r>
      <w:r w:rsidR="00CE13F1">
        <w:rPr>
          <w:rFonts w:ascii="Arial Narrow" w:eastAsia="Times New Roman" w:hAnsi="Arial Narrow" w:cs="Times New Roman"/>
          <w:b/>
        </w:rPr>
        <w:t>Africa</w:t>
      </w:r>
      <w:r w:rsidR="00E73B35">
        <w:rPr>
          <w:rFonts w:ascii="Arial Narrow" w:eastAsia="Times New Roman" w:hAnsi="Arial Narrow" w:cs="Times New Roman"/>
          <w:b/>
        </w:rPr>
        <w:t xml:space="preserve"> Countries</w:t>
      </w:r>
    </w:p>
    <w:p w:rsidR="00212781" w:rsidRPr="00491BFB" w:rsidRDefault="00212781" w:rsidP="00CE13F1">
      <w:pPr>
        <w:keepNext/>
        <w:widowControl w:val="0"/>
        <w:tabs>
          <w:tab w:val="center" w:pos="5400"/>
        </w:tabs>
        <w:autoSpaceDE w:val="0"/>
        <w:autoSpaceDN w:val="0"/>
        <w:adjustRightInd w:val="0"/>
        <w:spacing w:after="0" w:line="240" w:lineRule="auto"/>
        <w:rPr>
          <w:rFonts w:ascii="Arial Narrow" w:hAnsi="Arial Narrow" w:cs="Segoe UI"/>
          <w:b/>
          <w:sz w:val="24"/>
          <w:szCs w:val="24"/>
        </w:rPr>
      </w:pPr>
      <w:r w:rsidRPr="00491BFB">
        <w:rPr>
          <w:rFonts w:ascii="Arial Narrow" w:hAnsi="Arial Narrow" w:cs="Segoe UI"/>
          <w:b/>
          <w:sz w:val="24"/>
          <w:szCs w:val="24"/>
        </w:rPr>
        <w:tab/>
        <w:t xml:space="preserve">                                     </w:t>
      </w:r>
    </w:p>
    <w:tbl>
      <w:tblPr>
        <w:tblW w:w="9469" w:type="dxa"/>
        <w:tblLook w:val="0000" w:firstRow="0" w:lastRow="0" w:firstColumn="0" w:lastColumn="0" w:noHBand="0" w:noVBand="0"/>
      </w:tblPr>
      <w:tblGrid>
        <w:gridCol w:w="1074"/>
        <w:gridCol w:w="772"/>
        <w:gridCol w:w="779"/>
        <w:gridCol w:w="904"/>
        <w:gridCol w:w="846"/>
        <w:gridCol w:w="226"/>
        <w:gridCol w:w="1163"/>
        <w:gridCol w:w="1171"/>
        <w:gridCol w:w="1296"/>
        <w:gridCol w:w="1238"/>
      </w:tblGrid>
      <w:tr w:rsidR="00491BFB" w:rsidRPr="00491BFB" w:rsidTr="005B224F">
        <w:trPr>
          <w:trHeight w:val="301"/>
        </w:trPr>
        <w:tc>
          <w:tcPr>
            <w:tcW w:w="0" w:type="auto"/>
            <w:gridSpan w:val="5"/>
            <w:tcBorders>
              <w:top w:val="single" w:sz="4" w:space="0" w:color="auto"/>
              <w:left w:val="nil"/>
              <w:bottom w:val="nil"/>
              <w:right w:val="nil"/>
            </w:tcBorders>
            <w:shd w:val="clear" w:color="auto" w:fill="D0CECE" w:themeFill="background2" w:themeFillShade="E6"/>
          </w:tcPr>
          <w:p w:rsidR="00491BFB" w:rsidRPr="00491BFB" w:rsidRDefault="00491BFB" w:rsidP="002B6B44">
            <w:pPr>
              <w:widowControl w:val="0"/>
              <w:autoSpaceDE w:val="0"/>
              <w:autoSpaceDN w:val="0"/>
              <w:adjustRightInd w:val="0"/>
              <w:spacing w:after="0" w:line="240" w:lineRule="auto"/>
              <w:jc w:val="center"/>
              <w:rPr>
                <w:rFonts w:ascii="Arial Narrow" w:hAnsi="Arial Narrow" w:cs="Segoe UI"/>
                <w:b/>
                <w:sz w:val="20"/>
                <w:szCs w:val="20"/>
              </w:rPr>
            </w:pPr>
            <w:r w:rsidRPr="00491BFB">
              <w:rPr>
                <w:rFonts w:ascii="Arial Narrow" w:hAnsi="Arial Narrow" w:cs="Segoe UI"/>
                <w:b/>
                <w:sz w:val="24"/>
                <w:szCs w:val="24"/>
              </w:rPr>
              <w:t>Static</w:t>
            </w:r>
            <w:r w:rsidR="00ED11BA">
              <w:rPr>
                <w:rFonts w:ascii="Arial Narrow" w:hAnsi="Arial Narrow" w:cs="Segoe UI"/>
                <w:b/>
                <w:sz w:val="24"/>
                <w:szCs w:val="24"/>
              </w:rPr>
              <w:t xml:space="preserve"> </w:t>
            </w:r>
            <w:r>
              <w:rPr>
                <w:rFonts w:ascii="Arial Narrow" w:hAnsi="Arial Narrow" w:cs="Segoe UI"/>
                <w:b/>
                <w:sz w:val="24"/>
                <w:szCs w:val="24"/>
              </w:rPr>
              <w:t>Panel</w:t>
            </w:r>
            <w:r w:rsidRPr="00491BFB">
              <w:rPr>
                <w:rFonts w:ascii="Arial Narrow" w:hAnsi="Arial Narrow" w:cs="Segoe UI"/>
                <w:b/>
                <w:sz w:val="24"/>
                <w:szCs w:val="24"/>
              </w:rPr>
              <w:t xml:space="preserve"> Model</w:t>
            </w:r>
          </w:p>
        </w:tc>
        <w:tc>
          <w:tcPr>
            <w:tcW w:w="0" w:type="auto"/>
            <w:tcBorders>
              <w:top w:val="single" w:sz="4" w:space="0" w:color="auto"/>
              <w:left w:val="nil"/>
              <w:bottom w:val="nil"/>
              <w:right w:val="nil"/>
            </w:tcBorders>
            <w:shd w:val="clear" w:color="auto" w:fill="D0CECE" w:themeFill="background2" w:themeFillShade="E6"/>
          </w:tcPr>
          <w:p w:rsidR="00491BFB" w:rsidRPr="00491BFB" w:rsidRDefault="00491BFB" w:rsidP="002B6B44">
            <w:pPr>
              <w:widowControl w:val="0"/>
              <w:autoSpaceDE w:val="0"/>
              <w:autoSpaceDN w:val="0"/>
              <w:adjustRightInd w:val="0"/>
              <w:spacing w:after="0" w:line="240" w:lineRule="auto"/>
              <w:jc w:val="center"/>
              <w:rPr>
                <w:rFonts w:ascii="Arial Narrow" w:hAnsi="Arial Narrow" w:cs="Segoe UI"/>
                <w:b/>
                <w:sz w:val="20"/>
                <w:szCs w:val="20"/>
              </w:rPr>
            </w:pPr>
          </w:p>
        </w:tc>
        <w:tc>
          <w:tcPr>
            <w:tcW w:w="0" w:type="auto"/>
            <w:tcBorders>
              <w:top w:val="single" w:sz="4" w:space="0" w:color="auto"/>
              <w:left w:val="nil"/>
              <w:bottom w:val="nil"/>
              <w:right w:val="nil"/>
            </w:tcBorders>
            <w:shd w:val="clear" w:color="auto" w:fill="D0CECE" w:themeFill="background2" w:themeFillShade="E6"/>
          </w:tcPr>
          <w:p w:rsidR="00491BFB" w:rsidRPr="00491BFB" w:rsidRDefault="00491BFB" w:rsidP="002B6B44">
            <w:pPr>
              <w:widowControl w:val="0"/>
              <w:autoSpaceDE w:val="0"/>
              <w:autoSpaceDN w:val="0"/>
              <w:adjustRightInd w:val="0"/>
              <w:spacing w:after="0" w:line="240" w:lineRule="auto"/>
              <w:jc w:val="center"/>
              <w:rPr>
                <w:rFonts w:ascii="Arial Narrow" w:hAnsi="Arial Narrow" w:cs="Segoe UI"/>
                <w:b/>
                <w:sz w:val="20"/>
                <w:szCs w:val="20"/>
              </w:rPr>
            </w:pPr>
          </w:p>
        </w:tc>
        <w:tc>
          <w:tcPr>
            <w:tcW w:w="0" w:type="auto"/>
            <w:gridSpan w:val="3"/>
            <w:tcBorders>
              <w:top w:val="single" w:sz="4" w:space="0" w:color="auto"/>
              <w:left w:val="nil"/>
              <w:bottom w:val="nil"/>
              <w:right w:val="nil"/>
            </w:tcBorders>
            <w:shd w:val="clear" w:color="auto" w:fill="D0CECE" w:themeFill="background2" w:themeFillShade="E6"/>
          </w:tcPr>
          <w:p w:rsidR="00491BFB" w:rsidRPr="00491BFB" w:rsidRDefault="00491BFB" w:rsidP="00491BFB">
            <w:pPr>
              <w:widowControl w:val="0"/>
              <w:autoSpaceDE w:val="0"/>
              <w:autoSpaceDN w:val="0"/>
              <w:adjustRightInd w:val="0"/>
              <w:spacing w:after="0" w:line="240" w:lineRule="auto"/>
              <w:rPr>
                <w:rFonts w:ascii="Arial Narrow" w:hAnsi="Arial Narrow" w:cs="Segoe UI"/>
                <w:b/>
                <w:sz w:val="20"/>
                <w:szCs w:val="20"/>
              </w:rPr>
            </w:pPr>
            <w:r w:rsidRPr="00491BFB">
              <w:rPr>
                <w:rFonts w:ascii="Arial Narrow" w:hAnsi="Arial Narrow" w:cs="Segoe UI"/>
                <w:b/>
                <w:sz w:val="24"/>
                <w:szCs w:val="24"/>
              </w:rPr>
              <w:t>Dynamic</w:t>
            </w:r>
            <w:r w:rsidR="00ED11BA">
              <w:rPr>
                <w:rFonts w:ascii="Arial Narrow" w:hAnsi="Arial Narrow" w:cs="Segoe UI"/>
                <w:b/>
                <w:sz w:val="24"/>
                <w:szCs w:val="24"/>
              </w:rPr>
              <w:t xml:space="preserve"> Panel</w:t>
            </w:r>
            <w:r w:rsidRPr="00491BFB">
              <w:rPr>
                <w:rFonts w:ascii="Arial Narrow" w:hAnsi="Arial Narrow" w:cs="Segoe UI"/>
                <w:b/>
                <w:sz w:val="24"/>
                <w:szCs w:val="24"/>
              </w:rPr>
              <w:t xml:space="preserve"> Model</w:t>
            </w:r>
          </w:p>
        </w:tc>
      </w:tr>
      <w:tr w:rsidR="00F26FDC" w:rsidRPr="00491BFB" w:rsidTr="005B224F">
        <w:trPr>
          <w:trHeight w:val="342"/>
        </w:trPr>
        <w:tc>
          <w:tcPr>
            <w:tcW w:w="0" w:type="auto"/>
            <w:tcBorders>
              <w:top w:val="single" w:sz="4" w:space="0" w:color="auto"/>
              <w:left w:val="nil"/>
              <w:bottom w:val="nil"/>
              <w:right w:val="nil"/>
            </w:tcBorders>
          </w:tcPr>
          <w:p w:rsidR="00212781" w:rsidRPr="00F26FDC" w:rsidRDefault="00212781" w:rsidP="00F26FDC">
            <w:pPr>
              <w:widowControl w:val="0"/>
              <w:autoSpaceDE w:val="0"/>
              <w:autoSpaceDN w:val="0"/>
              <w:adjustRightInd w:val="0"/>
              <w:spacing w:after="0" w:line="360" w:lineRule="auto"/>
              <w:rPr>
                <w:rFonts w:ascii="Arial Narrow" w:hAnsi="Arial Narrow" w:cs="Segoe UI"/>
                <w:sz w:val="18"/>
                <w:szCs w:val="18"/>
              </w:rPr>
            </w:pPr>
          </w:p>
        </w:tc>
        <w:tc>
          <w:tcPr>
            <w:tcW w:w="0" w:type="auto"/>
            <w:tcBorders>
              <w:top w:val="single" w:sz="4" w:space="0" w:color="auto"/>
              <w:left w:val="nil"/>
              <w:bottom w:val="nil"/>
              <w:right w:val="nil"/>
            </w:tcBorders>
          </w:tcPr>
          <w:p w:rsidR="00212781" w:rsidRPr="00F26FDC" w:rsidRDefault="00D85903"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FE-</w:t>
            </w:r>
            <w:r w:rsidR="00212781" w:rsidRPr="00F26FDC">
              <w:rPr>
                <w:rFonts w:ascii="Arial Narrow" w:hAnsi="Arial Narrow" w:cs="Segoe UI"/>
                <w:b/>
                <w:sz w:val="18"/>
                <w:szCs w:val="18"/>
              </w:rPr>
              <w:t>CPS</w:t>
            </w:r>
          </w:p>
        </w:tc>
        <w:tc>
          <w:tcPr>
            <w:tcW w:w="0" w:type="auto"/>
            <w:tcBorders>
              <w:top w:val="single" w:sz="4" w:space="0" w:color="auto"/>
              <w:left w:val="nil"/>
              <w:bottom w:val="nil"/>
              <w:right w:val="nil"/>
            </w:tcBorders>
          </w:tcPr>
          <w:p w:rsidR="00212781" w:rsidRPr="00F26FDC" w:rsidRDefault="00D85903"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FE-</w:t>
            </w:r>
            <w:r w:rsidR="00212781" w:rsidRPr="00F26FDC">
              <w:rPr>
                <w:rFonts w:ascii="Arial Narrow" w:hAnsi="Arial Narrow" w:cs="Segoe UI"/>
                <w:b/>
                <w:sz w:val="18"/>
                <w:szCs w:val="18"/>
              </w:rPr>
              <w:t>GCF</w:t>
            </w:r>
          </w:p>
        </w:tc>
        <w:tc>
          <w:tcPr>
            <w:tcW w:w="0" w:type="auto"/>
            <w:tcBorders>
              <w:top w:val="single" w:sz="4" w:space="0" w:color="auto"/>
              <w:left w:val="nil"/>
              <w:bottom w:val="nil"/>
              <w:right w:val="nil"/>
            </w:tcBorders>
          </w:tcPr>
          <w:p w:rsidR="00212781" w:rsidRPr="00F26FDC" w:rsidRDefault="00D85903"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FE-</w:t>
            </w:r>
            <w:r w:rsidR="00212781" w:rsidRPr="00F26FDC">
              <w:rPr>
                <w:rFonts w:ascii="Arial Narrow" w:hAnsi="Arial Narrow" w:cs="Segoe UI"/>
                <w:b/>
                <w:sz w:val="18"/>
                <w:szCs w:val="18"/>
              </w:rPr>
              <w:t xml:space="preserve">GDPG </w:t>
            </w:r>
          </w:p>
        </w:tc>
        <w:tc>
          <w:tcPr>
            <w:tcW w:w="0" w:type="auto"/>
            <w:tcBorders>
              <w:top w:val="single" w:sz="4" w:space="0" w:color="auto"/>
              <w:left w:val="nil"/>
              <w:bottom w:val="nil"/>
              <w:right w:val="nil"/>
            </w:tcBorders>
          </w:tcPr>
          <w:p w:rsidR="00212781" w:rsidRPr="00F26FDC" w:rsidRDefault="00D85903"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FE-</w:t>
            </w:r>
            <w:r w:rsidR="00212781" w:rsidRPr="00F26FDC">
              <w:rPr>
                <w:rFonts w:ascii="Arial Narrow" w:hAnsi="Arial Narrow" w:cs="Segoe UI"/>
                <w:b/>
                <w:sz w:val="18"/>
                <w:szCs w:val="18"/>
              </w:rPr>
              <w:t>Open</w:t>
            </w:r>
          </w:p>
        </w:tc>
        <w:tc>
          <w:tcPr>
            <w:tcW w:w="0" w:type="auto"/>
            <w:tcBorders>
              <w:top w:val="single" w:sz="4" w:space="0" w:color="auto"/>
              <w:left w:val="nil"/>
              <w:bottom w:val="nil"/>
              <w:right w:val="nil"/>
            </w:tcBorders>
          </w:tcPr>
          <w:p w:rsidR="00212781" w:rsidRPr="00F26FDC" w:rsidRDefault="00212781" w:rsidP="00F26FDC">
            <w:pPr>
              <w:widowControl w:val="0"/>
              <w:autoSpaceDE w:val="0"/>
              <w:autoSpaceDN w:val="0"/>
              <w:adjustRightInd w:val="0"/>
              <w:spacing w:after="0" w:line="360" w:lineRule="auto"/>
              <w:jc w:val="center"/>
              <w:rPr>
                <w:rFonts w:ascii="Arial Narrow" w:hAnsi="Arial Narrow" w:cs="Segoe UI"/>
                <w:b/>
                <w:sz w:val="18"/>
                <w:szCs w:val="18"/>
              </w:rPr>
            </w:pPr>
          </w:p>
        </w:tc>
        <w:tc>
          <w:tcPr>
            <w:tcW w:w="0" w:type="auto"/>
            <w:tcBorders>
              <w:top w:val="single" w:sz="4" w:space="0" w:color="auto"/>
              <w:left w:val="nil"/>
              <w:bottom w:val="nil"/>
              <w:right w:val="nil"/>
            </w:tcBorders>
          </w:tcPr>
          <w:p w:rsidR="00212781" w:rsidRPr="00F26FDC" w:rsidRDefault="00F26FDC"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BCGMM</w:t>
            </w:r>
            <w:r w:rsidR="00D85903" w:rsidRPr="00F26FDC">
              <w:rPr>
                <w:rFonts w:ascii="Arial Narrow" w:hAnsi="Arial Narrow" w:cs="Segoe UI"/>
                <w:b/>
                <w:sz w:val="18"/>
                <w:szCs w:val="18"/>
              </w:rPr>
              <w:t>-</w:t>
            </w:r>
            <w:r w:rsidR="00212781" w:rsidRPr="00F26FDC">
              <w:rPr>
                <w:rFonts w:ascii="Arial Narrow" w:hAnsi="Arial Narrow" w:cs="Segoe UI"/>
                <w:b/>
                <w:sz w:val="18"/>
                <w:szCs w:val="18"/>
              </w:rPr>
              <w:t>CPS</w:t>
            </w:r>
          </w:p>
        </w:tc>
        <w:tc>
          <w:tcPr>
            <w:tcW w:w="0" w:type="auto"/>
            <w:tcBorders>
              <w:top w:val="single" w:sz="4" w:space="0" w:color="auto"/>
              <w:left w:val="nil"/>
              <w:bottom w:val="nil"/>
              <w:right w:val="nil"/>
            </w:tcBorders>
          </w:tcPr>
          <w:p w:rsidR="00212781" w:rsidRPr="00F26FDC" w:rsidRDefault="00F26FDC"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BCGMM</w:t>
            </w:r>
            <w:r w:rsidR="00D85903" w:rsidRPr="00F26FDC">
              <w:rPr>
                <w:rFonts w:ascii="Arial Narrow" w:hAnsi="Arial Narrow" w:cs="Segoe UI"/>
                <w:b/>
                <w:sz w:val="18"/>
                <w:szCs w:val="18"/>
              </w:rPr>
              <w:t>-</w:t>
            </w:r>
            <w:r w:rsidR="00212781" w:rsidRPr="00F26FDC">
              <w:rPr>
                <w:rFonts w:ascii="Arial Narrow" w:hAnsi="Arial Narrow" w:cs="Segoe UI"/>
                <w:b/>
                <w:sz w:val="18"/>
                <w:szCs w:val="18"/>
              </w:rPr>
              <w:t>GCF</w:t>
            </w:r>
          </w:p>
        </w:tc>
        <w:tc>
          <w:tcPr>
            <w:tcW w:w="0" w:type="auto"/>
            <w:tcBorders>
              <w:top w:val="single" w:sz="4" w:space="0" w:color="auto"/>
              <w:left w:val="nil"/>
              <w:bottom w:val="nil"/>
              <w:right w:val="nil"/>
            </w:tcBorders>
          </w:tcPr>
          <w:p w:rsidR="00212781" w:rsidRPr="00F26FDC" w:rsidRDefault="00F26FDC"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BCGMM</w:t>
            </w:r>
            <w:r w:rsidR="00D85903" w:rsidRPr="00F26FDC">
              <w:rPr>
                <w:rFonts w:ascii="Arial Narrow" w:hAnsi="Arial Narrow" w:cs="Segoe UI"/>
                <w:b/>
                <w:sz w:val="18"/>
                <w:szCs w:val="18"/>
              </w:rPr>
              <w:t>-</w:t>
            </w:r>
            <w:r w:rsidR="00212781" w:rsidRPr="00F26FDC">
              <w:rPr>
                <w:rFonts w:ascii="Arial Narrow" w:hAnsi="Arial Narrow" w:cs="Segoe UI"/>
                <w:b/>
                <w:sz w:val="18"/>
                <w:szCs w:val="18"/>
              </w:rPr>
              <w:t>GDPG</w:t>
            </w:r>
          </w:p>
        </w:tc>
        <w:tc>
          <w:tcPr>
            <w:tcW w:w="0" w:type="auto"/>
            <w:tcBorders>
              <w:top w:val="single" w:sz="4" w:space="0" w:color="auto"/>
              <w:left w:val="nil"/>
              <w:bottom w:val="nil"/>
              <w:right w:val="nil"/>
            </w:tcBorders>
          </w:tcPr>
          <w:p w:rsidR="00212781" w:rsidRPr="00F26FDC" w:rsidRDefault="00F26FDC" w:rsidP="00F26FDC">
            <w:pPr>
              <w:widowControl w:val="0"/>
              <w:autoSpaceDE w:val="0"/>
              <w:autoSpaceDN w:val="0"/>
              <w:adjustRightInd w:val="0"/>
              <w:spacing w:after="0" w:line="360" w:lineRule="auto"/>
              <w:jc w:val="center"/>
              <w:rPr>
                <w:rFonts w:ascii="Arial Narrow" w:hAnsi="Arial Narrow" w:cs="Segoe UI"/>
                <w:b/>
                <w:sz w:val="18"/>
                <w:szCs w:val="18"/>
              </w:rPr>
            </w:pPr>
            <w:r w:rsidRPr="00F26FDC">
              <w:rPr>
                <w:rFonts w:ascii="Arial Narrow" w:hAnsi="Arial Narrow" w:cs="Segoe UI"/>
                <w:b/>
                <w:sz w:val="18"/>
                <w:szCs w:val="18"/>
              </w:rPr>
              <w:t>BCGMM</w:t>
            </w:r>
            <w:r w:rsidR="00D85903" w:rsidRPr="00F26FDC">
              <w:rPr>
                <w:rFonts w:ascii="Arial Narrow" w:hAnsi="Arial Narrow" w:cs="Segoe UI"/>
                <w:b/>
                <w:sz w:val="18"/>
                <w:szCs w:val="18"/>
              </w:rPr>
              <w:t>-</w:t>
            </w:r>
            <w:r w:rsidR="00212781" w:rsidRPr="00F26FDC">
              <w:rPr>
                <w:rFonts w:ascii="Arial Narrow" w:hAnsi="Arial Narrow" w:cs="Segoe UI"/>
                <w:b/>
                <w:sz w:val="18"/>
                <w:szCs w:val="18"/>
              </w:rPr>
              <w:t>Open</w:t>
            </w:r>
          </w:p>
        </w:tc>
      </w:tr>
      <w:tr w:rsidR="00F26FDC" w:rsidRPr="00491BFB" w:rsidTr="005B224F">
        <w:trPr>
          <w:trHeight w:val="262"/>
        </w:trPr>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Fin_D</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0.219</w:t>
            </w:r>
            <w:r w:rsidRPr="00491BFB">
              <w:rPr>
                <w:rFonts w:ascii="Arial Narrow" w:hAnsi="Arial Narrow" w:cs="Segoe UI"/>
                <w:sz w:val="20"/>
                <w:szCs w:val="20"/>
                <w:vertAlign w:val="superscript"/>
              </w:rPr>
              <w:t>***</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0.039</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-0.047</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0.071</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0.104</w:t>
            </w:r>
            <w:r w:rsidRPr="00491BFB">
              <w:rPr>
                <w:rFonts w:ascii="Arial Narrow" w:hAnsi="Arial Narrow" w:cs="Segoe UI"/>
                <w:sz w:val="20"/>
                <w:szCs w:val="20"/>
                <w:vertAlign w:val="superscript"/>
              </w:rPr>
              <w:t>***</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-0.249</w:t>
            </w:r>
            <w:r w:rsidRPr="00491BFB">
              <w:rPr>
                <w:rFonts w:ascii="Arial Narrow" w:hAnsi="Arial Narrow" w:cs="Segoe UI"/>
                <w:sz w:val="20"/>
                <w:szCs w:val="20"/>
                <w:vertAlign w:val="superscript"/>
              </w:rPr>
              <w:t>**</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-0.155</w:t>
            </w:r>
            <w:r w:rsidRPr="00491BFB">
              <w:rPr>
                <w:rFonts w:ascii="Arial Narrow" w:hAnsi="Arial Narrow" w:cs="Segoe UI"/>
                <w:sz w:val="20"/>
                <w:szCs w:val="20"/>
                <w:vertAlign w:val="superscript"/>
              </w:rPr>
              <w:t>***</w:t>
            </w:r>
          </w:p>
        </w:tc>
        <w:tc>
          <w:tcPr>
            <w:tcW w:w="0" w:type="auto"/>
            <w:tcBorders>
              <w:top w:val="single" w:sz="4" w:space="0" w:color="auto"/>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0.236</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(0.116)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(0.113)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(0.053)</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Inf</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-0.111</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0.737</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-0.269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-0.033</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(0.173)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(0.178)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(0.133)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(0.353)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(0.415)</w:t>
            </w: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Remit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0.323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-0.639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-1.392</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2.145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0.151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2.141</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(0.323)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(0.253)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(0.176)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(0.458)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(0.772)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(2.797)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(0.399)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(2.732)</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Schol_Prim</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0.117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0.071</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0.267</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0.095</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-0.463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0.279</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-0.736</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(0.086)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(0.144)</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(0.345)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(0.290)</w:t>
            </w: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Voic_acc</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0.118</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(0.014)</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(0.253)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(0.024)</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Polit_stab</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-0.004</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-0.024</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-0.030</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0.022</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0.050</w:t>
            </w: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(0.035)</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Gvt_ef</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0.007</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-0.031</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-0.032</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(0.016)</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Regul_qual</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0.014</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0.022</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0.154</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0.046</w:t>
            </w: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(0.040)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(0.033)</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Rule_law</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-0.082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0.066</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-0.124</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(0.037)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(0.021)</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(0.057)</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control_cor</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0.007</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0.052</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-0.019</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-0.013</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-0.056</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0.119</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(0.012)</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(0.013)</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(0.008)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(0.065)</w:t>
            </w: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L.CPS</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0.267</w:t>
            </w:r>
            <w:r w:rsidRPr="00491BFB">
              <w:rPr>
                <w:rFonts w:ascii="Arial Narrow" w:hAnsi="Arial Narrow" w:cs="Segoe UI"/>
                <w:sz w:val="20"/>
                <w:szCs w:val="20"/>
                <w:vertAlign w:val="superscript"/>
              </w:rPr>
              <w:t>***</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(0.094)</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L.GCF</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0.465</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(0.838)</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L.GDPG</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0.026</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(0.070)</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r>
      <w:tr w:rsidR="00F26FDC" w:rsidRPr="00491BFB" w:rsidTr="005B224F">
        <w:trPr>
          <w:trHeight w:val="26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r>
      <w:tr w:rsidR="00F26FDC" w:rsidRPr="00491BFB" w:rsidTr="005B224F">
        <w:trPr>
          <w:trHeight w:val="252"/>
        </w:trPr>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sz w:val="20"/>
                <w:szCs w:val="20"/>
              </w:rPr>
              <w:t>L.Open</w:t>
            </w: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nil"/>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0.410</w:t>
            </w:r>
            <w:r w:rsidRPr="00491BFB">
              <w:rPr>
                <w:rFonts w:ascii="Arial Narrow" w:hAnsi="Arial Narrow" w:cs="Segoe UI"/>
                <w:sz w:val="20"/>
                <w:szCs w:val="20"/>
                <w:vertAlign w:val="superscript"/>
              </w:rPr>
              <w:t>**</w:t>
            </w:r>
          </w:p>
        </w:tc>
      </w:tr>
      <w:tr w:rsidR="00F26FDC" w:rsidRPr="00491BFB" w:rsidTr="005B224F">
        <w:trPr>
          <w:trHeight w:val="252"/>
        </w:trPr>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(0.175)</w:t>
            </w:r>
          </w:p>
        </w:tc>
      </w:tr>
      <w:tr w:rsidR="00F26FDC" w:rsidRPr="00491BFB" w:rsidTr="005B224F">
        <w:trPr>
          <w:trHeight w:val="252"/>
        </w:trPr>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rPr>
                <w:rFonts w:ascii="Arial Narrow" w:hAnsi="Arial Narrow" w:cs="Segoe UI"/>
                <w:sz w:val="20"/>
                <w:szCs w:val="20"/>
              </w:rPr>
            </w:pPr>
            <w:r w:rsidRPr="00491BFB">
              <w:rPr>
                <w:rFonts w:ascii="Arial Narrow" w:hAnsi="Arial Narrow" w:cs="Segoe UI"/>
                <w:i/>
                <w:iCs/>
                <w:sz w:val="20"/>
                <w:szCs w:val="20"/>
              </w:rPr>
              <w:t>N</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244</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238</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244</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244</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30</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23</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30</w:t>
            </w:r>
          </w:p>
        </w:tc>
        <w:tc>
          <w:tcPr>
            <w:tcW w:w="0" w:type="auto"/>
            <w:tcBorders>
              <w:top w:val="nil"/>
              <w:left w:val="nil"/>
              <w:bottom w:val="single" w:sz="4" w:space="0" w:color="auto"/>
              <w:right w:val="nil"/>
            </w:tcBorders>
          </w:tcPr>
          <w:p w:rsidR="00212781" w:rsidRPr="00491BFB" w:rsidRDefault="00212781" w:rsidP="002B6B44">
            <w:pPr>
              <w:widowControl w:val="0"/>
              <w:autoSpaceDE w:val="0"/>
              <w:autoSpaceDN w:val="0"/>
              <w:adjustRightInd w:val="0"/>
              <w:spacing w:after="0" w:line="240" w:lineRule="auto"/>
              <w:jc w:val="center"/>
              <w:rPr>
                <w:rFonts w:ascii="Arial Narrow" w:hAnsi="Arial Narrow" w:cs="Segoe UI"/>
                <w:sz w:val="20"/>
                <w:szCs w:val="20"/>
              </w:rPr>
            </w:pPr>
            <w:r w:rsidRPr="00491BFB">
              <w:rPr>
                <w:rFonts w:ascii="Arial Narrow" w:hAnsi="Arial Narrow" w:cs="Segoe UI"/>
                <w:sz w:val="20"/>
                <w:szCs w:val="20"/>
              </w:rPr>
              <w:t>30</w:t>
            </w:r>
          </w:p>
        </w:tc>
      </w:tr>
    </w:tbl>
    <w:p w:rsidR="00212781" w:rsidRPr="00E73B35" w:rsidRDefault="00212781" w:rsidP="00212781">
      <w:pPr>
        <w:widowControl w:val="0"/>
        <w:autoSpaceDE w:val="0"/>
        <w:autoSpaceDN w:val="0"/>
        <w:adjustRightInd w:val="0"/>
        <w:spacing w:after="0" w:line="240" w:lineRule="auto"/>
        <w:rPr>
          <w:rFonts w:ascii="Arial Narrow" w:hAnsi="Arial Narrow" w:cs="Segoe UI"/>
          <w:sz w:val="20"/>
          <w:szCs w:val="20"/>
        </w:rPr>
      </w:pPr>
      <w:r w:rsidRPr="00E73B35">
        <w:rPr>
          <w:rFonts w:ascii="Arial Narrow" w:hAnsi="Arial Narrow" w:cs="Segoe UI"/>
          <w:sz w:val="20"/>
          <w:szCs w:val="20"/>
        </w:rPr>
        <w:t>Standard errors in parentheses</w:t>
      </w:r>
    </w:p>
    <w:p w:rsidR="00212781" w:rsidRPr="00E73B35" w:rsidRDefault="00212781" w:rsidP="00212781">
      <w:pPr>
        <w:widowControl w:val="0"/>
        <w:autoSpaceDE w:val="0"/>
        <w:autoSpaceDN w:val="0"/>
        <w:adjustRightInd w:val="0"/>
        <w:spacing w:after="0" w:line="240" w:lineRule="auto"/>
        <w:rPr>
          <w:rFonts w:ascii="Arial Narrow" w:hAnsi="Arial Narrow" w:cs="Segoe UI"/>
          <w:sz w:val="20"/>
          <w:szCs w:val="20"/>
        </w:rPr>
      </w:pPr>
      <w:r w:rsidRPr="00E73B35">
        <w:rPr>
          <w:rFonts w:ascii="Arial Narrow" w:hAnsi="Arial Narrow" w:cs="Segoe UI"/>
          <w:sz w:val="20"/>
          <w:szCs w:val="20"/>
          <w:vertAlign w:val="superscript"/>
        </w:rPr>
        <w:t>*</w:t>
      </w:r>
      <w:r w:rsidRPr="00E73B35">
        <w:rPr>
          <w:rFonts w:ascii="Arial Narrow" w:hAnsi="Arial Narrow" w:cs="Segoe UI"/>
          <w:sz w:val="20"/>
          <w:szCs w:val="20"/>
        </w:rPr>
        <w:t xml:space="preserve"> </w:t>
      </w:r>
      <w:r w:rsidRPr="00E73B35">
        <w:rPr>
          <w:rFonts w:ascii="Arial Narrow" w:hAnsi="Arial Narrow" w:cs="Segoe UI"/>
          <w:i/>
          <w:iCs/>
          <w:sz w:val="20"/>
          <w:szCs w:val="20"/>
        </w:rPr>
        <w:t>p</w:t>
      </w:r>
      <w:r w:rsidRPr="00E73B35">
        <w:rPr>
          <w:rFonts w:ascii="Arial Narrow" w:hAnsi="Arial Narrow" w:cs="Segoe UI"/>
          <w:sz w:val="20"/>
          <w:szCs w:val="20"/>
        </w:rPr>
        <w:t xml:space="preserve"> &lt; 0.1, </w:t>
      </w:r>
      <w:r w:rsidRPr="00E73B35">
        <w:rPr>
          <w:rFonts w:ascii="Arial Narrow" w:hAnsi="Arial Narrow" w:cs="Segoe UI"/>
          <w:sz w:val="20"/>
          <w:szCs w:val="20"/>
          <w:vertAlign w:val="superscript"/>
        </w:rPr>
        <w:t>**</w:t>
      </w:r>
      <w:r w:rsidRPr="00E73B35">
        <w:rPr>
          <w:rFonts w:ascii="Arial Narrow" w:hAnsi="Arial Narrow" w:cs="Segoe UI"/>
          <w:sz w:val="20"/>
          <w:szCs w:val="20"/>
        </w:rPr>
        <w:t xml:space="preserve"> </w:t>
      </w:r>
      <w:r w:rsidRPr="00E73B35">
        <w:rPr>
          <w:rFonts w:ascii="Arial Narrow" w:hAnsi="Arial Narrow" w:cs="Segoe UI"/>
          <w:i/>
          <w:iCs/>
          <w:sz w:val="20"/>
          <w:szCs w:val="20"/>
        </w:rPr>
        <w:t>p</w:t>
      </w:r>
      <w:r w:rsidRPr="00E73B35">
        <w:rPr>
          <w:rFonts w:ascii="Arial Narrow" w:hAnsi="Arial Narrow" w:cs="Segoe UI"/>
          <w:sz w:val="20"/>
          <w:szCs w:val="20"/>
        </w:rPr>
        <w:t xml:space="preserve"> &lt; 0.05, </w:t>
      </w:r>
      <w:r w:rsidRPr="00E73B35">
        <w:rPr>
          <w:rFonts w:ascii="Arial Narrow" w:hAnsi="Arial Narrow" w:cs="Segoe UI"/>
          <w:sz w:val="20"/>
          <w:szCs w:val="20"/>
          <w:vertAlign w:val="superscript"/>
        </w:rPr>
        <w:t>***</w:t>
      </w:r>
      <w:r w:rsidRPr="00E73B35">
        <w:rPr>
          <w:rFonts w:ascii="Arial Narrow" w:hAnsi="Arial Narrow" w:cs="Segoe UI"/>
          <w:sz w:val="20"/>
          <w:szCs w:val="20"/>
        </w:rPr>
        <w:t xml:space="preserve"> </w:t>
      </w:r>
      <w:r w:rsidRPr="00E73B35">
        <w:rPr>
          <w:rFonts w:ascii="Arial Narrow" w:hAnsi="Arial Narrow" w:cs="Segoe UI"/>
          <w:i/>
          <w:iCs/>
          <w:sz w:val="20"/>
          <w:szCs w:val="20"/>
        </w:rPr>
        <w:t>p</w:t>
      </w:r>
      <w:r w:rsidRPr="00E73B35">
        <w:rPr>
          <w:rFonts w:ascii="Arial Narrow" w:hAnsi="Arial Narrow" w:cs="Segoe UI"/>
          <w:sz w:val="20"/>
          <w:szCs w:val="20"/>
        </w:rPr>
        <w:t xml:space="preserve"> &lt; 0.01</w:t>
      </w:r>
    </w:p>
    <w:p w:rsidR="00F9045F" w:rsidRDefault="00F9045F" w:rsidP="00212781">
      <w:pPr>
        <w:widowControl w:val="0"/>
        <w:autoSpaceDE w:val="0"/>
        <w:autoSpaceDN w:val="0"/>
        <w:adjustRightInd w:val="0"/>
        <w:spacing w:after="0" w:line="240" w:lineRule="auto"/>
        <w:rPr>
          <w:rFonts w:ascii="Times New Roman" w:hAnsi="Times New Roman" w:cs="Times New Roman"/>
          <w:sz w:val="20"/>
          <w:szCs w:val="20"/>
        </w:rPr>
      </w:pPr>
    </w:p>
    <w:p w:rsidR="00535355" w:rsidRDefault="00F9045F">
      <w:pPr>
        <w:rPr>
          <w:b/>
          <w:vertAlign w:val="subscript"/>
        </w:rPr>
      </w:pPr>
      <w:r w:rsidRPr="00206401">
        <w:rPr>
          <w:rFonts w:ascii="Arial Narrow" w:hAnsi="Arial Narrow"/>
          <w:b/>
        </w:rPr>
        <w:t xml:space="preserve">Source: </w:t>
      </w:r>
      <w:r w:rsidRPr="003A0A6B">
        <w:rPr>
          <w:rFonts w:ascii="Arial Narrow" w:hAnsi="Arial Narrow"/>
        </w:rPr>
        <w:t>Author’s own computation</w:t>
      </w:r>
    </w:p>
    <w:p w:rsidR="00ED11BA" w:rsidRPr="00896FFA" w:rsidRDefault="00ED11BA" w:rsidP="00ED11BA">
      <w:pPr>
        <w:pStyle w:val="NormalWeb"/>
        <w:spacing w:line="276" w:lineRule="auto"/>
        <w:jc w:val="both"/>
        <w:rPr>
          <w:rFonts w:ascii="Arial Narrow" w:hAnsi="Arial Narrow"/>
          <w:sz w:val="22"/>
          <w:szCs w:val="22"/>
        </w:rPr>
      </w:pPr>
      <w:r w:rsidRPr="00896FFA">
        <w:rPr>
          <w:rFonts w:ascii="Arial Narrow" w:hAnsi="Arial Narrow"/>
          <w:sz w:val="22"/>
          <w:szCs w:val="22"/>
        </w:rPr>
        <w:t>The findings</w:t>
      </w:r>
      <w:r w:rsidR="00224284">
        <w:rPr>
          <w:rFonts w:ascii="Arial Narrow" w:hAnsi="Arial Narrow"/>
          <w:sz w:val="22"/>
          <w:szCs w:val="22"/>
        </w:rPr>
        <w:t xml:space="preserve"> from table 3</w:t>
      </w:r>
      <w:r w:rsidRPr="00896FFA">
        <w:rPr>
          <w:rFonts w:ascii="Arial Narrow" w:hAnsi="Arial Narrow"/>
          <w:sz w:val="22"/>
          <w:szCs w:val="22"/>
        </w:rPr>
        <w:t xml:space="preserve"> show that the financial development (Fin_D) positively impacts credit to the private sector (CPS) in both static (0.219***) and dynamic (0.104***) models, consistent with the theory that well-developed financial systems enhance credit availability by mobilizing resources and facilitating efficient intermediation. Fin_D also positively affects trade openness (Open) in the dynamic model (0.236***), reflecting its role in supporting trade-related financing and fostering global market integration. Additionally, schooling (Schol_Prim) significantly contributes to GDP growth (GDPG) in both static (0.071**) and dynamic (0.279***) models, aligning with the theory that human capital development improves labor productivity and supports economic expansion.</w:t>
      </w:r>
    </w:p>
    <w:p w:rsidR="00D85903" w:rsidRPr="00CE13F1" w:rsidRDefault="00ED11BA" w:rsidP="00CE13F1">
      <w:pPr>
        <w:pStyle w:val="NormalWeb"/>
        <w:spacing w:line="276" w:lineRule="auto"/>
        <w:jc w:val="both"/>
        <w:rPr>
          <w:rFonts w:ascii="Arial Narrow" w:hAnsi="Arial Narrow"/>
          <w:sz w:val="22"/>
          <w:szCs w:val="22"/>
        </w:rPr>
      </w:pPr>
      <w:r w:rsidRPr="00896FFA">
        <w:rPr>
          <w:rFonts w:ascii="Arial Narrow" w:hAnsi="Arial Narrow"/>
          <w:sz w:val="22"/>
          <w:szCs w:val="22"/>
        </w:rPr>
        <w:t>Institutional quality indicators also provide results consistent with economic theories. Regulatory quality (Regul_qual) positively impacts gross capital formation (GCF) in the dynamic model (0.154***), reinforcing the idea that sound regulations encourage investment by reducing uncertainty and improving business environments. Similarly, voice of accountability (Voic_acc) positively influences trade openness in the dynamic model (0.118***), suggesting that transparent and participatory governance promotes integration into global markets. The dynamic persistence of CPS (0.267***) and Open (0.410**), captured by their lagged coefficients, is consistent with the theory that financial systems and trade dynamics are path-dependent, as past levels influence current outcomes through cumulative effects and gradual adjustments. These findings collectively emphasize the critical roles of financial development, education, and institutional quality in driving economic outcomes.</w:t>
      </w:r>
    </w:p>
    <w:p w:rsidR="00535355" w:rsidRPr="00CE13F1" w:rsidRDefault="005A3EDB" w:rsidP="00CE13F1">
      <w:pPr>
        <w:pStyle w:val="NormalWeb"/>
        <w:spacing w:line="276" w:lineRule="auto"/>
        <w:rPr>
          <w:rFonts w:ascii="Arial Narrow" w:hAnsi="Arial Narrow"/>
          <w:b/>
          <w:sz w:val="22"/>
          <w:szCs w:val="22"/>
        </w:rPr>
      </w:pPr>
      <w:r>
        <w:rPr>
          <w:rFonts w:ascii="Arial Narrow" w:hAnsi="Arial Narrow"/>
          <w:b/>
          <w:sz w:val="22"/>
          <w:szCs w:val="22"/>
        </w:rPr>
        <w:t>Table 4</w:t>
      </w:r>
      <w:r w:rsidR="00194E36" w:rsidRPr="005A3EDB">
        <w:rPr>
          <w:rFonts w:ascii="Arial Narrow" w:hAnsi="Arial Narrow"/>
          <w:b/>
          <w:sz w:val="22"/>
          <w:szCs w:val="22"/>
        </w:rPr>
        <w:t xml:space="preserve">: </w:t>
      </w:r>
      <w:r w:rsidR="00934A6E">
        <w:rPr>
          <w:rFonts w:ascii="Arial Narrow" w:hAnsi="Arial Narrow"/>
          <w:b/>
          <w:sz w:val="22"/>
          <w:szCs w:val="22"/>
        </w:rPr>
        <w:t xml:space="preserve">Interaction between </w:t>
      </w:r>
      <w:r w:rsidR="00232148" w:rsidRPr="005A3EDB">
        <w:rPr>
          <w:rFonts w:ascii="Arial Narrow" w:hAnsi="Arial Narrow"/>
          <w:b/>
          <w:sz w:val="22"/>
          <w:szCs w:val="22"/>
        </w:rPr>
        <w:t>Institution Q</w:t>
      </w:r>
      <w:r w:rsidR="00934A6E">
        <w:rPr>
          <w:rFonts w:ascii="Arial Narrow" w:hAnsi="Arial Narrow"/>
          <w:b/>
          <w:sz w:val="22"/>
          <w:szCs w:val="22"/>
        </w:rPr>
        <w:t xml:space="preserve">uality and </w:t>
      </w:r>
      <w:r w:rsidR="00934A6E" w:rsidRPr="005A3EDB">
        <w:rPr>
          <w:rFonts w:ascii="Arial Narrow" w:hAnsi="Arial Narrow"/>
          <w:b/>
          <w:sz w:val="22"/>
          <w:szCs w:val="22"/>
        </w:rPr>
        <w:t>AI</w:t>
      </w:r>
      <w:r>
        <w:rPr>
          <w:rFonts w:ascii="Arial Narrow" w:hAnsi="Arial Narrow"/>
          <w:b/>
          <w:sz w:val="22"/>
          <w:szCs w:val="22"/>
        </w:rPr>
        <w:t xml:space="preserve"> </w:t>
      </w:r>
      <w:r w:rsidRPr="005A3EDB">
        <w:rPr>
          <w:rFonts w:ascii="Arial Narrow" w:hAnsi="Arial Narrow"/>
          <w:b/>
          <w:sz w:val="22"/>
          <w:szCs w:val="22"/>
        </w:rPr>
        <w:t>R</w:t>
      </w:r>
      <w:r>
        <w:rPr>
          <w:rFonts w:ascii="Arial Narrow" w:hAnsi="Arial Narrow"/>
          <w:b/>
          <w:sz w:val="22"/>
          <w:szCs w:val="22"/>
        </w:rPr>
        <w:t xml:space="preserve">eadiness </w:t>
      </w:r>
      <w:r w:rsidR="00934A6E">
        <w:rPr>
          <w:rFonts w:ascii="Arial Narrow" w:hAnsi="Arial Narrow"/>
          <w:b/>
          <w:sz w:val="22"/>
          <w:szCs w:val="22"/>
        </w:rPr>
        <w:t xml:space="preserve">on </w:t>
      </w:r>
      <w:r w:rsidR="00232148" w:rsidRPr="005A3EDB">
        <w:rPr>
          <w:rFonts w:ascii="Arial Narrow" w:hAnsi="Arial Narrow"/>
          <w:b/>
          <w:sz w:val="22"/>
          <w:szCs w:val="22"/>
        </w:rPr>
        <w:t>Growth Dynamics in sub-Saharan Africa</w:t>
      </w:r>
    </w:p>
    <w:tbl>
      <w:tblPr>
        <w:tblW w:w="9217" w:type="dxa"/>
        <w:tblLook w:val="0000" w:firstRow="0" w:lastRow="0" w:firstColumn="0" w:lastColumn="0" w:noHBand="0" w:noVBand="0"/>
      </w:tblPr>
      <w:tblGrid>
        <w:gridCol w:w="1563"/>
        <w:gridCol w:w="772"/>
        <w:gridCol w:w="786"/>
        <w:gridCol w:w="837"/>
        <w:gridCol w:w="786"/>
        <w:gridCol w:w="1069"/>
        <w:gridCol w:w="1077"/>
        <w:gridCol w:w="1190"/>
        <w:gridCol w:w="1137"/>
      </w:tblGrid>
      <w:tr w:rsidR="00710F1B" w:rsidRPr="00710F1B" w:rsidTr="005B224F">
        <w:trPr>
          <w:trHeight w:val="273"/>
        </w:trPr>
        <w:tc>
          <w:tcPr>
            <w:tcW w:w="0" w:type="auto"/>
            <w:gridSpan w:val="5"/>
            <w:tcBorders>
              <w:top w:val="single" w:sz="4" w:space="0" w:color="auto"/>
              <w:left w:val="nil"/>
              <w:bottom w:val="nil"/>
              <w:right w:val="nil"/>
            </w:tcBorders>
            <w:shd w:val="clear" w:color="auto" w:fill="D0CECE" w:themeFill="background2" w:themeFillShade="E6"/>
          </w:tcPr>
          <w:p w:rsidR="00710F1B" w:rsidRPr="00710F1B" w:rsidRDefault="0079326E" w:rsidP="002B6B44">
            <w:pPr>
              <w:widowControl w:val="0"/>
              <w:autoSpaceDE w:val="0"/>
              <w:autoSpaceDN w:val="0"/>
              <w:adjustRightInd w:val="0"/>
              <w:spacing w:after="0" w:line="240" w:lineRule="auto"/>
              <w:jc w:val="center"/>
              <w:rPr>
                <w:rFonts w:ascii="Arial Narrow" w:hAnsi="Arial Narrow" w:cs="Segoe UI"/>
                <w:b/>
                <w:sz w:val="24"/>
                <w:szCs w:val="24"/>
              </w:rPr>
            </w:pPr>
            <w:r>
              <w:rPr>
                <w:rFonts w:ascii="Arial Narrow" w:hAnsi="Arial Narrow" w:cs="Segoe UI"/>
                <w:b/>
                <w:sz w:val="24"/>
                <w:szCs w:val="24"/>
              </w:rPr>
              <w:t xml:space="preserve">           </w:t>
            </w:r>
            <w:r w:rsidR="00710F1B" w:rsidRPr="00710F1B">
              <w:rPr>
                <w:rFonts w:ascii="Arial Narrow" w:hAnsi="Arial Narrow" w:cs="Segoe UI"/>
                <w:b/>
                <w:sz w:val="24"/>
                <w:szCs w:val="24"/>
              </w:rPr>
              <w:t>Static Panel Model</w:t>
            </w:r>
          </w:p>
        </w:tc>
        <w:tc>
          <w:tcPr>
            <w:tcW w:w="0" w:type="auto"/>
            <w:tcBorders>
              <w:top w:val="single" w:sz="4" w:space="0" w:color="auto"/>
              <w:left w:val="nil"/>
              <w:bottom w:val="nil"/>
              <w:right w:val="nil"/>
            </w:tcBorders>
            <w:shd w:val="clear" w:color="auto" w:fill="D0CECE" w:themeFill="background2" w:themeFillShade="E6"/>
          </w:tcPr>
          <w:p w:rsidR="00710F1B" w:rsidRPr="00710F1B" w:rsidRDefault="00710F1B" w:rsidP="002B6B44">
            <w:pPr>
              <w:widowControl w:val="0"/>
              <w:autoSpaceDE w:val="0"/>
              <w:autoSpaceDN w:val="0"/>
              <w:adjustRightInd w:val="0"/>
              <w:spacing w:after="0" w:line="240" w:lineRule="auto"/>
              <w:jc w:val="center"/>
              <w:rPr>
                <w:rFonts w:ascii="Arial Narrow" w:hAnsi="Arial Narrow" w:cs="Times New Roman"/>
                <w:b/>
                <w:sz w:val="20"/>
                <w:szCs w:val="24"/>
              </w:rPr>
            </w:pPr>
          </w:p>
        </w:tc>
        <w:tc>
          <w:tcPr>
            <w:tcW w:w="0" w:type="auto"/>
            <w:gridSpan w:val="3"/>
            <w:tcBorders>
              <w:top w:val="single" w:sz="4" w:space="0" w:color="auto"/>
              <w:left w:val="nil"/>
              <w:bottom w:val="nil"/>
              <w:right w:val="nil"/>
            </w:tcBorders>
            <w:shd w:val="clear" w:color="auto" w:fill="D0CECE" w:themeFill="background2" w:themeFillShade="E6"/>
          </w:tcPr>
          <w:p w:rsidR="00710F1B" w:rsidRPr="00710F1B" w:rsidRDefault="00710F1B" w:rsidP="0079326E">
            <w:pPr>
              <w:widowControl w:val="0"/>
              <w:autoSpaceDE w:val="0"/>
              <w:autoSpaceDN w:val="0"/>
              <w:adjustRightInd w:val="0"/>
              <w:spacing w:after="0" w:line="240" w:lineRule="auto"/>
              <w:rPr>
                <w:rFonts w:ascii="Arial Narrow" w:hAnsi="Arial Narrow" w:cs="Segoe UI"/>
                <w:b/>
                <w:sz w:val="24"/>
                <w:szCs w:val="24"/>
              </w:rPr>
            </w:pPr>
            <w:r w:rsidRPr="00710F1B">
              <w:rPr>
                <w:rFonts w:ascii="Arial Narrow" w:hAnsi="Arial Narrow" w:cs="Segoe UI"/>
                <w:b/>
                <w:sz w:val="24"/>
                <w:szCs w:val="24"/>
              </w:rPr>
              <w:t>Dynamic Panel Model</w:t>
            </w:r>
          </w:p>
        </w:tc>
      </w:tr>
      <w:tr w:rsidR="00710F1B" w:rsidRPr="00710F1B" w:rsidTr="005B224F">
        <w:trPr>
          <w:trHeight w:val="283"/>
        </w:trPr>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18"/>
                <w:szCs w:val="24"/>
              </w:rPr>
            </w:pPr>
          </w:p>
        </w:tc>
        <w:tc>
          <w:tcPr>
            <w:tcW w:w="0" w:type="auto"/>
            <w:tcBorders>
              <w:top w:val="single" w:sz="4" w:space="0" w:color="auto"/>
              <w:left w:val="nil"/>
              <w:bottom w:val="nil"/>
              <w:right w:val="nil"/>
            </w:tcBorders>
          </w:tcPr>
          <w:p w:rsidR="00D85903" w:rsidRPr="00710F1B" w:rsidRDefault="00D85903"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FE-CPS</w:t>
            </w:r>
          </w:p>
        </w:tc>
        <w:tc>
          <w:tcPr>
            <w:tcW w:w="0" w:type="auto"/>
            <w:tcBorders>
              <w:top w:val="single" w:sz="4" w:space="0" w:color="auto"/>
              <w:left w:val="nil"/>
              <w:bottom w:val="nil"/>
              <w:right w:val="nil"/>
            </w:tcBorders>
          </w:tcPr>
          <w:p w:rsidR="00D85903" w:rsidRPr="00710F1B" w:rsidRDefault="00D85903"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FE-GCF</w:t>
            </w:r>
          </w:p>
        </w:tc>
        <w:tc>
          <w:tcPr>
            <w:tcW w:w="0" w:type="auto"/>
            <w:tcBorders>
              <w:top w:val="single" w:sz="4" w:space="0" w:color="auto"/>
              <w:left w:val="nil"/>
              <w:bottom w:val="nil"/>
              <w:right w:val="nil"/>
            </w:tcBorders>
          </w:tcPr>
          <w:p w:rsidR="00D85903" w:rsidRPr="00710F1B" w:rsidRDefault="00D85903"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 xml:space="preserve">FE-GDPG </w:t>
            </w:r>
          </w:p>
        </w:tc>
        <w:tc>
          <w:tcPr>
            <w:tcW w:w="0" w:type="auto"/>
            <w:tcBorders>
              <w:top w:val="single" w:sz="4" w:space="0" w:color="auto"/>
              <w:left w:val="nil"/>
              <w:bottom w:val="nil"/>
              <w:right w:val="nil"/>
            </w:tcBorders>
          </w:tcPr>
          <w:p w:rsidR="00D85903" w:rsidRPr="00710F1B" w:rsidRDefault="00D85903"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FE-Open</w:t>
            </w:r>
          </w:p>
        </w:tc>
        <w:tc>
          <w:tcPr>
            <w:tcW w:w="0" w:type="auto"/>
            <w:tcBorders>
              <w:top w:val="single" w:sz="4" w:space="0" w:color="auto"/>
              <w:left w:val="nil"/>
              <w:bottom w:val="nil"/>
              <w:right w:val="nil"/>
            </w:tcBorders>
          </w:tcPr>
          <w:p w:rsidR="00D85903" w:rsidRPr="00710F1B" w:rsidRDefault="00710F1B"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BCGMM</w:t>
            </w:r>
            <w:r w:rsidR="00D85903" w:rsidRPr="00710F1B">
              <w:rPr>
                <w:rFonts w:ascii="Arial Narrow" w:hAnsi="Arial Narrow" w:cs="Times New Roman"/>
                <w:b/>
                <w:sz w:val="16"/>
                <w:szCs w:val="24"/>
              </w:rPr>
              <w:t>-CPS</w:t>
            </w:r>
          </w:p>
        </w:tc>
        <w:tc>
          <w:tcPr>
            <w:tcW w:w="0" w:type="auto"/>
            <w:tcBorders>
              <w:top w:val="single" w:sz="4" w:space="0" w:color="auto"/>
              <w:left w:val="nil"/>
              <w:bottom w:val="nil"/>
              <w:right w:val="nil"/>
            </w:tcBorders>
          </w:tcPr>
          <w:p w:rsidR="00D85903" w:rsidRPr="00710F1B" w:rsidRDefault="00710F1B"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BCGMM</w:t>
            </w:r>
            <w:r w:rsidR="00D85903" w:rsidRPr="00710F1B">
              <w:rPr>
                <w:rFonts w:ascii="Arial Narrow" w:hAnsi="Arial Narrow" w:cs="Times New Roman"/>
                <w:b/>
                <w:sz w:val="16"/>
                <w:szCs w:val="24"/>
              </w:rPr>
              <w:t>-GCF</w:t>
            </w:r>
          </w:p>
        </w:tc>
        <w:tc>
          <w:tcPr>
            <w:tcW w:w="0" w:type="auto"/>
            <w:tcBorders>
              <w:top w:val="single" w:sz="4" w:space="0" w:color="auto"/>
              <w:left w:val="nil"/>
              <w:bottom w:val="nil"/>
              <w:right w:val="nil"/>
            </w:tcBorders>
          </w:tcPr>
          <w:p w:rsidR="00D85903" w:rsidRPr="00710F1B" w:rsidRDefault="00710F1B"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BCGMM</w:t>
            </w:r>
            <w:r w:rsidR="00D85903" w:rsidRPr="00710F1B">
              <w:rPr>
                <w:rFonts w:ascii="Arial Narrow" w:hAnsi="Arial Narrow" w:cs="Times New Roman"/>
                <w:b/>
                <w:sz w:val="16"/>
                <w:szCs w:val="24"/>
              </w:rPr>
              <w:t>-GDPG</w:t>
            </w:r>
          </w:p>
        </w:tc>
        <w:tc>
          <w:tcPr>
            <w:tcW w:w="0" w:type="auto"/>
            <w:tcBorders>
              <w:top w:val="single" w:sz="4" w:space="0" w:color="auto"/>
              <w:left w:val="nil"/>
              <w:bottom w:val="nil"/>
              <w:right w:val="nil"/>
            </w:tcBorders>
          </w:tcPr>
          <w:p w:rsidR="00D85903" w:rsidRPr="00710F1B" w:rsidRDefault="00710F1B" w:rsidP="00710F1B">
            <w:pPr>
              <w:widowControl w:val="0"/>
              <w:autoSpaceDE w:val="0"/>
              <w:autoSpaceDN w:val="0"/>
              <w:adjustRightInd w:val="0"/>
              <w:spacing w:after="0" w:line="360" w:lineRule="auto"/>
              <w:jc w:val="center"/>
              <w:rPr>
                <w:rFonts w:ascii="Arial Narrow" w:hAnsi="Arial Narrow" w:cs="Times New Roman"/>
                <w:b/>
                <w:sz w:val="16"/>
                <w:szCs w:val="24"/>
              </w:rPr>
            </w:pPr>
            <w:r w:rsidRPr="00710F1B">
              <w:rPr>
                <w:rFonts w:ascii="Arial Narrow" w:hAnsi="Arial Narrow" w:cs="Times New Roman"/>
                <w:b/>
                <w:sz w:val="16"/>
                <w:szCs w:val="24"/>
              </w:rPr>
              <w:t>BCGMM</w:t>
            </w:r>
            <w:r w:rsidR="00D85903" w:rsidRPr="00710F1B">
              <w:rPr>
                <w:rFonts w:ascii="Arial Narrow" w:hAnsi="Arial Narrow" w:cs="Times New Roman"/>
                <w:b/>
                <w:sz w:val="16"/>
                <w:szCs w:val="24"/>
              </w:rPr>
              <w:t>-Open</w:t>
            </w:r>
          </w:p>
        </w:tc>
      </w:tr>
      <w:tr w:rsidR="00710F1B" w:rsidRPr="00710F1B" w:rsidTr="005B224F">
        <w:trPr>
          <w:trHeight w:val="228"/>
        </w:trPr>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Fin_D</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0.212</w:t>
            </w:r>
            <w:r w:rsidRPr="00710F1B">
              <w:rPr>
                <w:rFonts w:ascii="Arial Narrow" w:hAnsi="Arial Narrow" w:cs="Times New Roman"/>
                <w:sz w:val="20"/>
                <w:szCs w:val="24"/>
                <w:vertAlign w:val="superscript"/>
              </w:rPr>
              <w:t>***</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0.039</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-0.047</w:t>
            </w:r>
            <w:r w:rsidRPr="00710F1B">
              <w:rPr>
                <w:rFonts w:ascii="Arial Narrow" w:hAnsi="Arial Narrow" w:cs="Times New Roman"/>
                <w:sz w:val="20"/>
                <w:szCs w:val="24"/>
                <w:vertAlign w:val="superscript"/>
              </w:rPr>
              <w:t>**</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0.072</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0.102</w:t>
            </w:r>
            <w:r w:rsidRPr="00710F1B">
              <w:rPr>
                <w:rFonts w:ascii="Arial Narrow" w:hAnsi="Arial Narrow" w:cs="Times New Roman"/>
                <w:sz w:val="20"/>
                <w:szCs w:val="24"/>
                <w:vertAlign w:val="superscript"/>
              </w:rPr>
              <w:t>***</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-0.257</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-0.152</w:t>
            </w:r>
            <w:r w:rsidRPr="00710F1B">
              <w:rPr>
                <w:rFonts w:ascii="Arial Narrow" w:hAnsi="Arial Narrow" w:cs="Times New Roman"/>
                <w:sz w:val="20"/>
                <w:szCs w:val="24"/>
                <w:vertAlign w:val="superscript"/>
              </w:rPr>
              <w:t>***</w:t>
            </w:r>
          </w:p>
        </w:tc>
        <w:tc>
          <w:tcPr>
            <w:tcW w:w="0" w:type="auto"/>
            <w:tcBorders>
              <w:top w:val="single" w:sz="4" w:space="0" w:color="auto"/>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0.229</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(0.034)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(0.038)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(0.023)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(0.071)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(0.031)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(0.168)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(0.046)</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(0.074)</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Inf</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-0.025</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0.027</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-0.110</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0.733</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-0.026</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-0.272</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-0.035</w:t>
            </w: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(0.073)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(0.082)</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(0.151)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(0.137)</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(0.410)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(0.067)</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(0.443)</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Remit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0.014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0.350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-0.073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-0.639</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-1.246</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2.154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0.414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1.646</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(0.228)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(0.252)</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(0.150)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(0.469)</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(0.756)</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(3.441)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(0.438)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(2.637)</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Schol_Prim</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0.034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0.116</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0.069</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0.269</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0.098</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-0.463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0.253</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-0.739</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(0.049)</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(0.028)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(0.089)</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(0.474)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(0.045)</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(0.317)</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lastRenderedPageBreak/>
              <w:t>Voic_acc</w:t>
            </w:r>
            <w:r w:rsidR="00232148" w:rsidRPr="00710F1B">
              <w:rPr>
                <w:rFonts w:ascii="Arial Narrow" w:hAnsi="Arial Narrow" w:cs="Times New Roman"/>
                <w:sz w:val="20"/>
                <w:szCs w:val="24"/>
              </w:rPr>
              <w:t xml:space="preserve"> x </w:t>
            </w:r>
            <w:r w:rsidRPr="00710F1B">
              <w:rPr>
                <w:rFonts w:ascii="Arial Narrow" w:hAnsi="Arial Narrow" w:cs="Times New Roman"/>
                <w:sz w:val="20"/>
                <w:szCs w:val="24"/>
              </w:rPr>
              <w:t>AIR</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0.003</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(0.009)</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Polit_stab</w:t>
            </w:r>
            <w:r w:rsidR="00232148" w:rsidRPr="00710F1B">
              <w:rPr>
                <w:rFonts w:ascii="Arial Narrow" w:hAnsi="Arial Narrow" w:cs="Times New Roman"/>
                <w:sz w:val="20"/>
                <w:szCs w:val="24"/>
              </w:rPr>
              <w:t xml:space="preserve"> x</w:t>
            </w:r>
            <w:r w:rsidRPr="00710F1B">
              <w:rPr>
                <w:rFonts w:ascii="Arial Narrow" w:hAnsi="Arial Narrow" w:cs="Times New Roman"/>
                <w:sz w:val="20"/>
                <w:szCs w:val="24"/>
              </w:rPr>
              <w:t>AIR</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Gvt_ef</w:t>
            </w:r>
            <w:r w:rsidR="00232148" w:rsidRPr="00710F1B">
              <w:rPr>
                <w:rFonts w:ascii="Arial Narrow" w:hAnsi="Arial Narrow" w:cs="Times New Roman"/>
                <w:sz w:val="20"/>
                <w:szCs w:val="24"/>
              </w:rPr>
              <w:t xml:space="preserve"> x </w:t>
            </w:r>
            <w:r w:rsidRPr="00710F1B">
              <w:rPr>
                <w:rFonts w:ascii="Arial Narrow" w:hAnsi="Arial Narrow" w:cs="Times New Roman"/>
                <w:sz w:val="20"/>
                <w:szCs w:val="24"/>
              </w:rPr>
              <w:t>AIR</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Regul_qual</w:t>
            </w:r>
            <w:r w:rsidR="00232148" w:rsidRPr="00710F1B">
              <w:rPr>
                <w:rFonts w:ascii="Arial Narrow" w:hAnsi="Arial Narrow" w:cs="Times New Roman"/>
                <w:sz w:val="20"/>
                <w:szCs w:val="24"/>
              </w:rPr>
              <w:t xml:space="preserve"> x </w:t>
            </w:r>
            <w:r w:rsidRPr="00710F1B">
              <w:rPr>
                <w:rFonts w:ascii="Arial Narrow" w:hAnsi="Arial Narrow" w:cs="Times New Roman"/>
                <w:sz w:val="20"/>
                <w:szCs w:val="24"/>
              </w:rPr>
              <w:t>AIR</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0.005</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Rule_law</w:t>
            </w:r>
            <w:r w:rsidR="00232148" w:rsidRPr="00710F1B">
              <w:rPr>
                <w:rFonts w:ascii="Arial Narrow" w:hAnsi="Arial Narrow" w:cs="Times New Roman"/>
                <w:sz w:val="20"/>
                <w:szCs w:val="24"/>
              </w:rPr>
              <w:t xml:space="preserve"> x </w:t>
            </w:r>
            <w:r w:rsidRPr="00710F1B">
              <w:rPr>
                <w:rFonts w:ascii="Arial Narrow" w:hAnsi="Arial Narrow" w:cs="Times New Roman"/>
                <w:sz w:val="20"/>
                <w:szCs w:val="24"/>
              </w:rPr>
              <w:t>AIR</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-0.004</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control_cor</w:t>
            </w:r>
            <w:r w:rsidR="00232148" w:rsidRPr="00710F1B">
              <w:rPr>
                <w:rFonts w:ascii="Arial Narrow" w:hAnsi="Arial Narrow" w:cs="Times New Roman"/>
                <w:sz w:val="20"/>
                <w:szCs w:val="24"/>
              </w:rPr>
              <w:t xml:space="preserve">  x </w:t>
            </w:r>
            <w:r w:rsidRPr="00710F1B">
              <w:rPr>
                <w:rFonts w:ascii="Arial Narrow" w:hAnsi="Arial Narrow" w:cs="Times New Roman"/>
                <w:sz w:val="20"/>
                <w:szCs w:val="24"/>
              </w:rPr>
              <w:t>AIR</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0.004</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(0.001)</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(0.000)</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(0.002)</w:t>
            </w: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L.CPS</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0.266</w:t>
            </w:r>
            <w:r w:rsidRPr="00710F1B">
              <w:rPr>
                <w:rFonts w:ascii="Arial Narrow" w:hAnsi="Arial Narrow" w:cs="Times New Roman"/>
                <w:sz w:val="20"/>
                <w:szCs w:val="24"/>
                <w:vertAlign w:val="superscript"/>
              </w:rPr>
              <w:t>**</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(0.105)</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L.GCF</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0.464</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(0.858)</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37"/>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L.GDPG</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0.003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(0.073)</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r>
      <w:tr w:rsidR="00710F1B" w:rsidRPr="00710F1B" w:rsidTr="005B224F">
        <w:trPr>
          <w:trHeight w:val="228"/>
        </w:trPr>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sz w:val="20"/>
                <w:szCs w:val="24"/>
              </w:rPr>
              <w:t>L.Open</w:t>
            </w: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nil"/>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0.428</w:t>
            </w:r>
            <w:r w:rsidRPr="00710F1B">
              <w:rPr>
                <w:rFonts w:ascii="Arial Narrow" w:hAnsi="Arial Narrow" w:cs="Times New Roman"/>
                <w:sz w:val="20"/>
                <w:szCs w:val="24"/>
                <w:vertAlign w:val="superscript"/>
              </w:rPr>
              <w:t>**</w:t>
            </w:r>
          </w:p>
        </w:tc>
      </w:tr>
      <w:tr w:rsidR="00710F1B" w:rsidRPr="00710F1B" w:rsidTr="005B224F">
        <w:trPr>
          <w:trHeight w:val="228"/>
        </w:trPr>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(0.205)</w:t>
            </w:r>
          </w:p>
        </w:tc>
      </w:tr>
      <w:tr w:rsidR="00710F1B" w:rsidRPr="00710F1B" w:rsidTr="005B224F">
        <w:trPr>
          <w:trHeight w:val="237"/>
        </w:trPr>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rPr>
                <w:rFonts w:ascii="Arial Narrow" w:hAnsi="Arial Narrow" w:cs="Times New Roman"/>
                <w:sz w:val="20"/>
                <w:szCs w:val="24"/>
              </w:rPr>
            </w:pPr>
            <w:r w:rsidRPr="00710F1B">
              <w:rPr>
                <w:rFonts w:ascii="Arial Narrow" w:hAnsi="Arial Narrow" w:cs="Times New Roman"/>
                <w:i/>
                <w:iCs/>
                <w:sz w:val="20"/>
                <w:szCs w:val="24"/>
              </w:rPr>
              <w:t>N</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244</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238</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244</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244</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30</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23</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30</w:t>
            </w:r>
          </w:p>
        </w:tc>
        <w:tc>
          <w:tcPr>
            <w:tcW w:w="0" w:type="auto"/>
            <w:tcBorders>
              <w:top w:val="nil"/>
              <w:left w:val="nil"/>
              <w:bottom w:val="single" w:sz="4" w:space="0" w:color="auto"/>
              <w:right w:val="nil"/>
            </w:tcBorders>
          </w:tcPr>
          <w:p w:rsidR="00D85903" w:rsidRPr="00710F1B" w:rsidRDefault="00D85903" w:rsidP="002B6B44">
            <w:pPr>
              <w:widowControl w:val="0"/>
              <w:autoSpaceDE w:val="0"/>
              <w:autoSpaceDN w:val="0"/>
              <w:adjustRightInd w:val="0"/>
              <w:spacing w:after="0" w:line="240" w:lineRule="auto"/>
              <w:jc w:val="center"/>
              <w:rPr>
                <w:rFonts w:ascii="Arial Narrow" w:hAnsi="Arial Narrow" w:cs="Times New Roman"/>
                <w:sz w:val="20"/>
                <w:szCs w:val="24"/>
              </w:rPr>
            </w:pPr>
            <w:r w:rsidRPr="00710F1B">
              <w:rPr>
                <w:rFonts w:ascii="Arial Narrow" w:hAnsi="Arial Narrow" w:cs="Times New Roman"/>
                <w:sz w:val="20"/>
                <w:szCs w:val="24"/>
              </w:rPr>
              <w:t>30</w:t>
            </w:r>
          </w:p>
        </w:tc>
      </w:tr>
    </w:tbl>
    <w:p w:rsidR="00B45A5E" w:rsidRDefault="00B45A5E" w:rsidP="00B45A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Standard errors in parentheses</w:t>
      </w:r>
    </w:p>
    <w:p w:rsidR="00B45A5E" w:rsidRDefault="00B45A5E" w:rsidP="00B45A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w:t>
      </w:r>
    </w:p>
    <w:p w:rsidR="00F9045F" w:rsidRDefault="00F9045F" w:rsidP="00B45A5E">
      <w:pPr>
        <w:widowControl w:val="0"/>
        <w:autoSpaceDE w:val="0"/>
        <w:autoSpaceDN w:val="0"/>
        <w:adjustRightInd w:val="0"/>
        <w:spacing w:after="0" w:line="240" w:lineRule="auto"/>
        <w:rPr>
          <w:rFonts w:ascii="Times New Roman" w:hAnsi="Times New Roman" w:cs="Times New Roman"/>
          <w:sz w:val="20"/>
          <w:szCs w:val="20"/>
        </w:rPr>
      </w:pPr>
    </w:p>
    <w:p w:rsidR="00D85903" w:rsidRDefault="00F9045F" w:rsidP="00765099">
      <w:pPr>
        <w:rPr>
          <w:b/>
          <w:vertAlign w:val="subscript"/>
        </w:rPr>
      </w:pPr>
      <w:r w:rsidRPr="00206401">
        <w:rPr>
          <w:rFonts w:ascii="Arial Narrow" w:hAnsi="Arial Narrow"/>
          <w:b/>
        </w:rPr>
        <w:t xml:space="preserve">Source: </w:t>
      </w:r>
      <w:r w:rsidRPr="003A0A6B">
        <w:rPr>
          <w:rFonts w:ascii="Arial Narrow" w:hAnsi="Arial Narrow"/>
        </w:rPr>
        <w:t>Author’s own computation</w:t>
      </w:r>
    </w:p>
    <w:p w:rsidR="003529AD" w:rsidRPr="003529AD" w:rsidRDefault="00224284" w:rsidP="00E41EA8">
      <w:pPr>
        <w:spacing w:before="100" w:beforeAutospacing="1" w:after="100" w:afterAutospacing="1" w:line="276" w:lineRule="auto"/>
        <w:jc w:val="both"/>
        <w:rPr>
          <w:rFonts w:ascii="Arial Narrow" w:eastAsia="Times New Roman" w:hAnsi="Arial Narrow" w:cs="Times New Roman"/>
        </w:rPr>
      </w:pPr>
      <w:r>
        <w:rPr>
          <w:rFonts w:ascii="Arial Narrow" w:eastAsia="Times New Roman" w:hAnsi="Arial Narrow" w:cs="Times New Roman"/>
        </w:rPr>
        <w:t>Table 4 is c</w:t>
      </w:r>
      <w:r w:rsidR="003529AD" w:rsidRPr="00E41EA8">
        <w:rPr>
          <w:rFonts w:ascii="Arial Narrow" w:eastAsia="Times New Roman" w:hAnsi="Arial Narrow" w:cs="Times New Roman"/>
        </w:rPr>
        <w:t>onsistently with the previous findings, the f</w:t>
      </w:r>
      <w:r w:rsidR="003529AD" w:rsidRPr="003529AD">
        <w:rPr>
          <w:rFonts w:ascii="Arial Narrow" w:eastAsia="Times New Roman" w:hAnsi="Arial Narrow" w:cs="Times New Roman"/>
        </w:rPr>
        <w:t>inancial development (Fin_D) significantly enhances credit to the private sector (CPS) in both static (0.212***) and dynamic (0.102***) models, indicating that well-functioning financial systems are critical for mobilizing resources to support private sector growth. Fin_D also positively affects trade openness (Open) in the dynamic model (0.229***), highlighting its role in facilitating trade-related financing and integration into global markets. Schooling (Schol_Prim) positively impacts GDP growth (GDPG) in both static (0.069**) and dynamic models (0.253***), aligning with theories that human capital development boosts labor productivity and economic performance. Regulatory quality (Regul_qual x AIR) positively influences CPS (0.002*** static, 0.001** dynamic) and GCF (0.005*** dynamic), demonstrating that strong regulations, when complemented by AI readiness, encourage financial intermediation and capital investment.</w:t>
      </w:r>
    </w:p>
    <w:p w:rsidR="003529AD" w:rsidRPr="003529AD" w:rsidRDefault="003529AD" w:rsidP="00E41EA8">
      <w:pPr>
        <w:spacing w:before="100" w:beforeAutospacing="1" w:after="100" w:afterAutospacing="1" w:line="276" w:lineRule="auto"/>
        <w:jc w:val="both"/>
        <w:rPr>
          <w:rFonts w:ascii="Arial Narrow" w:eastAsia="Times New Roman" w:hAnsi="Arial Narrow" w:cs="Times New Roman"/>
        </w:rPr>
      </w:pPr>
      <w:r w:rsidRPr="003529AD">
        <w:rPr>
          <w:rFonts w:ascii="Arial Narrow" w:eastAsia="Times New Roman" w:hAnsi="Arial Narrow" w:cs="Times New Roman"/>
        </w:rPr>
        <w:t xml:space="preserve">Interactions between institutional quality and AI readiness further highlight their combined role in fostering economic outcomes. Regulatory quality (Regul_qual x AIR) also positively impacts </w:t>
      </w:r>
      <w:r w:rsidR="00652834">
        <w:rPr>
          <w:rFonts w:ascii="Arial Narrow" w:eastAsia="Times New Roman" w:hAnsi="Arial Narrow" w:cs="Times New Roman"/>
        </w:rPr>
        <w:t>trade openness in both static (</w:t>
      </w:r>
      <w:r w:rsidRPr="003529AD">
        <w:rPr>
          <w:rFonts w:ascii="Arial Narrow" w:eastAsia="Times New Roman" w:hAnsi="Arial Narrow" w:cs="Times New Roman"/>
        </w:rPr>
        <w:t xml:space="preserve">0.002***) and dynamic (0.002**) models, showing that improved regulatory environments enhance competitiveness in AI-enabled economies. Rule of law (Rule_law x AIR) positively affects GDP growth (0.002*** dynamic), indicating that legal frameworks, strengthened by AI readiness, improve economic stability and governance, fostering growth. However, political stability (Polit_stab x AIR) and government effectiveness (Gvt_ef x AIR) exhibit mixed results, with weak or </w:t>
      </w:r>
      <w:r w:rsidRPr="003529AD">
        <w:rPr>
          <w:rFonts w:ascii="Arial Narrow" w:eastAsia="Times New Roman" w:hAnsi="Arial Narrow" w:cs="Times New Roman"/>
        </w:rPr>
        <w:lastRenderedPageBreak/>
        <w:t>negative effects in some models, suggesting that their impact may vary depending on specific economic conditions and the maturity of AI adoption. The dynamic persistence of CPS (0.266***) and Open (0.428**), captured through lagged coefficients, further reinforces the importance of financial systems and trade integration as critical pathways for leveraging institutional quality and AI readiness to achieve sustainable growth.</w:t>
      </w:r>
      <w:r w:rsidR="00224B42" w:rsidRPr="00224B42">
        <w:rPr>
          <w:rFonts w:ascii="Arial Narrow" w:eastAsia="Times New Roman" w:hAnsi="Arial Narrow" w:cs="Times New Roman"/>
        </w:rPr>
        <w:t xml:space="preserve"> These findings highlight the vital role of aligning technology adoption with institutional development in advancing the development agenda in Sub-Saharan Africa</w:t>
      </w:r>
      <w:r w:rsidR="00224B42">
        <w:rPr>
          <w:rFonts w:ascii="Arial Narrow" w:eastAsia="Times New Roman" w:hAnsi="Arial Narrow" w:cs="Times New Roman"/>
        </w:rPr>
        <w:t>.</w:t>
      </w:r>
    </w:p>
    <w:p w:rsidR="003529AD" w:rsidRDefault="001938C9" w:rsidP="008A36C9">
      <w:pPr>
        <w:spacing w:before="100" w:beforeAutospacing="1" w:after="100" w:afterAutospacing="1" w:line="276" w:lineRule="auto"/>
        <w:jc w:val="both"/>
        <w:rPr>
          <w:rFonts w:ascii="Arial Narrow" w:hAnsi="Arial Narrow"/>
        </w:rPr>
      </w:pPr>
      <w:r w:rsidRPr="001938C9">
        <w:rPr>
          <w:rFonts w:ascii="Arial Narrow" w:hAnsi="Arial Narrow"/>
        </w:rPr>
        <w:t xml:space="preserve">To assess the robustness of these findings, it is crucial to conduct a </w:t>
      </w:r>
      <w:r w:rsidRPr="008A36C9">
        <w:rPr>
          <w:rStyle w:val="Strong"/>
          <w:rFonts w:ascii="Arial Narrow" w:hAnsi="Arial Narrow"/>
          <w:b w:val="0"/>
        </w:rPr>
        <w:t>robustness check</w:t>
      </w:r>
      <w:r w:rsidR="009D4DD9">
        <w:rPr>
          <w:rFonts w:ascii="Arial Narrow" w:hAnsi="Arial Narrow"/>
        </w:rPr>
        <w:t xml:space="preserve"> by focusing on the first six</w:t>
      </w:r>
      <w:r w:rsidRPr="001938C9">
        <w:rPr>
          <w:rFonts w:ascii="Arial Narrow" w:hAnsi="Arial Narrow"/>
        </w:rPr>
        <w:t xml:space="preserve"> countries in the sample—those with relatively higher institutional development</w:t>
      </w:r>
      <w:r w:rsidR="003A37E6">
        <w:rPr>
          <w:rFonts w:ascii="Arial Narrow" w:hAnsi="Arial Narrow"/>
        </w:rPr>
        <w:t xml:space="preserve"> using </w:t>
      </w:r>
      <w:r w:rsidR="00D47297">
        <w:rPr>
          <w:rFonts w:ascii="Arial Narrow" w:hAnsi="Arial Narrow"/>
        </w:rPr>
        <w:t>r</w:t>
      </w:r>
      <w:r w:rsidR="003A37E6">
        <w:rPr>
          <w:rFonts w:ascii="Arial Narrow" w:hAnsi="Arial Narrow"/>
        </w:rPr>
        <w:t>obust</w:t>
      </w:r>
      <w:r w:rsidR="00D47297">
        <w:rPr>
          <w:rFonts w:ascii="Arial Narrow" w:hAnsi="Arial Narrow"/>
        </w:rPr>
        <w:t xml:space="preserve"> regression</w:t>
      </w:r>
      <w:r w:rsidRPr="001938C9">
        <w:rPr>
          <w:rFonts w:ascii="Arial Narrow" w:hAnsi="Arial Narrow"/>
        </w:rPr>
        <w:t xml:space="preserve"> </w:t>
      </w:r>
      <w:r w:rsidR="003A37E6">
        <w:rPr>
          <w:rFonts w:ascii="Arial Narrow" w:hAnsi="Arial Narrow"/>
        </w:rPr>
        <w:t xml:space="preserve">which </w:t>
      </w:r>
      <w:r w:rsidR="003A37E6" w:rsidRPr="003A37E6">
        <w:rPr>
          <w:rFonts w:ascii="Arial Narrow" w:hAnsi="Arial Narrow"/>
        </w:rPr>
        <w:t xml:space="preserve">robust-to-outliers. </w:t>
      </w:r>
      <w:r w:rsidRPr="001938C9">
        <w:rPr>
          <w:rFonts w:ascii="Arial Narrow" w:hAnsi="Arial Narrow"/>
        </w:rPr>
        <w:t>This would allow for a clearer analysis of how AI readiness interacts with strong institutions and better isolate its true growth potential in environments where institutional quality is less of a constraint. By doing so, we can more accurately assess the catalytic role of AI readiness in driving sustainable growth, particularly in more stable and well-governed countries within the region.</w:t>
      </w:r>
    </w:p>
    <w:p w:rsidR="009D4DD9" w:rsidRDefault="00934A6E" w:rsidP="005B224F">
      <w:pPr>
        <w:keepNext/>
        <w:widowControl w:val="0"/>
        <w:autoSpaceDE w:val="0"/>
        <w:autoSpaceDN w:val="0"/>
        <w:adjustRightInd w:val="0"/>
        <w:spacing w:after="0" w:line="240" w:lineRule="auto"/>
        <w:jc w:val="center"/>
        <w:rPr>
          <w:rFonts w:ascii="Arial Narrow" w:eastAsia="Times New Roman" w:hAnsi="Arial Narrow" w:cs="Times New Roman"/>
          <w:b/>
        </w:rPr>
      </w:pPr>
      <w:r>
        <w:rPr>
          <w:rFonts w:ascii="Arial Narrow" w:eastAsia="Times New Roman" w:hAnsi="Arial Narrow" w:cs="Times New Roman"/>
          <w:b/>
        </w:rPr>
        <w:t>Table 5</w:t>
      </w:r>
      <w:r w:rsidRPr="00F55268">
        <w:rPr>
          <w:rFonts w:ascii="Arial Narrow" w:eastAsia="Times New Roman" w:hAnsi="Arial Narrow" w:cs="Times New Roman"/>
          <w:b/>
        </w:rPr>
        <w:t xml:space="preserve">: Institution </w:t>
      </w:r>
      <w:r>
        <w:rPr>
          <w:rFonts w:ascii="Arial Narrow" w:eastAsia="Times New Roman" w:hAnsi="Arial Narrow" w:cs="Times New Roman"/>
          <w:b/>
        </w:rPr>
        <w:t>Quality and Growth Dynamics-Country Specific Analysis</w:t>
      </w:r>
    </w:p>
    <w:p w:rsidR="00934A6E" w:rsidRPr="00934A6E" w:rsidRDefault="00934A6E" w:rsidP="00934A6E">
      <w:pPr>
        <w:keepNext/>
        <w:widowControl w:val="0"/>
        <w:autoSpaceDE w:val="0"/>
        <w:autoSpaceDN w:val="0"/>
        <w:adjustRightInd w:val="0"/>
        <w:spacing w:after="0" w:line="240" w:lineRule="auto"/>
        <w:rPr>
          <w:rFonts w:ascii="Arial Narrow" w:eastAsia="Times New Roman" w:hAnsi="Arial Narrow" w:cs="Times New Roman"/>
          <w:b/>
        </w:rPr>
      </w:pPr>
    </w:p>
    <w:tbl>
      <w:tblPr>
        <w:tblW w:w="4996" w:type="pct"/>
        <w:tblLook w:val="0000" w:firstRow="0" w:lastRow="0" w:firstColumn="0" w:lastColumn="0" w:noHBand="0" w:noVBand="0"/>
      </w:tblPr>
      <w:tblGrid>
        <w:gridCol w:w="1084"/>
        <w:gridCol w:w="1182"/>
        <w:gridCol w:w="1182"/>
        <w:gridCol w:w="1182"/>
        <w:gridCol w:w="1182"/>
        <w:gridCol w:w="1182"/>
        <w:gridCol w:w="1182"/>
        <w:gridCol w:w="1177"/>
      </w:tblGrid>
      <w:tr w:rsidR="009D4DD9" w:rsidRPr="005B224F" w:rsidTr="0051129D">
        <w:trPr>
          <w:trHeight w:val="260"/>
        </w:trPr>
        <w:tc>
          <w:tcPr>
            <w:tcW w:w="579" w:type="pct"/>
            <w:tcBorders>
              <w:top w:val="single" w:sz="4" w:space="0" w:color="auto"/>
              <w:left w:val="nil"/>
              <w:bottom w:val="nil"/>
              <w:right w:val="nil"/>
            </w:tcBorders>
            <w:shd w:val="clear" w:color="auto" w:fill="D0CECE" w:themeFill="background2" w:themeFillShade="E6"/>
          </w:tcPr>
          <w:p w:rsidR="009D4DD9" w:rsidRPr="005B224F" w:rsidRDefault="009D4DD9" w:rsidP="009D4DD9">
            <w:pPr>
              <w:widowControl w:val="0"/>
              <w:autoSpaceDE w:val="0"/>
              <w:autoSpaceDN w:val="0"/>
              <w:adjustRightInd w:val="0"/>
              <w:spacing w:after="0" w:line="240" w:lineRule="auto"/>
              <w:rPr>
                <w:rFonts w:ascii="Arial Narrow" w:hAnsi="Arial Narrow" w:cs="Times New Roman"/>
                <w:sz w:val="20"/>
                <w:szCs w:val="24"/>
              </w:rPr>
            </w:pPr>
          </w:p>
        </w:tc>
        <w:tc>
          <w:tcPr>
            <w:tcW w:w="632" w:type="pct"/>
            <w:tcBorders>
              <w:top w:val="single" w:sz="4" w:space="0" w:color="auto"/>
              <w:left w:val="nil"/>
              <w:bottom w:val="nil"/>
              <w:right w:val="nil"/>
            </w:tcBorders>
            <w:shd w:val="clear" w:color="auto" w:fill="D0CECE" w:themeFill="background2" w:themeFillShade="E6"/>
          </w:tcPr>
          <w:p w:rsidR="009D4DD9" w:rsidRPr="0051129D" w:rsidRDefault="009D4DD9" w:rsidP="009D4DD9">
            <w:pPr>
              <w:widowControl w:val="0"/>
              <w:autoSpaceDE w:val="0"/>
              <w:autoSpaceDN w:val="0"/>
              <w:adjustRightInd w:val="0"/>
              <w:spacing w:after="0" w:line="240" w:lineRule="auto"/>
              <w:jc w:val="center"/>
              <w:rPr>
                <w:rFonts w:ascii="Arial Narrow" w:hAnsi="Arial Narrow" w:cs="Times New Roman"/>
                <w:b/>
                <w:sz w:val="20"/>
                <w:szCs w:val="24"/>
              </w:rPr>
            </w:pPr>
            <w:r w:rsidRPr="0051129D">
              <w:rPr>
                <w:rFonts w:ascii="Arial Narrow" w:hAnsi="Arial Narrow" w:cs="Times New Roman"/>
                <w:b/>
                <w:sz w:val="20"/>
                <w:szCs w:val="24"/>
              </w:rPr>
              <w:t>Panel</w:t>
            </w:r>
          </w:p>
        </w:tc>
        <w:tc>
          <w:tcPr>
            <w:tcW w:w="632" w:type="pct"/>
            <w:tcBorders>
              <w:top w:val="single" w:sz="4" w:space="0" w:color="auto"/>
              <w:left w:val="nil"/>
              <w:bottom w:val="nil"/>
              <w:right w:val="nil"/>
            </w:tcBorders>
            <w:shd w:val="clear" w:color="auto" w:fill="D0CECE" w:themeFill="background2" w:themeFillShade="E6"/>
          </w:tcPr>
          <w:p w:rsidR="009D4DD9" w:rsidRPr="0051129D" w:rsidRDefault="009D4DD9" w:rsidP="009D4DD9">
            <w:pPr>
              <w:widowControl w:val="0"/>
              <w:autoSpaceDE w:val="0"/>
              <w:autoSpaceDN w:val="0"/>
              <w:adjustRightInd w:val="0"/>
              <w:spacing w:after="0" w:line="240" w:lineRule="auto"/>
              <w:jc w:val="center"/>
              <w:rPr>
                <w:rFonts w:ascii="Arial Narrow" w:hAnsi="Arial Narrow" w:cs="Times New Roman"/>
                <w:b/>
                <w:sz w:val="20"/>
                <w:szCs w:val="24"/>
              </w:rPr>
            </w:pPr>
            <w:r w:rsidRPr="0051129D">
              <w:rPr>
                <w:rFonts w:ascii="Arial Narrow" w:hAnsi="Arial Narrow" w:cs="Times New Roman"/>
                <w:b/>
                <w:sz w:val="20"/>
                <w:szCs w:val="24"/>
              </w:rPr>
              <w:t>Botswana</w:t>
            </w:r>
          </w:p>
        </w:tc>
        <w:tc>
          <w:tcPr>
            <w:tcW w:w="632" w:type="pct"/>
            <w:tcBorders>
              <w:top w:val="single" w:sz="4" w:space="0" w:color="auto"/>
              <w:left w:val="nil"/>
              <w:bottom w:val="nil"/>
              <w:right w:val="nil"/>
            </w:tcBorders>
            <w:shd w:val="clear" w:color="auto" w:fill="D0CECE" w:themeFill="background2" w:themeFillShade="E6"/>
          </w:tcPr>
          <w:p w:rsidR="009D4DD9" w:rsidRPr="0051129D" w:rsidRDefault="009D4DD9" w:rsidP="009D4DD9">
            <w:pPr>
              <w:widowControl w:val="0"/>
              <w:autoSpaceDE w:val="0"/>
              <w:autoSpaceDN w:val="0"/>
              <w:adjustRightInd w:val="0"/>
              <w:spacing w:after="0" w:line="240" w:lineRule="auto"/>
              <w:jc w:val="center"/>
              <w:rPr>
                <w:rFonts w:ascii="Arial Narrow" w:hAnsi="Arial Narrow" w:cs="Times New Roman"/>
                <w:b/>
                <w:sz w:val="20"/>
                <w:szCs w:val="24"/>
              </w:rPr>
            </w:pPr>
            <w:r w:rsidRPr="0051129D">
              <w:rPr>
                <w:rFonts w:ascii="Arial Narrow" w:hAnsi="Arial Narrow" w:cs="Times New Roman"/>
                <w:b/>
                <w:sz w:val="20"/>
                <w:szCs w:val="24"/>
              </w:rPr>
              <w:t>Cabo</w:t>
            </w:r>
            <w:r w:rsidR="006A1698" w:rsidRPr="0051129D">
              <w:rPr>
                <w:rFonts w:ascii="Arial Narrow" w:hAnsi="Arial Narrow" w:cs="Times New Roman"/>
                <w:b/>
                <w:sz w:val="20"/>
                <w:szCs w:val="24"/>
              </w:rPr>
              <w:t xml:space="preserve"> </w:t>
            </w:r>
            <w:r w:rsidRPr="0051129D">
              <w:rPr>
                <w:rFonts w:ascii="Arial Narrow" w:hAnsi="Arial Narrow" w:cs="Times New Roman"/>
                <w:b/>
                <w:sz w:val="20"/>
                <w:szCs w:val="24"/>
              </w:rPr>
              <w:t>Verde</w:t>
            </w:r>
          </w:p>
        </w:tc>
        <w:tc>
          <w:tcPr>
            <w:tcW w:w="632" w:type="pct"/>
            <w:tcBorders>
              <w:top w:val="single" w:sz="4" w:space="0" w:color="auto"/>
              <w:left w:val="nil"/>
              <w:bottom w:val="nil"/>
              <w:right w:val="nil"/>
            </w:tcBorders>
            <w:shd w:val="clear" w:color="auto" w:fill="D0CECE" w:themeFill="background2" w:themeFillShade="E6"/>
          </w:tcPr>
          <w:p w:rsidR="009D4DD9" w:rsidRPr="0051129D" w:rsidRDefault="009D4DD9" w:rsidP="009D4DD9">
            <w:pPr>
              <w:widowControl w:val="0"/>
              <w:autoSpaceDE w:val="0"/>
              <w:autoSpaceDN w:val="0"/>
              <w:adjustRightInd w:val="0"/>
              <w:spacing w:after="0" w:line="240" w:lineRule="auto"/>
              <w:jc w:val="center"/>
              <w:rPr>
                <w:rFonts w:ascii="Arial Narrow" w:hAnsi="Arial Narrow" w:cs="Times New Roman"/>
                <w:b/>
                <w:sz w:val="20"/>
                <w:szCs w:val="24"/>
              </w:rPr>
            </w:pPr>
            <w:r w:rsidRPr="0051129D">
              <w:rPr>
                <w:rFonts w:ascii="Arial Narrow" w:hAnsi="Arial Narrow" w:cs="Times New Roman"/>
                <w:b/>
                <w:sz w:val="20"/>
                <w:szCs w:val="24"/>
              </w:rPr>
              <w:t>Mauritius</w:t>
            </w:r>
          </w:p>
        </w:tc>
        <w:tc>
          <w:tcPr>
            <w:tcW w:w="632" w:type="pct"/>
            <w:tcBorders>
              <w:top w:val="single" w:sz="4" w:space="0" w:color="auto"/>
              <w:left w:val="nil"/>
              <w:bottom w:val="nil"/>
              <w:right w:val="nil"/>
            </w:tcBorders>
            <w:shd w:val="clear" w:color="auto" w:fill="D0CECE" w:themeFill="background2" w:themeFillShade="E6"/>
          </w:tcPr>
          <w:p w:rsidR="009D4DD9" w:rsidRPr="0051129D" w:rsidRDefault="009D4DD9" w:rsidP="009D4DD9">
            <w:pPr>
              <w:widowControl w:val="0"/>
              <w:autoSpaceDE w:val="0"/>
              <w:autoSpaceDN w:val="0"/>
              <w:adjustRightInd w:val="0"/>
              <w:spacing w:after="0" w:line="240" w:lineRule="auto"/>
              <w:jc w:val="center"/>
              <w:rPr>
                <w:rFonts w:ascii="Arial Narrow" w:hAnsi="Arial Narrow" w:cs="Times New Roman"/>
                <w:b/>
                <w:sz w:val="20"/>
                <w:szCs w:val="24"/>
              </w:rPr>
            </w:pPr>
            <w:r w:rsidRPr="0051129D">
              <w:rPr>
                <w:rFonts w:ascii="Arial Narrow" w:hAnsi="Arial Narrow" w:cs="Times New Roman"/>
                <w:b/>
                <w:sz w:val="20"/>
                <w:szCs w:val="24"/>
              </w:rPr>
              <w:t>Rwanda</w:t>
            </w:r>
          </w:p>
        </w:tc>
        <w:tc>
          <w:tcPr>
            <w:tcW w:w="632" w:type="pct"/>
            <w:tcBorders>
              <w:top w:val="single" w:sz="4" w:space="0" w:color="auto"/>
              <w:left w:val="nil"/>
              <w:bottom w:val="nil"/>
              <w:right w:val="nil"/>
            </w:tcBorders>
            <w:shd w:val="clear" w:color="auto" w:fill="D0CECE" w:themeFill="background2" w:themeFillShade="E6"/>
          </w:tcPr>
          <w:p w:rsidR="009D4DD9" w:rsidRPr="0051129D" w:rsidRDefault="009D4DD9" w:rsidP="009D4DD9">
            <w:pPr>
              <w:widowControl w:val="0"/>
              <w:autoSpaceDE w:val="0"/>
              <w:autoSpaceDN w:val="0"/>
              <w:adjustRightInd w:val="0"/>
              <w:spacing w:after="0" w:line="240" w:lineRule="auto"/>
              <w:jc w:val="center"/>
              <w:rPr>
                <w:rFonts w:ascii="Arial Narrow" w:hAnsi="Arial Narrow" w:cs="Times New Roman"/>
                <w:b/>
                <w:sz w:val="20"/>
                <w:szCs w:val="24"/>
              </w:rPr>
            </w:pPr>
            <w:r w:rsidRPr="0051129D">
              <w:rPr>
                <w:rFonts w:ascii="Arial Narrow" w:hAnsi="Arial Narrow" w:cs="Times New Roman"/>
                <w:b/>
                <w:sz w:val="20"/>
                <w:szCs w:val="24"/>
              </w:rPr>
              <w:t>Seychelles</w:t>
            </w:r>
          </w:p>
        </w:tc>
        <w:tc>
          <w:tcPr>
            <w:tcW w:w="629" w:type="pct"/>
            <w:tcBorders>
              <w:top w:val="single" w:sz="4" w:space="0" w:color="auto"/>
              <w:left w:val="nil"/>
              <w:bottom w:val="nil"/>
              <w:right w:val="nil"/>
            </w:tcBorders>
            <w:shd w:val="clear" w:color="auto" w:fill="D0CECE" w:themeFill="background2" w:themeFillShade="E6"/>
          </w:tcPr>
          <w:p w:rsidR="009D4DD9" w:rsidRPr="0051129D" w:rsidRDefault="009D4DD9" w:rsidP="0051129D">
            <w:pPr>
              <w:widowControl w:val="0"/>
              <w:autoSpaceDE w:val="0"/>
              <w:autoSpaceDN w:val="0"/>
              <w:adjustRightInd w:val="0"/>
              <w:spacing w:after="0" w:line="240" w:lineRule="auto"/>
              <w:jc w:val="both"/>
              <w:rPr>
                <w:rFonts w:ascii="Arial Narrow" w:hAnsi="Arial Narrow" w:cs="Times New Roman"/>
                <w:b/>
                <w:sz w:val="20"/>
                <w:szCs w:val="24"/>
              </w:rPr>
            </w:pPr>
            <w:r w:rsidRPr="0051129D">
              <w:rPr>
                <w:rFonts w:ascii="Arial Narrow" w:hAnsi="Arial Narrow" w:cs="Times New Roman"/>
                <w:b/>
                <w:sz w:val="18"/>
                <w:szCs w:val="24"/>
              </w:rPr>
              <w:t>South</w:t>
            </w:r>
            <w:r w:rsidR="006A1698" w:rsidRPr="0051129D">
              <w:rPr>
                <w:rFonts w:ascii="Arial Narrow" w:hAnsi="Arial Narrow" w:cs="Times New Roman"/>
                <w:b/>
                <w:sz w:val="18"/>
                <w:szCs w:val="24"/>
              </w:rPr>
              <w:t xml:space="preserve"> </w:t>
            </w:r>
            <w:r w:rsidRPr="0051129D">
              <w:rPr>
                <w:rFonts w:ascii="Arial Narrow" w:hAnsi="Arial Narrow" w:cs="Times New Roman"/>
                <w:b/>
                <w:sz w:val="18"/>
                <w:szCs w:val="24"/>
              </w:rPr>
              <w:t>Africa</w:t>
            </w:r>
          </w:p>
        </w:tc>
      </w:tr>
      <w:tr w:rsidR="009D4DD9" w:rsidRPr="006A1698" w:rsidTr="0051129D">
        <w:trPr>
          <w:trHeight w:val="260"/>
        </w:trPr>
        <w:tc>
          <w:tcPr>
            <w:tcW w:w="579"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29"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Fin_D</w:t>
            </w:r>
          </w:p>
        </w:tc>
        <w:tc>
          <w:tcPr>
            <w:tcW w:w="632" w:type="pct"/>
            <w:tcBorders>
              <w:top w:val="nil"/>
              <w:left w:val="nil"/>
              <w:bottom w:val="nil"/>
              <w:right w:val="nil"/>
            </w:tcBorders>
          </w:tcPr>
          <w:p w:rsidR="009D4DD9" w:rsidRPr="006A1698" w:rsidRDefault="002542C7" w:rsidP="009D4DD9">
            <w:pPr>
              <w:widowControl w:val="0"/>
              <w:autoSpaceDE w:val="0"/>
              <w:autoSpaceDN w:val="0"/>
              <w:adjustRightInd w:val="0"/>
              <w:spacing w:after="0" w:line="240" w:lineRule="auto"/>
              <w:jc w:val="center"/>
              <w:rPr>
                <w:rFonts w:ascii="Arial Narrow" w:hAnsi="Arial Narrow" w:cs="Times New Roman"/>
                <w:sz w:val="18"/>
                <w:szCs w:val="24"/>
              </w:rPr>
            </w:pPr>
            <w:r>
              <w:rPr>
                <w:rFonts w:ascii="Arial Narrow" w:hAnsi="Arial Narrow" w:cs="Times New Roman"/>
                <w:sz w:val="18"/>
                <w:szCs w:val="24"/>
              </w:rPr>
              <w:t>-</w:t>
            </w:r>
            <w:r w:rsidR="009D4DD9" w:rsidRPr="006A1698">
              <w:rPr>
                <w:rFonts w:ascii="Arial Narrow" w:hAnsi="Arial Narrow" w:cs="Times New Roman"/>
                <w:sz w:val="18"/>
                <w:szCs w:val="24"/>
              </w:rPr>
              <w:t>0.188</w:t>
            </w:r>
            <w:r w:rsidR="009D4DD9"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0.572</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-0.035</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-0.011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0.292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1.360</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-0.014</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(0.100)</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(0.222)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(0.070)</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(0.158)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(0.122)</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(0.140)</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Inf</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-0.171</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1.837</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1.089</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0.299</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0.052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-0.375</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-0.200</w:t>
            </w:r>
          </w:p>
        </w:tc>
      </w:tr>
      <w:tr w:rsidR="009D4DD9" w:rsidRPr="006A1698" w:rsidTr="0051129D">
        <w:trPr>
          <w:trHeight w:val="25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(0.094)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(0.288)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(0.158)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(0.116)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(0.137)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(0.029)</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(0.223)</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Remit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0.475</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5.696</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-0.271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-0.145</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0.189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5.395</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25568A"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w:t>
            </w:r>
            <w:r w:rsidR="009D4DD9" w:rsidRPr="006A1698">
              <w:rPr>
                <w:rFonts w:ascii="Arial Narrow" w:hAnsi="Arial Narrow" w:cs="Times New Roman"/>
                <w:sz w:val="18"/>
                <w:szCs w:val="24"/>
              </w:rPr>
              <w:t>.549</w:t>
            </w:r>
            <w:r w:rsidR="009D4DD9" w:rsidRPr="006A1698">
              <w:rPr>
                <w:rFonts w:ascii="Arial Narrow" w:hAnsi="Arial Narrow" w:cs="Times New Roman"/>
                <w:sz w:val="18"/>
                <w:szCs w:val="24"/>
                <w:vertAlign w:val="superscript"/>
              </w:rPr>
              <w:t>*</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(0.721)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(1.573)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(0.858)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(0.242)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(3.452)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(1.298)</w:t>
            </w:r>
          </w:p>
        </w:tc>
        <w:tc>
          <w:tcPr>
            <w:tcW w:w="629" w:type="pct"/>
            <w:tcBorders>
              <w:top w:val="nil"/>
              <w:left w:val="nil"/>
              <w:bottom w:val="nil"/>
              <w:right w:val="nil"/>
            </w:tcBorders>
          </w:tcPr>
          <w:p w:rsidR="009D4DD9" w:rsidRPr="006A1698" w:rsidRDefault="0025568A"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w:t>
            </w:r>
            <w:r w:rsidR="009D4DD9" w:rsidRPr="006A1698">
              <w:rPr>
                <w:rFonts w:ascii="Arial Narrow" w:hAnsi="Arial Narrow" w:cs="Times New Roman"/>
                <w:sz w:val="18"/>
                <w:szCs w:val="24"/>
              </w:rPr>
              <w:t>.525)</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5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Schol_Prim</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-0.007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-0.289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-0.169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0.066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0.617</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2.476</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-0.261</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(0.144)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(0.197)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(0.437)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(0.210)</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(0.242)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(0.212)</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(0.226)</w:t>
            </w:r>
          </w:p>
        </w:tc>
      </w:tr>
      <w:tr w:rsidR="009D4DD9" w:rsidRPr="005B224F"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Voic_acc</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-0.241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-0.181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-0.052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0.009</w:t>
            </w:r>
            <w:r w:rsidR="002542C7">
              <w:rPr>
                <w:rFonts w:ascii="Arial Narrow" w:hAnsi="Arial Narrow" w:cs="Times New Roman"/>
                <w:sz w:val="18"/>
                <w:szCs w:val="24"/>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0.327</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1.214</w:t>
            </w:r>
            <w:r w:rsidRPr="006A1698">
              <w:rPr>
                <w:rFonts w:ascii="Arial Narrow" w:hAnsi="Arial Narrow" w:cs="Times New Roman"/>
                <w:sz w:val="18"/>
                <w:szCs w:val="24"/>
                <w:vertAlign w:val="superscript"/>
              </w:rPr>
              <w:t>**</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(0.113)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(0.098)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(0.079)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(0.010)</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(0.023)</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(0.500)</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5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Polit_stab</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-0.004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1.028</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0.019</w:t>
            </w:r>
            <w:r w:rsidR="002542C7">
              <w:rPr>
                <w:rFonts w:ascii="Arial Narrow" w:hAnsi="Arial Narrow" w:cs="Times New Roman"/>
                <w:sz w:val="18"/>
                <w:szCs w:val="24"/>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0.123</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-0.027</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(0.171)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(0.123)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(0.050)</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(0.038)</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(0.045)</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Gvt_ef</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0.006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0.457</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0.265</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0.119</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0.235</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0.995</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-0.101</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(0.106)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(0.063)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(0.069)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(0.124)</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(0.103)</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5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Regul_qual</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2.098</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-0.143</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0.014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-0.025</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-0.040</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(0.026)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(0.121)</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(0.048)</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(0.102)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(0.036)</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(0.129)</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Rule_law</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0.065</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3.357</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-0.255</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-0.089</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0.084</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0.247</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0.199</w:t>
            </w:r>
            <w:r w:rsidRPr="006A1698">
              <w:rPr>
                <w:rFonts w:ascii="Arial Narrow" w:hAnsi="Arial Narrow" w:cs="Times New Roman"/>
                <w:sz w:val="18"/>
                <w:szCs w:val="24"/>
                <w:vertAlign w:val="superscript"/>
              </w:rPr>
              <w:t>***</w:t>
            </w: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(0.297)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(0.192)</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(0.086)</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(0.097)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(0.070)</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(0.060)</w:t>
            </w:r>
          </w:p>
        </w:tc>
      </w:tr>
      <w:tr w:rsidR="009D4DD9" w:rsidRPr="006A1698" w:rsidTr="0051129D">
        <w:trPr>
          <w:trHeight w:val="25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r>
      <w:tr w:rsidR="009D4DD9" w:rsidRPr="006A1698" w:rsidTr="0051129D">
        <w:trPr>
          <w:trHeight w:val="260"/>
        </w:trPr>
        <w:tc>
          <w:tcPr>
            <w:tcW w:w="57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t>control_cor</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0.083</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0.341</w:t>
            </w:r>
            <w:r w:rsidRPr="006A1698">
              <w:rPr>
                <w:rFonts w:ascii="Arial Narrow" w:hAnsi="Arial Narrow" w:cs="Times New Roman"/>
                <w:sz w:val="18"/>
                <w:szCs w:val="24"/>
                <w:vertAlign w:val="superscript"/>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0.057</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0.003</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0.007</w:t>
            </w:r>
            <w:r w:rsidR="00787960">
              <w:rPr>
                <w:rFonts w:ascii="Arial Narrow" w:hAnsi="Arial Narrow" w:cs="Times New Roman"/>
                <w:sz w:val="18"/>
                <w:szCs w:val="24"/>
              </w:rPr>
              <w:t>**</w:t>
            </w:r>
          </w:p>
        </w:tc>
        <w:tc>
          <w:tcPr>
            <w:tcW w:w="632"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0.111</w:t>
            </w:r>
            <w:r w:rsidRPr="006A1698">
              <w:rPr>
                <w:rFonts w:ascii="Arial Narrow" w:hAnsi="Arial Narrow" w:cs="Times New Roman"/>
                <w:sz w:val="18"/>
                <w:szCs w:val="24"/>
                <w:vertAlign w:val="superscript"/>
              </w:rPr>
              <w:t>***</w:t>
            </w:r>
          </w:p>
        </w:tc>
        <w:tc>
          <w:tcPr>
            <w:tcW w:w="629" w:type="pct"/>
            <w:tcBorders>
              <w:top w:val="nil"/>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0.063</w:t>
            </w:r>
          </w:p>
        </w:tc>
      </w:tr>
      <w:tr w:rsidR="009D4DD9" w:rsidRPr="006A1698" w:rsidTr="0051129D">
        <w:trPr>
          <w:trHeight w:val="260"/>
        </w:trPr>
        <w:tc>
          <w:tcPr>
            <w:tcW w:w="579"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(0.034)</w:t>
            </w: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(0.135)</w:t>
            </w: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(0.097)</w:t>
            </w: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(0.045)</w:t>
            </w: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w:t>
            </w:r>
            <w:r w:rsidR="00787960">
              <w:rPr>
                <w:rFonts w:ascii="Arial Narrow" w:hAnsi="Arial Narrow" w:cs="Times New Roman"/>
                <w:sz w:val="18"/>
                <w:szCs w:val="24"/>
              </w:rPr>
              <w:t>02</w:t>
            </w:r>
            <w:r w:rsidRPr="006A1698">
              <w:rPr>
                <w:rFonts w:ascii="Arial Narrow" w:hAnsi="Arial Narrow" w:cs="Times New Roman"/>
                <w:sz w:val="18"/>
                <w:szCs w:val="24"/>
              </w:rPr>
              <w:t>9)</w:t>
            </w: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(0.015)</w:t>
            </w:r>
          </w:p>
        </w:tc>
        <w:tc>
          <w:tcPr>
            <w:tcW w:w="629"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(0.058)</w:t>
            </w:r>
          </w:p>
        </w:tc>
      </w:tr>
      <w:tr w:rsidR="009D4DD9" w:rsidRPr="006A1698" w:rsidTr="0051129D">
        <w:trPr>
          <w:trHeight w:val="260"/>
        </w:trPr>
        <w:tc>
          <w:tcPr>
            <w:tcW w:w="579"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i/>
                <w:iCs/>
                <w:sz w:val="18"/>
                <w:szCs w:val="24"/>
              </w:rPr>
              <w:t>N</w:t>
            </w: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77</w:t>
            </w: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14</w:t>
            </w: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18</w:t>
            </w: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21</w:t>
            </w: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15</w:t>
            </w:r>
          </w:p>
        </w:tc>
        <w:tc>
          <w:tcPr>
            <w:tcW w:w="632"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20</w:t>
            </w:r>
          </w:p>
        </w:tc>
        <w:tc>
          <w:tcPr>
            <w:tcW w:w="629" w:type="pct"/>
            <w:tcBorders>
              <w:top w:val="single" w:sz="4" w:space="0" w:color="auto"/>
              <w:left w:val="nil"/>
              <w:bottom w:val="nil"/>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r w:rsidRPr="006A1698">
              <w:rPr>
                <w:rFonts w:ascii="Arial Narrow" w:hAnsi="Arial Narrow" w:cs="Times New Roman"/>
                <w:sz w:val="18"/>
                <w:szCs w:val="24"/>
              </w:rPr>
              <w:t>21</w:t>
            </w:r>
          </w:p>
        </w:tc>
      </w:tr>
      <w:tr w:rsidR="009D4DD9" w:rsidRPr="006A1698" w:rsidTr="0051129D">
        <w:trPr>
          <w:trHeight w:val="260"/>
        </w:trPr>
        <w:tc>
          <w:tcPr>
            <w:tcW w:w="579"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rPr>
                <w:rFonts w:ascii="Arial Narrow" w:hAnsi="Arial Narrow" w:cs="Times New Roman"/>
                <w:sz w:val="18"/>
                <w:szCs w:val="24"/>
              </w:rPr>
            </w:pPr>
            <w:r w:rsidRPr="006A1698">
              <w:rPr>
                <w:rFonts w:ascii="Arial Narrow" w:hAnsi="Arial Narrow" w:cs="Times New Roman"/>
                <w:sz w:val="18"/>
                <w:szCs w:val="24"/>
              </w:rPr>
              <w:lastRenderedPageBreak/>
              <w:t>Groups</w:t>
            </w: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32"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c>
          <w:tcPr>
            <w:tcW w:w="629" w:type="pct"/>
            <w:tcBorders>
              <w:top w:val="nil"/>
              <w:left w:val="nil"/>
              <w:bottom w:val="single" w:sz="4" w:space="0" w:color="auto"/>
              <w:right w:val="nil"/>
            </w:tcBorders>
          </w:tcPr>
          <w:p w:rsidR="009D4DD9" w:rsidRPr="006A1698" w:rsidRDefault="009D4DD9" w:rsidP="009D4DD9">
            <w:pPr>
              <w:widowControl w:val="0"/>
              <w:autoSpaceDE w:val="0"/>
              <w:autoSpaceDN w:val="0"/>
              <w:adjustRightInd w:val="0"/>
              <w:spacing w:after="0" w:line="240" w:lineRule="auto"/>
              <w:jc w:val="center"/>
              <w:rPr>
                <w:rFonts w:ascii="Arial Narrow" w:hAnsi="Arial Narrow" w:cs="Times New Roman"/>
                <w:sz w:val="18"/>
                <w:szCs w:val="24"/>
              </w:rPr>
            </w:pPr>
          </w:p>
        </w:tc>
      </w:tr>
    </w:tbl>
    <w:p w:rsidR="002F4F82" w:rsidRPr="002F4F82" w:rsidRDefault="002F4F82" w:rsidP="002F4F82">
      <w:pPr>
        <w:widowControl w:val="0"/>
        <w:autoSpaceDE w:val="0"/>
        <w:autoSpaceDN w:val="0"/>
        <w:adjustRightInd w:val="0"/>
        <w:spacing w:after="0" w:line="240" w:lineRule="auto"/>
        <w:rPr>
          <w:rFonts w:ascii="Arial Narrow" w:hAnsi="Arial Narrow" w:cs="Times New Roman"/>
          <w:sz w:val="16"/>
          <w:szCs w:val="20"/>
        </w:rPr>
      </w:pPr>
      <w:r w:rsidRPr="002F4F82">
        <w:rPr>
          <w:rFonts w:ascii="Arial Narrow" w:hAnsi="Arial Narrow" w:cs="Times New Roman"/>
          <w:sz w:val="16"/>
          <w:szCs w:val="20"/>
        </w:rPr>
        <w:t>Standard errors in parentheses</w:t>
      </w:r>
    </w:p>
    <w:p w:rsidR="002F4F82" w:rsidRDefault="002F4F82" w:rsidP="002F4F82">
      <w:pPr>
        <w:widowControl w:val="0"/>
        <w:autoSpaceDE w:val="0"/>
        <w:autoSpaceDN w:val="0"/>
        <w:adjustRightInd w:val="0"/>
        <w:spacing w:after="0" w:line="240" w:lineRule="auto"/>
        <w:rPr>
          <w:rFonts w:ascii="Arial Narrow" w:hAnsi="Arial Narrow" w:cs="Times New Roman"/>
          <w:sz w:val="16"/>
          <w:szCs w:val="20"/>
        </w:rPr>
      </w:pPr>
      <w:r w:rsidRPr="002F4F82">
        <w:rPr>
          <w:rFonts w:ascii="Arial Narrow" w:hAnsi="Arial Narrow" w:cs="Times New Roman"/>
          <w:sz w:val="16"/>
          <w:szCs w:val="20"/>
          <w:vertAlign w:val="superscript"/>
        </w:rPr>
        <w:t>*</w:t>
      </w:r>
      <w:r w:rsidRPr="002F4F82">
        <w:rPr>
          <w:rFonts w:ascii="Arial Narrow" w:hAnsi="Arial Narrow" w:cs="Times New Roman"/>
          <w:sz w:val="16"/>
          <w:szCs w:val="20"/>
        </w:rPr>
        <w:t xml:space="preserve"> </w:t>
      </w:r>
      <w:r w:rsidRPr="002F4F82">
        <w:rPr>
          <w:rFonts w:ascii="Arial Narrow" w:hAnsi="Arial Narrow" w:cs="Times New Roman"/>
          <w:i/>
          <w:iCs/>
          <w:sz w:val="16"/>
          <w:szCs w:val="20"/>
        </w:rPr>
        <w:t>p</w:t>
      </w:r>
      <w:r w:rsidRPr="002F4F82">
        <w:rPr>
          <w:rFonts w:ascii="Arial Narrow" w:hAnsi="Arial Narrow" w:cs="Times New Roman"/>
          <w:sz w:val="16"/>
          <w:szCs w:val="20"/>
        </w:rPr>
        <w:t xml:space="preserve"> &lt; 0.1, </w:t>
      </w:r>
      <w:r w:rsidRPr="002F4F82">
        <w:rPr>
          <w:rFonts w:ascii="Arial Narrow" w:hAnsi="Arial Narrow" w:cs="Times New Roman"/>
          <w:sz w:val="16"/>
          <w:szCs w:val="20"/>
          <w:vertAlign w:val="superscript"/>
        </w:rPr>
        <w:t>**</w:t>
      </w:r>
      <w:r w:rsidRPr="002F4F82">
        <w:rPr>
          <w:rFonts w:ascii="Arial Narrow" w:hAnsi="Arial Narrow" w:cs="Times New Roman"/>
          <w:sz w:val="16"/>
          <w:szCs w:val="20"/>
        </w:rPr>
        <w:t xml:space="preserve"> </w:t>
      </w:r>
      <w:r w:rsidRPr="002F4F82">
        <w:rPr>
          <w:rFonts w:ascii="Arial Narrow" w:hAnsi="Arial Narrow" w:cs="Times New Roman"/>
          <w:i/>
          <w:iCs/>
          <w:sz w:val="16"/>
          <w:szCs w:val="20"/>
        </w:rPr>
        <w:t>p</w:t>
      </w:r>
      <w:r w:rsidRPr="002F4F82">
        <w:rPr>
          <w:rFonts w:ascii="Arial Narrow" w:hAnsi="Arial Narrow" w:cs="Times New Roman"/>
          <w:sz w:val="16"/>
          <w:szCs w:val="20"/>
        </w:rPr>
        <w:t xml:space="preserve"> &lt; 0.05, </w:t>
      </w:r>
      <w:r w:rsidRPr="002F4F82">
        <w:rPr>
          <w:rFonts w:ascii="Arial Narrow" w:hAnsi="Arial Narrow" w:cs="Times New Roman"/>
          <w:sz w:val="16"/>
          <w:szCs w:val="20"/>
          <w:vertAlign w:val="superscript"/>
        </w:rPr>
        <w:t>***</w:t>
      </w:r>
      <w:r w:rsidRPr="002F4F82">
        <w:rPr>
          <w:rFonts w:ascii="Arial Narrow" w:hAnsi="Arial Narrow" w:cs="Times New Roman"/>
          <w:sz w:val="16"/>
          <w:szCs w:val="20"/>
        </w:rPr>
        <w:t xml:space="preserve"> </w:t>
      </w:r>
      <w:r w:rsidRPr="002F4F82">
        <w:rPr>
          <w:rFonts w:ascii="Arial Narrow" w:hAnsi="Arial Narrow" w:cs="Times New Roman"/>
          <w:i/>
          <w:iCs/>
          <w:sz w:val="16"/>
          <w:szCs w:val="20"/>
        </w:rPr>
        <w:t>p</w:t>
      </w:r>
      <w:r w:rsidRPr="002F4F82">
        <w:rPr>
          <w:rFonts w:ascii="Arial Narrow" w:hAnsi="Arial Narrow" w:cs="Times New Roman"/>
          <w:sz w:val="16"/>
          <w:szCs w:val="20"/>
        </w:rPr>
        <w:t xml:space="preserve"> &lt; 0.01</w:t>
      </w:r>
    </w:p>
    <w:p w:rsidR="00CE13F1" w:rsidRPr="00CE13F1" w:rsidRDefault="00CE13F1" w:rsidP="00CE13F1">
      <w:pPr>
        <w:rPr>
          <w:b/>
          <w:vertAlign w:val="subscript"/>
        </w:rPr>
      </w:pPr>
      <w:r w:rsidRPr="00206401">
        <w:rPr>
          <w:rFonts w:ascii="Arial Narrow" w:hAnsi="Arial Narrow"/>
          <w:b/>
        </w:rPr>
        <w:t xml:space="preserve">Source: </w:t>
      </w:r>
      <w:r w:rsidRPr="003A0A6B">
        <w:rPr>
          <w:rFonts w:ascii="Arial Narrow" w:hAnsi="Arial Narrow"/>
        </w:rPr>
        <w:t>Author’s own computation</w:t>
      </w:r>
    </w:p>
    <w:p w:rsidR="0078323F" w:rsidRPr="0078323F" w:rsidRDefault="0078323F" w:rsidP="0051129D">
      <w:pPr>
        <w:spacing w:before="100" w:beforeAutospacing="1" w:after="100" w:afterAutospacing="1" w:line="276" w:lineRule="auto"/>
        <w:jc w:val="both"/>
        <w:rPr>
          <w:rFonts w:ascii="Arial Narrow" w:eastAsia="Times New Roman" w:hAnsi="Arial Narrow" w:cs="Times New Roman"/>
        </w:rPr>
      </w:pPr>
      <w:r w:rsidRPr="0078323F">
        <w:rPr>
          <w:rFonts w:ascii="Arial Narrow" w:eastAsia="Times New Roman" w:hAnsi="Arial Narrow" w:cs="Times New Roman"/>
        </w:rPr>
        <w:t>The estimated results</w:t>
      </w:r>
      <w:r w:rsidR="00224284">
        <w:rPr>
          <w:rFonts w:ascii="Arial Narrow" w:eastAsia="Times New Roman" w:hAnsi="Arial Narrow" w:cs="Times New Roman"/>
        </w:rPr>
        <w:t xml:space="preserve"> from table 5</w:t>
      </w:r>
      <w:r w:rsidRPr="0078323F">
        <w:rPr>
          <w:rFonts w:ascii="Arial Narrow" w:eastAsia="Times New Roman" w:hAnsi="Arial Narrow" w:cs="Times New Roman"/>
        </w:rPr>
        <w:t xml:space="preserve"> highlight</w:t>
      </w:r>
      <w:r w:rsidR="00224284">
        <w:rPr>
          <w:rFonts w:ascii="Arial Narrow" w:eastAsia="Times New Roman" w:hAnsi="Arial Narrow" w:cs="Times New Roman"/>
        </w:rPr>
        <w:t>s</w:t>
      </w:r>
      <w:r w:rsidRPr="0078323F">
        <w:rPr>
          <w:rFonts w:ascii="Arial Narrow" w:eastAsia="Times New Roman" w:hAnsi="Arial Narrow" w:cs="Times New Roman"/>
        </w:rPr>
        <w:t xml:space="preserve"> the significant relationships between GDP growth and its key determinants across selected African countries and the panel as a whole. Financial development significantly influences GDP growth in South Africa and Botswana, with a positive coefficient of 1.36% and 0.572%, respectively, indicating its role in fostering economic activities through improved credit access and resource allocation. However, at the panel level, financial development negatively affects growth, with a coefficient of -0.188%, suggesting inefficiencies or challenges in certain countries. Inflation has a significant positive effect on GDP growth in Botswana and Mauritius, with coefficients of 1.837% and 1.089%, respectively, suggesting that inflation levels in these countries might reflect healthy economic demand. In contrast, South Africa demonstrates a negative relationship (-0.375%), underscoring the potential adverse effects of inflation on growth. Remittances significantly boost GDP growth in Botswana (5.696%) and South Africa (5.395%), showcasing their importance as a source of external financing for consumption and investment.</w:t>
      </w:r>
    </w:p>
    <w:p w:rsidR="009D4DD9" w:rsidRDefault="0078323F" w:rsidP="0051129D">
      <w:pPr>
        <w:spacing w:before="100" w:beforeAutospacing="1" w:after="100" w:afterAutospacing="1" w:line="276" w:lineRule="auto"/>
        <w:jc w:val="both"/>
        <w:rPr>
          <w:rFonts w:ascii="Arial Narrow" w:eastAsia="Times New Roman" w:hAnsi="Arial Narrow" w:cs="Times New Roman"/>
        </w:rPr>
      </w:pPr>
      <w:r w:rsidRPr="0078323F">
        <w:rPr>
          <w:rFonts w:ascii="Arial Narrow" w:eastAsia="Times New Roman" w:hAnsi="Arial Narrow" w:cs="Times New Roman"/>
        </w:rPr>
        <w:t>Institutional quality emerges as a critical determinant of economic growth. Government effectiveness significantly enhances GDP growth in Mauritius, Seychelles, South Africa, and Rwanda, with coefficients ranging from 0.119% to 0.995%, emphasizing the role of effective governance in promoting economic stability and investor confidence. Regulatory quality is a significant driver in Botswana (2.098%) but negatively affects growth in Mauritius (-0.143%), reflecting variations in regulatory environments. Rule of law significantly impacts GDP growth in Botswana (3.357%), South Africa (0.247%), and the panel (0.065%), highlighting the importance of legal certainty and property rights. Control of corruption has significant positive effects in Botswana, Seychelles, and South Africa, with panel-wide effects of 0.083%, underlining the economic gains from reducing corruption and improving institutional trust. Overall, the findings demonstrate that both macroeconomic factors and institutional quality play pivotal roles in shaping GDP growth across countries.</w:t>
      </w:r>
    </w:p>
    <w:p w:rsidR="00934A6E" w:rsidRPr="005C715D" w:rsidRDefault="00934A6E" w:rsidP="005C715D">
      <w:pPr>
        <w:pStyle w:val="NormalWeb"/>
        <w:spacing w:line="276" w:lineRule="auto"/>
        <w:jc w:val="center"/>
        <w:rPr>
          <w:rFonts w:ascii="Arial Narrow" w:hAnsi="Arial Narrow"/>
          <w:b/>
          <w:sz w:val="22"/>
          <w:szCs w:val="22"/>
        </w:rPr>
      </w:pPr>
      <w:r w:rsidRPr="005C715D">
        <w:rPr>
          <w:rFonts w:ascii="Arial Narrow" w:hAnsi="Arial Narrow"/>
          <w:b/>
          <w:sz w:val="22"/>
          <w:szCs w:val="22"/>
        </w:rPr>
        <w:t>Table 6: Interaction between Institution Quality and AI Readiness on Growth Dynamics</w:t>
      </w:r>
    </w:p>
    <w:tbl>
      <w:tblPr>
        <w:tblW w:w="9294" w:type="dxa"/>
        <w:tblLook w:val="0000" w:firstRow="0" w:lastRow="0" w:firstColumn="0" w:lastColumn="0" w:noHBand="0" w:noVBand="0"/>
      </w:tblPr>
      <w:tblGrid>
        <w:gridCol w:w="1531"/>
        <w:gridCol w:w="850"/>
        <w:gridCol w:w="1111"/>
        <w:gridCol w:w="1265"/>
        <w:gridCol w:w="1061"/>
        <w:gridCol w:w="947"/>
        <w:gridCol w:w="1194"/>
        <w:gridCol w:w="1335"/>
      </w:tblGrid>
      <w:tr w:rsidR="00D62138" w:rsidRPr="00784B86" w:rsidTr="00D62138">
        <w:trPr>
          <w:trHeight w:val="276"/>
        </w:trPr>
        <w:tc>
          <w:tcPr>
            <w:tcW w:w="0" w:type="auto"/>
            <w:tcBorders>
              <w:top w:val="single" w:sz="4" w:space="0" w:color="auto"/>
              <w:left w:val="nil"/>
              <w:bottom w:val="nil"/>
              <w:right w:val="nil"/>
            </w:tcBorders>
            <w:shd w:val="clear" w:color="auto" w:fill="D0CECE" w:themeFill="background2" w:themeFillShade="E6"/>
          </w:tcPr>
          <w:p w:rsidR="00DD1539" w:rsidRPr="00D62138" w:rsidRDefault="00DD1539" w:rsidP="005C715D">
            <w:pPr>
              <w:widowControl w:val="0"/>
              <w:autoSpaceDE w:val="0"/>
              <w:autoSpaceDN w:val="0"/>
              <w:adjustRightInd w:val="0"/>
              <w:spacing w:after="0" w:line="20" w:lineRule="atLeast"/>
              <w:rPr>
                <w:rFonts w:ascii="Arial Narrow" w:hAnsi="Arial Narrow" w:cs="Times New Roman"/>
                <w:sz w:val="20"/>
                <w:szCs w:val="24"/>
              </w:rPr>
            </w:pP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Panel</w:t>
            </w: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Botswana</w:t>
            </w: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Cabo</w:t>
            </w:r>
            <w:r w:rsidR="00D62138" w:rsidRPr="0051129D">
              <w:rPr>
                <w:rFonts w:ascii="Arial Narrow" w:hAnsi="Arial Narrow" w:cs="Times New Roman"/>
                <w:b/>
                <w:sz w:val="20"/>
                <w:szCs w:val="24"/>
              </w:rPr>
              <w:t xml:space="preserve"> </w:t>
            </w:r>
            <w:r w:rsidRPr="0051129D">
              <w:rPr>
                <w:rFonts w:ascii="Arial Narrow" w:hAnsi="Arial Narrow" w:cs="Times New Roman"/>
                <w:b/>
                <w:sz w:val="20"/>
                <w:szCs w:val="24"/>
              </w:rPr>
              <w:t>Verde</w:t>
            </w: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Mauritius</w:t>
            </w: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Rwanda</w:t>
            </w: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Seychelles</w:t>
            </w:r>
          </w:p>
        </w:tc>
        <w:tc>
          <w:tcPr>
            <w:tcW w:w="0" w:type="auto"/>
            <w:tcBorders>
              <w:top w:val="single" w:sz="4" w:space="0" w:color="auto"/>
              <w:left w:val="nil"/>
              <w:bottom w:val="nil"/>
              <w:right w:val="nil"/>
            </w:tcBorders>
            <w:shd w:val="clear" w:color="auto" w:fill="D0CECE" w:themeFill="background2" w:themeFillShade="E6"/>
          </w:tcPr>
          <w:p w:rsidR="00DD1539" w:rsidRPr="0051129D" w:rsidRDefault="00DD1539" w:rsidP="005C715D">
            <w:pPr>
              <w:widowControl w:val="0"/>
              <w:autoSpaceDE w:val="0"/>
              <w:autoSpaceDN w:val="0"/>
              <w:adjustRightInd w:val="0"/>
              <w:spacing w:after="0" w:line="20" w:lineRule="atLeast"/>
              <w:rPr>
                <w:rFonts w:ascii="Arial Narrow" w:hAnsi="Arial Narrow" w:cs="Times New Roman"/>
                <w:b/>
                <w:sz w:val="20"/>
                <w:szCs w:val="24"/>
              </w:rPr>
            </w:pPr>
            <w:r w:rsidRPr="0051129D">
              <w:rPr>
                <w:rFonts w:ascii="Arial Narrow" w:hAnsi="Arial Narrow" w:cs="Times New Roman"/>
                <w:b/>
                <w:sz w:val="20"/>
                <w:szCs w:val="24"/>
              </w:rPr>
              <w:t>South</w:t>
            </w:r>
            <w:r w:rsidR="00D62138" w:rsidRPr="0051129D">
              <w:rPr>
                <w:rFonts w:ascii="Arial Narrow" w:hAnsi="Arial Narrow" w:cs="Times New Roman"/>
                <w:b/>
                <w:sz w:val="20"/>
                <w:szCs w:val="24"/>
              </w:rPr>
              <w:t xml:space="preserve"> </w:t>
            </w:r>
            <w:r w:rsidRPr="0051129D">
              <w:rPr>
                <w:rFonts w:ascii="Arial Narrow" w:hAnsi="Arial Narrow" w:cs="Times New Roman"/>
                <w:b/>
                <w:sz w:val="20"/>
                <w:szCs w:val="24"/>
              </w:rPr>
              <w:t>Africa</w:t>
            </w:r>
          </w:p>
        </w:tc>
      </w:tr>
      <w:tr w:rsidR="002F4F82" w:rsidRPr="00784B86" w:rsidTr="00D62138">
        <w:trPr>
          <w:trHeight w:val="276"/>
        </w:trPr>
        <w:tc>
          <w:tcPr>
            <w:tcW w:w="0" w:type="auto"/>
            <w:tcBorders>
              <w:top w:val="single" w:sz="4" w:space="0" w:color="auto"/>
              <w:left w:val="nil"/>
              <w:bottom w:val="nil"/>
              <w:right w:val="nil"/>
            </w:tcBorders>
          </w:tcPr>
          <w:p w:rsidR="00DD1539" w:rsidRPr="005C715D" w:rsidRDefault="00DD1539" w:rsidP="005C715D">
            <w:pPr>
              <w:widowControl w:val="0"/>
              <w:autoSpaceDE w:val="0"/>
              <w:autoSpaceDN w:val="0"/>
              <w:adjustRightInd w:val="0"/>
              <w:spacing w:after="0" w:line="20" w:lineRule="atLeast"/>
              <w:rPr>
                <w:rFonts w:ascii="Arial Narrow" w:hAnsi="Arial Narrow" w:cs="Times New Roman"/>
                <w:sz w:val="2"/>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76"/>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Fin_D</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0.187***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0.572**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-0.187*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-0.098</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0.292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1.360***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0.005</w:t>
            </w:r>
          </w:p>
        </w:tc>
      </w:tr>
      <w:tr w:rsidR="002F4F82" w:rsidRPr="00784B86" w:rsidTr="00D62138">
        <w:trPr>
          <w:trHeight w:val="276"/>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(0.050)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(0.084)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(0.060)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(0.158)</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(0.122)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(0.049)</w:t>
            </w:r>
          </w:p>
        </w:tc>
      </w:tr>
      <w:tr w:rsidR="002F4F82" w:rsidRPr="00784B86" w:rsidTr="00D62138">
        <w:trPr>
          <w:trHeight w:val="276"/>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68"/>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Inf</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-0.181*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1.837***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0.987***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0.298***</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0.052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-0.375***</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-0.178**</w:t>
            </w:r>
          </w:p>
        </w:tc>
      </w:tr>
      <w:tr w:rsidR="002F4F82" w:rsidRPr="00784B86" w:rsidTr="00D62138">
        <w:trPr>
          <w:trHeight w:val="276"/>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(0.094)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(0.288)</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(0.048)</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(0.137)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(0.029)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(0.060)</w:t>
            </w:r>
          </w:p>
        </w:tc>
      </w:tr>
      <w:tr w:rsidR="002F4F82" w:rsidRPr="00784B86" w:rsidTr="00D62138">
        <w:trPr>
          <w:trHeight w:val="276"/>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76"/>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Remit</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0.434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5.696**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0.475*</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0.067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0.189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5.395***</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1.062***</w:t>
            </w:r>
          </w:p>
        </w:tc>
      </w:tr>
      <w:tr w:rsidR="002F4F82" w:rsidRPr="00784B86" w:rsidTr="00D62138">
        <w:trPr>
          <w:trHeight w:val="268"/>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(0.719)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(1.573)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(0.233)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(0.166)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(3.452)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(1.298)</w:t>
            </w:r>
          </w:p>
        </w:tc>
        <w:tc>
          <w:tcPr>
            <w:tcW w:w="0" w:type="auto"/>
            <w:tcBorders>
              <w:top w:val="nil"/>
              <w:left w:val="nil"/>
              <w:bottom w:val="nil"/>
              <w:right w:val="nil"/>
            </w:tcBorders>
          </w:tcPr>
          <w:p w:rsidR="00DD1539" w:rsidRPr="00D62138" w:rsidRDefault="00DD1539" w:rsidP="005C715D">
            <w:pPr>
              <w:widowControl w:val="0"/>
              <w:autoSpaceDE w:val="0"/>
              <w:autoSpaceDN w:val="0"/>
              <w:adjustRightInd w:val="0"/>
              <w:spacing w:after="0" w:line="20" w:lineRule="atLeast"/>
              <w:rPr>
                <w:rFonts w:ascii="Arial Narrow" w:hAnsi="Arial Narrow" w:cs="Times New Roman"/>
                <w:b/>
                <w:sz w:val="18"/>
                <w:szCs w:val="24"/>
              </w:rPr>
            </w:pPr>
            <w:r w:rsidRPr="00784B86">
              <w:rPr>
                <w:rFonts w:ascii="Arial Narrow" w:hAnsi="Arial Narrow" w:cs="Times New Roman"/>
                <w:sz w:val="18"/>
                <w:szCs w:val="24"/>
              </w:rPr>
              <w:t>(1.039)</w:t>
            </w:r>
          </w:p>
        </w:tc>
      </w:tr>
      <w:tr w:rsidR="002F4F82" w:rsidRPr="00784B86" w:rsidTr="00D62138">
        <w:trPr>
          <w:trHeight w:val="157"/>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Schol_Prim</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0.035</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-0.289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0.147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-0.805</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0.617*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2.476***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-0.017</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(0.144)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(0.197)</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(0.159)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(0.482)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(0.242)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(0.212)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(0.026)</w:t>
            </w:r>
          </w:p>
        </w:tc>
      </w:tr>
      <w:tr w:rsidR="002F4F82" w:rsidRPr="00784B86" w:rsidTr="00D62138">
        <w:trPr>
          <w:trHeight w:val="243"/>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Voic_acc</w:t>
            </w:r>
            <w:r w:rsidR="002F4F82" w:rsidRPr="00784B86">
              <w:rPr>
                <w:rFonts w:ascii="Arial Narrow" w:hAnsi="Arial Narrow" w:cs="Times New Roman"/>
                <w:sz w:val="18"/>
                <w:szCs w:val="24"/>
              </w:rPr>
              <w:t xml:space="preserve"> x </w:t>
            </w:r>
            <w:r w:rsidRPr="00784B86">
              <w:rPr>
                <w:rFonts w:ascii="Arial Narrow" w:hAnsi="Arial Narrow" w:cs="Times New Roman"/>
                <w:sz w:val="18"/>
                <w:szCs w:val="24"/>
              </w:rPr>
              <w:t>AIR</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2542C7" w:rsidP="005C715D">
            <w:pPr>
              <w:widowControl w:val="0"/>
              <w:autoSpaceDE w:val="0"/>
              <w:autoSpaceDN w:val="0"/>
              <w:adjustRightInd w:val="0"/>
              <w:spacing w:after="0" w:line="20" w:lineRule="atLeast"/>
              <w:rPr>
                <w:rFonts w:ascii="Arial Narrow" w:hAnsi="Arial Narrow" w:cs="Times New Roman"/>
                <w:sz w:val="18"/>
                <w:szCs w:val="24"/>
              </w:rPr>
            </w:pPr>
            <w:r>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-0.030***</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Polit_stab</w:t>
            </w:r>
            <w:r w:rsidR="002F4F82" w:rsidRPr="00784B86">
              <w:rPr>
                <w:rFonts w:ascii="Arial Narrow" w:hAnsi="Arial Narrow" w:cs="Times New Roman"/>
                <w:sz w:val="18"/>
                <w:szCs w:val="24"/>
              </w:rPr>
              <w:t xml:space="preserve"> x </w:t>
            </w:r>
            <w:r w:rsidRPr="00784B86">
              <w:rPr>
                <w:rFonts w:ascii="Arial Narrow" w:hAnsi="Arial Narrow" w:cs="Times New Roman"/>
                <w:sz w:val="18"/>
                <w:szCs w:val="24"/>
              </w:rPr>
              <w:t>AIR</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0.026***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r>
      <w:tr w:rsidR="002F4F82" w:rsidRPr="00784B86" w:rsidTr="00D62138">
        <w:trPr>
          <w:trHeight w:val="243"/>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Gvt_ef</w:t>
            </w:r>
            <w:r w:rsidR="002F4F82" w:rsidRPr="00784B86">
              <w:rPr>
                <w:rFonts w:ascii="Arial Narrow" w:hAnsi="Arial Narrow" w:cs="Times New Roman"/>
                <w:sz w:val="18"/>
                <w:szCs w:val="24"/>
              </w:rPr>
              <w:t xml:space="preserve"> x </w:t>
            </w:r>
            <w:r w:rsidRPr="00784B86">
              <w:rPr>
                <w:rFonts w:ascii="Arial Narrow" w:hAnsi="Arial Narrow" w:cs="Times New Roman"/>
                <w:sz w:val="18"/>
                <w:szCs w:val="24"/>
              </w:rPr>
              <w:t>AIR</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0.012**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0.005**</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0.026***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43"/>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Regul_qual</w:t>
            </w:r>
            <w:r w:rsidR="002F4F82" w:rsidRPr="00784B86">
              <w:rPr>
                <w:rFonts w:ascii="Arial Narrow" w:hAnsi="Arial Narrow" w:cs="Times New Roman"/>
                <w:sz w:val="18"/>
                <w:szCs w:val="24"/>
              </w:rPr>
              <w:t xml:space="preserve"> x </w:t>
            </w:r>
            <w:r w:rsidRPr="00784B86">
              <w:rPr>
                <w:rFonts w:ascii="Arial Narrow" w:hAnsi="Arial Narrow" w:cs="Times New Roman"/>
                <w:sz w:val="18"/>
                <w:szCs w:val="24"/>
              </w:rPr>
              <w:t>AIR</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0.054***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0.004***</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Rule_law</w:t>
            </w:r>
            <w:r w:rsidR="002F4F82" w:rsidRPr="00784B86">
              <w:rPr>
                <w:rFonts w:ascii="Arial Narrow" w:hAnsi="Arial Narrow" w:cs="Times New Roman"/>
                <w:sz w:val="18"/>
                <w:szCs w:val="24"/>
              </w:rPr>
              <w:t xml:space="preserve"> x </w:t>
            </w:r>
            <w:r w:rsidRPr="00784B86">
              <w:rPr>
                <w:rFonts w:ascii="Arial Narrow" w:hAnsi="Arial Narrow" w:cs="Times New Roman"/>
                <w:sz w:val="18"/>
                <w:szCs w:val="24"/>
              </w:rPr>
              <w:t>AIR</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0.086***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0.010***</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r w:rsidR="002542C7">
              <w:rPr>
                <w:rFonts w:ascii="Arial Narrow" w:hAnsi="Arial Narrow" w:cs="Times New Roman"/>
                <w:sz w:val="18"/>
                <w:szCs w:val="24"/>
              </w:rPr>
              <w:t>**</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0.004***</w:t>
            </w: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(0.008)</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2542C7" w:rsidP="005C715D">
            <w:pPr>
              <w:widowControl w:val="0"/>
              <w:autoSpaceDE w:val="0"/>
              <w:autoSpaceDN w:val="0"/>
              <w:adjustRightInd w:val="0"/>
              <w:spacing w:after="0" w:line="20" w:lineRule="atLeast"/>
              <w:rPr>
                <w:rFonts w:ascii="Arial Narrow" w:hAnsi="Arial Narrow" w:cs="Times New Roman"/>
                <w:sz w:val="18"/>
                <w:szCs w:val="24"/>
              </w:rPr>
            </w:pPr>
            <w:r>
              <w:rPr>
                <w:rFonts w:ascii="Arial Narrow" w:hAnsi="Arial Narrow" w:cs="Times New Roman"/>
                <w:sz w:val="18"/>
                <w:szCs w:val="24"/>
              </w:rPr>
              <w:t>(0.01</w:t>
            </w:r>
            <w:r w:rsidR="00DD1539" w:rsidRPr="00784B86">
              <w:rPr>
                <w:rFonts w:ascii="Arial Narrow" w:hAnsi="Arial Narrow" w:cs="Times New Roman"/>
                <w:sz w:val="18"/>
                <w:szCs w:val="24"/>
              </w:rPr>
              <w:t>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r>
      <w:tr w:rsidR="002F4F82" w:rsidRPr="00784B86" w:rsidTr="00D62138">
        <w:trPr>
          <w:trHeight w:val="243"/>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r w:rsidR="002F4F82" w:rsidRPr="00784B86" w:rsidTr="00D62138">
        <w:trPr>
          <w:trHeight w:val="252"/>
        </w:trPr>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control_cor</w:t>
            </w:r>
            <w:r w:rsidR="002F4F82" w:rsidRPr="00784B86">
              <w:rPr>
                <w:rFonts w:ascii="Arial Narrow" w:hAnsi="Arial Narrow" w:cs="Times New Roman"/>
                <w:sz w:val="18"/>
                <w:szCs w:val="24"/>
              </w:rPr>
              <w:t xml:space="preserve"> x </w:t>
            </w:r>
            <w:r w:rsidRPr="00784B86">
              <w:rPr>
                <w:rFonts w:ascii="Arial Narrow" w:hAnsi="Arial Narrow" w:cs="Times New Roman"/>
                <w:sz w:val="18"/>
                <w:szCs w:val="24"/>
              </w:rPr>
              <w:t>AIR</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0.009*</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0.006*</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nil"/>
              <w:right w:val="nil"/>
            </w:tcBorders>
          </w:tcPr>
          <w:p w:rsidR="00DD1539" w:rsidRPr="00784B86" w:rsidRDefault="002542C7" w:rsidP="005C715D">
            <w:pPr>
              <w:widowControl w:val="0"/>
              <w:autoSpaceDE w:val="0"/>
              <w:autoSpaceDN w:val="0"/>
              <w:adjustRightInd w:val="0"/>
              <w:spacing w:after="0" w:line="20" w:lineRule="atLeast"/>
              <w:rPr>
                <w:rFonts w:ascii="Arial Narrow" w:hAnsi="Arial Narrow" w:cs="Times New Roman"/>
                <w:sz w:val="18"/>
                <w:szCs w:val="24"/>
              </w:rPr>
            </w:pPr>
            <w:r>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0.002***</w:t>
            </w:r>
          </w:p>
        </w:tc>
      </w:tr>
      <w:tr w:rsidR="002F4F82" w:rsidRPr="00784B86" w:rsidTr="00D62138">
        <w:trPr>
          <w:trHeight w:val="252"/>
        </w:trPr>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(0.003)</w:t>
            </w: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(0.001)</w:t>
            </w:r>
          </w:p>
        </w:tc>
        <w:tc>
          <w:tcPr>
            <w:tcW w:w="0" w:type="auto"/>
            <w:tcBorders>
              <w:top w:val="nil"/>
              <w:left w:val="nil"/>
              <w:bottom w:val="single" w:sz="4" w:space="0" w:color="auto"/>
              <w:right w:val="nil"/>
            </w:tcBorders>
          </w:tcPr>
          <w:p w:rsidR="00DD1539" w:rsidRPr="00784B86" w:rsidRDefault="002542C7" w:rsidP="005C715D">
            <w:pPr>
              <w:widowControl w:val="0"/>
              <w:autoSpaceDE w:val="0"/>
              <w:autoSpaceDN w:val="0"/>
              <w:adjustRightInd w:val="0"/>
              <w:spacing w:after="0" w:line="20" w:lineRule="atLeast"/>
              <w:rPr>
                <w:rFonts w:ascii="Arial Narrow" w:hAnsi="Arial Narrow" w:cs="Times New Roman"/>
                <w:sz w:val="18"/>
                <w:szCs w:val="24"/>
              </w:rPr>
            </w:pPr>
            <w:r>
              <w:rPr>
                <w:rFonts w:ascii="Arial Narrow" w:hAnsi="Arial Narrow" w:cs="Times New Roman"/>
                <w:sz w:val="18"/>
                <w:szCs w:val="24"/>
              </w:rPr>
              <w:t>(0.01</w:t>
            </w:r>
            <w:r w:rsidR="00DD1539" w:rsidRPr="00784B86">
              <w:rPr>
                <w:rFonts w:ascii="Arial Narrow" w:hAnsi="Arial Narrow" w:cs="Times New Roman"/>
                <w:sz w:val="18"/>
                <w:szCs w:val="24"/>
              </w:rPr>
              <w:t>5)</w:t>
            </w: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(0.000)</w:t>
            </w:r>
          </w:p>
        </w:tc>
      </w:tr>
      <w:tr w:rsidR="002F4F82" w:rsidRPr="00784B86" w:rsidTr="00D62138">
        <w:trPr>
          <w:trHeight w:val="252"/>
        </w:trPr>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N</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77</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14</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18</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21</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15</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20</w:t>
            </w:r>
          </w:p>
        </w:tc>
        <w:tc>
          <w:tcPr>
            <w:tcW w:w="0" w:type="auto"/>
            <w:tcBorders>
              <w:top w:val="single" w:sz="4" w:space="0" w:color="auto"/>
              <w:left w:val="nil"/>
              <w:bottom w:val="nil"/>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21</w:t>
            </w:r>
          </w:p>
        </w:tc>
      </w:tr>
      <w:tr w:rsidR="002F4F82" w:rsidRPr="00784B86" w:rsidTr="00D62138">
        <w:trPr>
          <w:trHeight w:val="252"/>
        </w:trPr>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r w:rsidRPr="00784B86">
              <w:rPr>
                <w:rFonts w:ascii="Arial Narrow" w:hAnsi="Arial Narrow" w:cs="Times New Roman"/>
                <w:sz w:val="18"/>
                <w:szCs w:val="24"/>
              </w:rPr>
              <w:t>Groups</w:t>
            </w: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c>
          <w:tcPr>
            <w:tcW w:w="0" w:type="auto"/>
            <w:tcBorders>
              <w:top w:val="nil"/>
              <w:left w:val="nil"/>
              <w:bottom w:val="single" w:sz="4" w:space="0" w:color="auto"/>
              <w:right w:val="nil"/>
            </w:tcBorders>
          </w:tcPr>
          <w:p w:rsidR="00DD1539" w:rsidRPr="00784B86" w:rsidRDefault="00DD1539" w:rsidP="005C715D">
            <w:pPr>
              <w:widowControl w:val="0"/>
              <w:autoSpaceDE w:val="0"/>
              <w:autoSpaceDN w:val="0"/>
              <w:adjustRightInd w:val="0"/>
              <w:spacing w:after="0" w:line="20" w:lineRule="atLeast"/>
              <w:rPr>
                <w:rFonts w:ascii="Arial Narrow" w:hAnsi="Arial Narrow" w:cs="Times New Roman"/>
                <w:sz w:val="18"/>
                <w:szCs w:val="24"/>
              </w:rPr>
            </w:pPr>
          </w:p>
        </w:tc>
      </w:tr>
    </w:tbl>
    <w:p w:rsidR="00DD1539" w:rsidRPr="00784B86" w:rsidRDefault="00DD1539" w:rsidP="00DD1539">
      <w:pPr>
        <w:widowControl w:val="0"/>
        <w:autoSpaceDE w:val="0"/>
        <w:autoSpaceDN w:val="0"/>
        <w:adjustRightInd w:val="0"/>
        <w:spacing w:after="0" w:line="240" w:lineRule="auto"/>
        <w:rPr>
          <w:rFonts w:ascii="Arial Narrow" w:hAnsi="Arial Narrow" w:cs="Times New Roman"/>
          <w:sz w:val="18"/>
          <w:szCs w:val="24"/>
        </w:rPr>
      </w:pPr>
      <w:r w:rsidRPr="00784B86">
        <w:rPr>
          <w:rFonts w:ascii="Arial Narrow" w:hAnsi="Arial Narrow" w:cs="Times New Roman"/>
          <w:sz w:val="18"/>
          <w:szCs w:val="24"/>
        </w:rPr>
        <w:t>Standard errors in parentheses</w:t>
      </w:r>
    </w:p>
    <w:p w:rsidR="00DD1539" w:rsidRPr="00784B86" w:rsidRDefault="00DD1539" w:rsidP="00DD1539">
      <w:pPr>
        <w:widowControl w:val="0"/>
        <w:autoSpaceDE w:val="0"/>
        <w:autoSpaceDN w:val="0"/>
        <w:adjustRightInd w:val="0"/>
        <w:spacing w:after="0" w:line="240" w:lineRule="auto"/>
        <w:rPr>
          <w:rFonts w:ascii="Arial Narrow" w:hAnsi="Arial Narrow" w:cs="Times New Roman"/>
          <w:sz w:val="18"/>
          <w:szCs w:val="24"/>
        </w:rPr>
      </w:pPr>
      <w:r w:rsidRPr="00784B86">
        <w:rPr>
          <w:rFonts w:ascii="Arial Narrow" w:hAnsi="Arial Narrow" w:cs="Times New Roman"/>
          <w:sz w:val="18"/>
          <w:szCs w:val="24"/>
        </w:rPr>
        <w:t>* p &lt; 0.1, ** p &lt; 0.05, *** p &lt; 0.01</w:t>
      </w:r>
    </w:p>
    <w:p w:rsidR="00CE13F1" w:rsidRDefault="00CE13F1" w:rsidP="00CE13F1">
      <w:pPr>
        <w:rPr>
          <w:b/>
          <w:vertAlign w:val="subscript"/>
        </w:rPr>
      </w:pPr>
      <w:r w:rsidRPr="00206401">
        <w:rPr>
          <w:rFonts w:ascii="Arial Narrow" w:hAnsi="Arial Narrow"/>
          <w:b/>
        </w:rPr>
        <w:t xml:space="preserve">Source: </w:t>
      </w:r>
      <w:r w:rsidRPr="003A0A6B">
        <w:rPr>
          <w:rFonts w:ascii="Arial Narrow" w:hAnsi="Arial Narrow"/>
        </w:rPr>
        <w:t>Author’s own computation</w:t>
      </w:r>
    </w:p>
    <w:p w:rsidR="0078323F" w:rsidRPr="0078323F" w:rsidRDefault="00224284" w:rsidP="00403B48">
      <w:pPr>
        <w:spacing w:before="100" w:beforeAutospacing="1" w:after="100" w:afterAutospacing="1" w:line="276" w:lineRule="auto"/>
        <w:jc w:val="both"/>
        <w:rPr>
          <w:rFonts w:ascii="Arial Narrow" w:eastAsia="Times New Roman" w:hAnsi="Arial Narrow" w:cs="Times New Roman"/>
        </w:rPr>
      </w:pPr>
      <w:r>
        <w:rPr>
          <w:rFonts w:ascii="Arial Narrow" w:eastAsia="Times New Roman" w:hAnsi="Arial Narrow" w:cs="Times New Roman"/>
        </w:rPr>
        <w:t xml:space="preserve">Table 6 indicates the </w:t>
      </w:r>
      <w:r w:rsidR="0078323F" w:rsidRPr="0078323F">
        <w:rPr>
          <w:rFonts w:ascii="Arial Narrow" w:eastAsia="Times New Roman" w:hAnsi="Arial Narrow" w:cs="Times New Roman"/>
        </w:rPr>
        <w:t xml:space="preserve"> interaction effects between institutional variables and AI readiness reveal varying impacts on GDP growt</w:t>
      </w:r>
      <w:r w:rsidR="004A5A0F">
        <w:rPr>
          <w:rFonts w:ascii="Arial Narrow" w:eastAsia="Times New Roman" w:hAnsi="Arial Narrow" w:cs="Times New Roman"/>
        </w:rPr>
        <w:t>h across the countries analyzed</w:t>
      </w:r>
      <w:r w:rsidR="0078323F" w:rsidRPr="0078323F">
        <w:rPr>
          <w:rFonts w:ascii="Arial Narrow" w:eastAsia="Times New Roman" w:hAnsi="Arial Narrow" w:cs="Times New Roman"/>
        </w:rPr>
        <w:t xml:space="preserve">. The interaction of </w:t>
      </w:r>
      <w:r w:rsidR="0078323F" w:rsidRPr="00934A6E">
        <w:rPr>
          <w:rFonts w:ascii="Arial Narrow" w:eastAsia="Times New Roman" w:hAnsi="Arial Narrow" w:cs="Times New Roman"/>
          <w:bCs/>
        </w:rPr>
        <w:t>voice of accountability (Voic_acc)</w:t>
      </w:r>
      <w:r w:rsidR="0078323F" w:rsidRPr="0078323F">
        <w:rPr>
          <w:rFonts w:ascii="Arial Narrow" w:eastAsia="Times New Roman" w:hAnsi="Arial Narrow" w:cs="Times New Roman"/>
        </w:rPr>
        <w:t xml:space="preserve"> with AI readiness shows significant positive effects in Seychelles (0.001) and significant negative effects in South Africa (-0.030) and Mauritius (-0.004). In Rwanda, the interaction is insignificant, suggesting that AI readiness may not yet fully complement accountability structures, potentially due to the nascent stage of AI adoption in governance frameworks. This points to opportunities for Rwanda to further integrate AI systems into mechanisms that enhance transparency and public participation.</w:t>
      </w:r>
    </w:p>
    <w:p w:rsidR="0078323F" w:rsidRPr="00934A6E" w:rsidRDefault="0078323F" w:rsidP="00403B48">
      <w:pPr>
        <w:spacing w:before="100" w:beforeAutospacing="1" w:after="100" w:afterAutospacing="1" w:line="276" w:lineRule="auto"/>
        <w:jc w:val="both"/>
        <w:rPr>
          <w:rFonts w:ascii="Arial Narrow" w:eastAsia="Times New Roman" w:hAnsi="Arial Narrow" w:cs="Times New Roman"/>
        </w:rPr>
      </w:pPr>
      <w:r w:rsidRPr="0078323F">
        <w:rPr>
          <w:rFonts w:ascii="Arial Narrow" w:eastAsia="Times New Roman" w:hAnsi="Arial Narrow" w:cs="Times New Roman"/>
        </w:rPr>
        <w:t xml:space="preserve">The interaction of </w:t>
      </w:r>
      <w:r w:rsidRPr="00934A6E">
        <w:rPr>
          <w:rFonts w:ascii="Arial Narrow" w:eastAsia="Times New Roman" w:hAnsi="Arial Narrow" w:cs="Times New Roman"/>
          <w:bCs/>
        </w:rPr>
        <w:t>political stability (Polit_stab)</w:t>
      </w:r>
      <w:r w:rsidRPr="0078323F">
        <w:rPr>
          <w:rFonts w:ascii="Arial Narrow" w:eastAsia="Times New Roman" w:hAnsi="Arial Narrow" w:cs="Times New Roman"/>
        </w:rPr>
        <w:t xml:space="preserve"> with AI readiness is significantly positive in Botswana (0.026) and Mauritius (0.002) but insignificant in Rwanda, indicating that while politically stable environments can leverage AI for economic growth, the benefits may not yet be realized in Rwanda. Similarly, </w:t>
      </w:r>
      <w:r w:rsidRPr="00934A6E">
        <w:rPr>
          <w:rFonts w:ascii="Arial Narrow" w:eastAsia="Times New Roman" w:hAnsi="Arial Narrow" w:cs="Times New Roman"/>
          <w:bCs/>
        </w:rPr>
        <w:t>government effectiveness (Gvt_ef)</w:t>
      </w:r>
      <w:r w:rsidRPr="0078323F">
        <w:rPr>
          <w:rFonts w:ascii="Arial Narrow" w:eastAsia="Times New Roman" w:hAnsi="Arial Narrow" w:cs="Times New Roman"/>
        </w:rPr>
        <w:t xml:space="preserve"> interacts positively with AI readiness in Rwanda (0.004), signifying that improvements in governance quality enhance the capacity to harness AI for better public administration and economic outcomes. However, this effect is modest compared to countries like Botswana (0.012) and Seychelles (0.005).</w:t>
      </w:r>
      <w:r w:rsidR="00934A6E">
        <w:rPr>
          <w:rFonts w:ascii="Arial Narrow" w:eastAsia="Times New Roman" w:hAnsi="Arial Narrow" w:cs="Times New Roman"/>
        </w:rPr>
        <w:t xml:space="preserve"> </w:t>
      </w:r>
      <w:r w:rsidRPr="0078323F">
        <w:rPr>
          <w:rFonts w:ascii="Arial Narrow" w:eastAsia="Times New Roman" w:hAnsi="Arial Narrow" w:cs="Times New Roman"/>
        </w:rPr>
        <w:t xml:space="preserve">For </w:t>
      </w:r>
      <w:r w:rsidRPr="00934A6E">
        <w:rPr>
          <w:rFonts w:ascii="Arial Narrow" w:eastAsia="Times New Roman" w:hAnsi="Arial Narrow" w:cs="Times New Roman"/>
        </w:rPr>
        <w:t>regulatory quality (Regul_qual)</w:t>
      </w:r>
      <w:r w:rsidRPr="0078323F">
        <w:rPr>
          <w:rFonts w:ascii="Arial Narrow" w:eastAsia="Times New Roman" w:hAnsi="Arial Narrow" w:cs="Times New Roman"/>
        </w:rPr>
        <w:t xml:space="preserve">, the interaction with AI readiness is positive and significant in Rwanda (0.002), reflecting that regulatory improvements contribute to better AI integration in driving growth. This aligns with the broader trend in countries like Botswana and Mauritius, though the magnitude in Rwanda suggests that regulatory frameworks still have room for optimization to maximize the benefits of AI. Finally, the interaction of </w:t>
      </w:r>
      <w:r w:rsidRPr="00934A6E">
        <w:rPr>
          <w:rFonts w:ascii="Arial Narrow" w:eastAsia="Times New Roman" w:hAnsi="Arial Narrow" w:cs="Times New Roman"/>
        </w:rPr>
        <w:t>control of corruption (control_cor)</w:t>
      </w:r>
      <w:r w:rsidRPr="0078323F">
        <w:rPr>
          <w:rFonts w:ascii="Arial Narrow" w:eastAsia="Times New Roman" w:hAnsi="Arial Narrow" w:cs="Times New Roman"/>
        </w:rPr>
        <w:t xml:space="preserve"> with AI readiness in Rwanda is insignificant, contrasting with its significance in countries like South Africa (0.003) and Seychelles (0.003). This may indicate that while Rwanda has made strides in anti-corruption measures, the synergies between AI and corruption control are not yet fully realized.</w:t>
      </w:r>
    </w:p>
    <w:p w:rsidR="0078323F" w:rsidRDefault="0078323F" w:rsidP="00403B48">
      <w:pPr>
        <w:spacing w:before="100" w:beforeAutospacing="1" w:after="100" w:afterAutospacing="1" w:line="276" w:lineRule="auto"/>
        <w:jc w:val="both"/>
        <w:rPr>
          <w:rFonts w:ascii="Arial Narrow" w:eastAsia="Times New Roman" w:hAnsi="Arial Narrow" w:cs="Times New Roman"/>
        </w:rPr>
      </w:pPr>
      <w:r w:rsidRPr="00934A6E">
        <w:rPr>
          <w:rFonts w:ascii="Arial Narrow" w:eastAsia="Times New Roman" w:hAnsi="Arial Narrow" w:cs="Times New Roman"/>
        </w:rPr>
        <w:t xml:space="preserve"> The integration of AI readiness through its interaction with institutional variables highlights significant effects across countries. For example, </w:t>
      </w:r>
      <w:r w:rsidRPr="00934A6E">
        <w:rPr>
          <w:rFonts w:ascii="Arial Narrow" w:eastAsia="Times New Roman" w:hAnsi="Arial Narrow" w:cs="Times New Roman"/>
          <w:bCs/>
        </w:rPr>
        <w:t>government effectiveness (Gvt_ef x AIR)</w:t>
      </w:r>
      <w:r w:rsidRPr="00934A6E">
        <w:rPr>
          <w:rFonts w:ascii="Arial Narrow" w:eastAsia="Times New Roman" w:hAnsi="Arial Narrow" w:cs="Times New Roman"/>
        </w:rPr>
        <w:t xml:space="preserve"> shows a positive and significant impact in Botswana, Mauritius, and Rwanda, indicating that AI readiness enhances the role of efficient governance in promoting economic growth. Similarly, </w:t>
      </w:r>
      <w:r w:rsidRPr="00934A6E">
        <w:rPr>
          <w:rFonts w:ascii="Arial Narrow" w:eastAsia="Times New Roman" w:hAnsi="Arial Narrow" w:cs="Times New Roman"/>
          <w:bCs/>
        </w:rPr>
        <w:t>regulatory quality (Regul_qual x AIR)</w:t>
      </w:r>
      <w:r w:rsidRPr="00934A6E">
        <w:rPr>
          <w:rFonts w:ascii="Arial Narrow" w:eastAsia="Times New Roman" w:hAnsi="Arial Narrow" w:cs="Times New Roman"/>
        </w:rPr>
        <w:t xml:space="preserve"> is significantly positive in Mauritius and Rwanda, reflecting that AI readiness strengthens the regulatory environment's contribution to economic outcomes. The </w:t>
      </w:r>
      <w:r w:rsidRPr="00934A6E">
        <w:rPr>
          <w:rFonts w:ascii="Arial Narrow" w:eastAsia="Times New Roman" w:hAnsi="Arial Narrow" w:cs="Times New Roman"/>
          <w:bCs/>
        </w:rPr>
        <w:t>rule of law (Rule_law x AIR)</w:t>
      </w:r>
      <w:r w:rsidRPr="00934A6E">
        <w:rPr>
          <w:rFonts w:ascii="Arial Narrow" w:eastAsia="Times New Roman" w:hAnsi="Arial Narrow" w:cs="Times New Roman"/>
        </w:rPr>
        <w:t xml:space="preserve"> interaction term is also significant in Mauritius and Seychelles, emphasizing the importance of aligning AI </w:t>
      </w:r>
      <w:r w:rsidRPr="00934A6E">
        <w:rPr>
          <w:rFonts w:ascii="Arial Narrow" w:eastAsia="Times New Roman" w:hAnsi="Arial Narrow" w:cs="Times New Roman"/>
        </w:rPr>
        <w:lastRenderedPageBreak/>
        <w:t xml:space="preserve">advancements with legal and institutional frameworks. In Rwanda, while </w:t>
      </w:r>
      <w:r w:rsidRPr="00934A6E">
        <w:rPr>
          <w:rFonts w:ascii="Arial Narrow" w:eastAsia="Times New Roman" w:hAnsi="Arial Narrow" w:cs="Times New Roman"/>
          <w:bCs/>
        </w:rPr>
        <w:t>government effectiveness and regulatory quality interactions</w:t>
      </w:r>
      <w:r w:rsidRPr="00934A6E">
        <w:rPr>
          <w:rFonts w:ascii="Arial Narrow" w:eastAsia="Times New Roman" w:hAnsi="Arial Narrow" w:cs="Times New Roman"/>
        </w:rPr>
        <w:t xml:space="preserve"> are positive and significant, the </w:t>
      </w:r>
      <w:r w:rsidR="00CA52D9" w:rsidRPr="00CA52D9">
        <w:rPr>
          <w:rFonts w:ascii="Arial Narrow" w:eastAsia="Times New Roman" w:hAnsi="Arial Narrow" w:cs="Times New Roman"/>
        </w:rPr>
        <w:t xml:space="preserve">limited </w:t>
      </w:r>
      <w:r w:rsidRPr="00934A6E">
        <w:rPr>
          <w:rFonts w:ascii="Arial Narrow" w:eastAsia="Times New Roman" w:hAnsi="Arial Narrow" w:cs="Times New Roman"/>
        </w:rPr>
        <w:t>significance in other areas suggests the need to better integrate AI readiness into broader institutional reforms to maximize its economic benefits. These findings underscore the transformative role of AI readiness when combined with strong institutional foundations.</w:t>
      </w:r>
    </w:p>
    <w:p w:rsidR="00DA502C" w:rsidRDefault="00DA502C" w:rsidP="0078323F">
      <w:pPr>
        <w:spacing w:before="100" w:beforeAutospacing="1" w:after="100" w:afterAutospacing="1" w:line="240" w:lineRule="auto"/>
        <w:jc w:val="both"/>
        <w:rPr>
          <w:rFonts w:ascii="Arial Narrow" w:eastAsia="Times New Roman" w:hAnsi="Arial Narrow" w:cs="Times New Roman"/>
        </w:rPr>
      </w:pPr>
    </w:p>
    <w:p w:rsidR="00DA502C" w:rsidRPr="00CE13F1" w:rsidRDefault="00DA502C" w:rsidP="00DA502C">
      <w:pPr>
        <w:pStyle w:val="NormalWeb"/>
        <w:numPr>
          <w:ilvl w:val="0"/>
          <w:numId w:val="2"/>
        </w:numPr>
        <w:spacing w:line="276" w:lineRule="auto"/>
        <w:rPr>
          <w:rFonts w:ascii="Arial Narrow" w:hAnsi="Arial Narrow"/>
          <w:b/>
        </w:rPr>
      </w:pPr>
      <w:r w:rsidRPr="00CE13F1">
        <w:rPr>
          <w:rFonts w:ascii="Arial Narrow" w:hAnsi="Arial Narrow"/>
          <w:b/>
        </w:rPr>
        <w:t>Conclusion</w:t>
      </w:r>
    </w:p>
    <w:p w:rsidR="00DA502C" w:rsidRPr="00AE0FBA" w:rsidRDefault="00DA502C" w:rsidP="00BD656C">
      <w:pPr>
        <w:spacing w:before="100" w:beforeAutospacing="1" w:after="100" w:afterAutospacing="1" w:line="276" w:lineRule="auto"/>
        <w:jc w:val="both"/>
        <w:rPr>
          <w:rFonts w:ascii="Arial Narrow" w:eastAsia="Times New Roman" w:hAnsi="Arial Narrow" w:cs="Times New Roman"/>
        </w:rPr>
      </w:pPr>
      <w:r w:rsidRPr="00AE0FBA">
        <w:rPr>
          <w:rFonts w:ascii="Arial Narrow" w:eastAsia="Times New Roman" w:hAnsi="Arial Narrow" w:cs="Times New Roman"/>
        </w:rPr>
        <w:t xml:space="preserve">This study examines the relationship between institutional quality and economic growth in Sub-Saharan Africa (SSA), focusing on how artificial intelligence (AI) readiness influences economic performance. It explores the interaction between institutional quality and AI readiness, emphasizing their combined effects on critical economic indicators such as credit to the private sector, gross capital formation, GDP growth, and trade openness. The ultimate objective is to provide actionable policy recommendations that promote institutional reforms, technological adoption, and sustainable economic development in the region. The research employs a panel data approach, utilizing both Fixed Effects (FE) and Bias-Corrected </w:t>
      </w:r>
      <w:r w:rsidR="00612CF0">
        <w:rPr>
          <w:rFonts w:ascii="Arial Narrow" w:eastAsia="Times New Roman" w:hAnsi="Arial Narrow" w:cs="Times New Roman"/>
        </w:rPr>
        <w:t>Dynamic Panel</w:t>
      </w:r>
      <w:r w:rsidR="00B35A4E">
        <w:rPr>
          <w:rFonts w:ascii="Arial Narrow" w:eastAsia="Times New Roman" w:hAnsi="Arial Narrow" w:cs="Times New Roman"/>
        </w:rPr>
        <w:t xml:space="preserve"> </w:t>
      </w:r>
      <w:r w:rsidR="00612CF0">
        <w:rPr>
          <w:rFonts w:ascii="Arial Narrow" w:eastAsia="Times New Roman" w:hAnsi="Arial Narrow" w:cs="Times New Roman"/>
        </w:rPr>
        <w:t>(BC-GMM</w:t>
      </w:r>
      <w:r w:rsidRPr="00AE0FBA">
        <w:rPr>
          <w:rFonts w:ascii="Arial Narrow" w:eastAsia="Times New Roman" w:hAnsi="Arial Narrow" w:cs="Times New Roman"/>
        </w:rPr>
        <w:t>) models to account for unobserved heterogeneity and potential biases in small samples. A static panel model is used to investigate direct relationships between the variables, while a dynamic panel model incorporates lagged variables to capture persistence in economic trends. Key variables include measures of institutional quality, AI readiness, financial development, education, and macroeconomic indicators.</w:t>
      </w:r>
    </w:p>
    <w:p w:rsidR="00DA502C" w:rsidRPr="00AE0FBA" w:rsidRDefault="00DA502C" w:rsidP="00BD656C">
      <w:pPr>
        <w:spacing w:before="100" w:beforeAutospacing="1" w:after="100" w:afterAutospacing="1" w:line="276" w:lineRule="auto"/>
        <w:jc w:val="both"/>
        <w:rPr>
          <w:rFonts w:ascii="Arial Narrow" w:eastAsia="Times New Roman" w:hAnsi="Arial Narrow" w:cs="Times New Roman"/>
        </w:rPr>
      </w:pPr>
      <w:r w:rsidRPr="00AE0FBA">
        <w:rPr>
          <w:rFonts w:ascii="Arial Narrow" w:eastAsia="Times New Roman" w:hAnsi="Arial Narrow" w:cs="Times New Roman"/>
        </w:rPr>
        <w:t>The findings reveal that financial development significantly drives credit to the private sector and trade openness, underscoring its critical role in resource mobilization and global market integration. Institutional quality, particularly regulatory quality and voice of accountability, emerges as a key determinant of gross capital formation and trade openness, reflecting the importance of sound governance and transparency. Human capital development, measured through primary school enrollment, is strongly associated with GDP growth, highlighting the need for investment in education. Moreover, the interaction between institutional quality and AI readiness demonstrates a positive impact on growth dynamics, indicating that robust institutions are essential for leveraging technological innovations effectively. The study also finds evidence of persistence in financial and trade systems, with lagged variables for credit and trade openness showing significant path dependency.</w:t>
      </w:r>
    </w:p>
    <w:p w:rsidR="00DA502C" w:rsidRPr="00AE0FBA" w:rsidRDefault="00DA502C" w:rsidP="00BD656C">
      <w:pPr>
        <w:spacing w:before="100" w:beforeAutospacing="1" w:after="100" w:afterAutospacing="1" w:line="276" w:lineRule="auto"/>
        <w:jc w:val="both"/>
        <w:rPr>
          <w:rFonts w:ascii="Arial Narrow" w:eastAsia="Times New Roman" w:hAnsi="Arial Narrow" w:cs="Times New Roman"/>
        </w:rPr>
      </w:pPr>
      <w:r w:rsidRPr="00AE0FBA">
        <w:rPr>
          <w:rFonts w:ascii="Arial Narrow" w:eastAsia="Times New Roman" w:hAnsi="Arial Narrow" w:cs="Times New Roman"/>
        </w:rPr>
        <w:t>The robustness checks further reinforce these findings by focusing on the top-performing countries in terms of institutional development, including Botswana, Mauritius, Seychelles</w:t>
      </w:r>
      <w:r w:rsidR="00B35A4E">
        <w:rPr>
          <w:rFonts w:ascii="Arial Narrow" w:eastAsia="Times New Roman" w:hAnsi="Arial Narrow" w:cs="Times New Roman"/>
        </w:rPr>
        <w:t>,</w:t>
      </w:r>
      <w:r w:rsidRPr="00AE0FBA">
        <w:rPr>
          <w:rFonts w:ascii="Arial Narrow" w:eastAsia="Times New Roman" w:hAnsi="Arial Narrow" w:cs="Times New Roman"/>
        </w:rPr>
        <w:t xml:space="preserve"> and Rwanda</w:t>
      </w:r>
      <w:r w:rsidR="009E71F6" w:rsidRPr="00AE0FBA">
        <w:rPr>
          <w:rFonts w:ascii="Arial Narrow" w:eastAsia="Times New Roman" w:hAnsi="Arial Narrow" w:cs="Times New Roman"/>
        </w:rPr>
        <w:t xml:space="preserve"> among others</w:t>
      </w:r>
      <w:r w:rsidRPr="00AE0FBA">
        <w:rPr>
          <w:rFonts w:ascii="Arial Narrow" w:eastAsia="Times New Roman" w:hAnsi="Arial Narrow" w:cs="Times New Roman"/>
        </w:rPr>
        <w:t>. In these contexts, the interaction between institutional quality and AI readiness shows a stronger and more consistent positive effect on growth, confirming the transformative potential of well-governed environments. For Rwanda, while the interaction between government effectiveness, regulatory quality, and AI readiness yields positive contributions to growth, the effects remain modest. This highlights the need for sustained institutional reforms and deeper integration of AI technologies to fully realize Rwa</w:t>
      </w:r>
      <w:r w:rsidR="00B35A4E">
        <w:rPr>
          <w:rFonts w:ascii="Arial Narrow" w:eastAsia="Times New Roman" w:hAnsi="Arial Narrow" w:cs="Times New Roman"/>
        </w:rPr>
        <w:t>nda's growth potential. The limited si</w:t>
      </w:r>
      <w:r w:rsidRPr="00AE0FBA">
        <w:rPr>
          <w:rFonts w:ascii="Arial Narrow" w:eastAsia="Times New Roman" w:hAnsi="Arial Narrow" w:cs="Times New Roman"/>
        </w:rPr>
        <w:t>gnificant interaction effects for voice of accountability and control of corruption further suggest that targeted measures are required to align AI capabilities with governance mechanisms effectively.</w:t>
      </w:r>
    </w:p>
    <w:p w:rsidR="00DA502C" w:rsidRPr="00AE0FBA" w:rsidRDefault="00DA502C" w:rsidP="00BD656C">
      <w:pPr>
        <w:spacing w:before="100" w:beforeAutospacing="1" w:after="100" w:afterAutospacing="1" w:line="276" w:lineRule="auto"/>
        <w:jc w:val="both"/>
        <w:rPr>
          <w:rFonts w:ascii="Arial Narrow" w:eastAsia="Times New Roman" w:hAnsi="Arial Narrow" w:cs="Times New Roman"/>
        </w:rPr>
      </w:pPr>
      <w:r w:rsidRPr="00AE0FBA">
        <w:rPr>
          <w:rFonts w:ascii="Arial Narrow" w:eastAsia="Times New Roman" w:hAnsi="Arial Narrow" w:cs="Times New Roman"/>
        </w:rPr>
        <w:t>To foster economic growth, policymakers should prioritize</w:t>
      </w:r>
      <w:r w:rsidR="00B35A4E">
        <w:rPr>
          <w:rFonts w:ascii="Arial Narrow" w:eastAsia="Times New Roman" w:hAnsi="Arial Narrow" w:cs="Times New Roman"/>
        </w:rPr>
        <w:t xml:space="preserve"> further</w:t>
      </w:r>
      <w:r w:rsidRPr="00AE0FBA">
        <w:rPr>
          <w:rFonts w:ascii="Arial Narrow" w:eastAsia="Times New Roman" w:hAnsi="Arial Narrow" w:cs="Times New Roman"/>
        </w:rPr>
        <w:t xml:space="preserve"> institutional reforms that strengthen regulatory frameworks, enhance transparency, and reduce uncertainty in the business environment. AI adoption should be supported through policies that encourage the integration of AI technologies into key sectors such as agriculture, healthcare, and finance. This can be complemented by training programs aimed at improving digital literacy and AI-related skills. Investment in human capital is also crucial, with </w:t>
      </w:r>
      <w:r w:rsidR="00B35A4E">
        <w:rPr>
          <w:rFonts w:ascii="Arial Narrow" w:eastAsia="Times New Roman" w:hAnsi="Arial Narrow" w:cs="Times New Roman"/>
        </w:rPr>
        <w:t xml:space="preserve">an </w:t>
      </w:r>
      <w:r w:rsidRPr="00AE0FBA">
        <w:rPr>
          <w:rFonts w:ascii="Arial Narrow" w:eastAsia="Times New Roman" w:hAnsi="Arial Narrow" w:cs="Times New Roman"/>
        </w:rPr>
        <w:t xml:space="preserve">emphasis on expanding access to quality education </w:t>
      </w:r>
      <w:r w:rsidRPr="00AE0FBA">
        <w:rPr>
          <w:rFonts w:ascii="Arial Narrow" w:eastAsia="Times New Roman" w:hAnsi="Arial Narrow" w:cs="Times New Roman"/>
        </w:rPr>
        <w:lastRenderedPageBreak/>
        <w:t>and vocational training to enhance labor productivity and adaptability. Additionally, financial development should be promoted by increasing access to financial services and encouraging public-private partnerships to mobilize resources for infrastructure development.</w:t>
      </w:r>
    </w:p>
    <w:p w:rsidR="003529AD" w:rsidRPr="00AE0FBA" w:rsidRDefault="00DA502C" w:rsidP="00BD656C">
      <w:pPr>
        <w:spacing w:before="100" w:beforeAutospacing="1" w:after="100" w:afterAutospacing="1" w:line="276" w:lineRule="auto"/>
        <w:jc w:val="both"/>
        <w:rPr>
          <w:rFonts w:ascii="Arial Narrow" w:eastAsia="Times New Roman" w:hAnsi="Arial Narrow" w:cs="Times New Roman"/>
        </w:rPr>
      </w:pPr>
      <w:r w:rsidRPr="00AE0FBA">
        <w:rPr>
          <w:rFonts w:ascii="Arial Narrow" w:eastAsia="Times New Roman" w:hAnsi="Arial Narrow" w:cs="Times New Roman"/>
        </w:rPr>
        <w:t>Future research should explore larger datasets that cover more countries and longer timeframes to improve the generalizability of findings. Sectoral analyses could provide deeper insights into how institutional quality and AI readiness impact specific industries. Evaluating the effectiveness of policy interventions aimed at improving institutional quality and AI adoption in SSA would also be valuable. These avenues would enrich our understanding of how institutional and technological factors contribute to sustainable development in SSA</w:t>
      </w:r>
      <w:r w:rsidR="009E71F6" w:rsidRPr="00AE0FBA">
        <w:rPr>
          <w:rFonts w:ascii="Arial Narrow" w:eastAsia="Times New Roman" w:hAnsi="Arial Narrow" w:cs="Times New Roman"/>
        </w:rPr>
        <w:t>.</w:t>
      </w:r>
    </w:p>
    <w:p w:rsidR="00CE13F1" w:rsidRDefault="00CE13F1" w:rsidP="00BD656C">
      <w:pPr>
        <w:spacing w:before="100" w:beforeAutospacing="1" w:after="100" w:afterAutospacing="1" w:line="276" w:lineRule="auto"/>
        <w:jc w:val="both"/>
        <w:rPr>
          <w:rFonts w:ascii="Arial Narrow" w:eastAsia="Times New Roman" w:hAnsi="Arial Narrow" w:cs="Times New Roman"/>
        </w:rPr>
      </w:pPr>
    </w:p>
    <w:p w:rsidR="00886CE4" w:rsidRDefault="00886CE4" w:rsidP="000E5D63">
      <w:pPr>
        <w:spacing w:before="100" w:beforeAutospacing="1" w:after="100" w:afterAutospacing="1" w:line="240" w:lineRule="auto"/>
        <w:jc w:val="both"/>
        <w:rPr>
          <w:rFonts w:ascii="Arial Narrow" w:eastAsia="Times New Roman" w:hAnsi="Arial Narrow" w:cs="Times New Roman"/>
          <w:sz w:val="24"/>
          <w:szCs w:val="24"/>
        </w:rPr>
      </w:pPr>
    </w:p>
    <w:p w:rsidR="00886CE4" w:rsidRDefault="00886CE4" w:rsidP="000E5D63">
      <w:pPr>
        <w:spacing w:before="100" w:beforeAutospacing="1" w:after="100" w:afterAutospacing="1" w:line="240" w:lineRule="auto"/>
        <w:jc w:val="both"/>
        <w:rPr>
          <w:rFonts w:ascii="Arial Narrow" w:eastAsia="Times New Roman" w:hAnsi="Arial Narrow" w:cs="Times New Roman"/>
          <w:sz w:val="24"/>
          <w:szCs w:val="24"/>
        </w:rPr>
      </w:pPr>
    </w:p>
    <w:p w:rsidR="00886CE4" w:rsidRDefault="00886CE4" w:rsidP="000E5D63">
      <w:pPr>
        <w:spacing w:before="100" w:beforeAutospacing="1" w:after="100" w:afterAutospacing="1" w:line="240" w:lineRule="auto"/>
        <w:jc w:val="both"/>
        <w:rPr>
          <w:rFonts w:ascii="Arial Narrow" w:eastAsia="Times New Roman" w:hAnsi="Arial Narrow" w:cs="Times New Roman"/>
          <w:sz w:val="24"/>
          <w:szCs w:val="24"/>
        </w:rPr>
      </w:pPr>
    </w:p>
    <w:sdt>
      <w:sdtPr>
        <w:rPr>
          <w:rFonts w:asciiTheme="minorHAnsi" w:eastAsiaTheme="minorHAnsi" w:hAnsiTheme="minorHAnsi" w:cstheme="minorBidi"/>
          <w:color w:val="auto"/>
          <w:sz w:val="22"/>
          <w:szCs w:val="22"/>
        </w:rPr>
        <w:id w:val="533399685"/>
        <w:docPartObj>
          <w:docPartGallery w:val="Bibliographies"/>
          <w:docPartUnique/>
        </w:docPartObj>
      </w:sdtPr>
      <w:sdtEndPr>
        <w:rPr>
          <w:rFonts w:ascii="Arial Narrow" w:hAnsi="Arial Narrow"/>
        </w:rPr>
      </w:sdtEndPr>
      <w:sdtContent>
        <w:p w:rsidR="00CE13F1" w:rsidRDefault="000E5D63" w:rsidP="00972882">
          <w:pPr>
            <w:pStyle w:val="Heading1"/>
            <w:spacing w:line="360" w:lineRule="auto"/>
            <w:rPr>
              <w:rFonts w:ascii="Arial Narrow" w:eastAsia="Times New Roman" w:hAnsi="Arial Narrow" w:cs="Times New Roman"/>
              <w:b/>
              <w:color w:val="auto"/>
              <w:sz w:val="22"/>
              <w:szCs w:val="22"/>
            </w:rPr>
          </w:pPr>
          <w:r w:rsidRPr="00D47297">
            <w:rPr>
              <w:rFonts w:ascii="Arial Narrow" w:eastAsia="Times New Roman" w:hAnsi="Arial Narrow" w:cs="Times New Roman"/>
              <w:b/>
              <w:color w:val="auto"/>
              <w:sz w:val="22"/>
              <w:szCs w:val="22"/>
            </w:rPr>
            <w:t>References</w:t>
          </w:r>
        </w:p>
        <w:p w:rsidR="00972882" w:rsidRPr="00972882" w:rsidRDefault="00972882" w:rsidP="00972882">
          <w:pPr>
            <w:rPr>
              <w:sz w:val="6"/>
            </w:rPr>
          </w:pPr>
        </w:p>
        <w:sdt>
          <w:sdtPr>
            <w:rPr>
              <w:rFonts w:ascii="Arial Narrow" w:hAnsi="Arial Narrow"/>
            </w:rPr>
            <w:id w:val="-573587230"/>
            <w:bibliography/>
          </w:sdtPr>
          <w:sdtEndPr/>
          <w:sdtContent>
            <w:p w:rsidR="00D47297" w:rsidRPr="00D47297" w:rsidRDefault="000E5D63" w:rsidP="00D47297">
              <w:pPr>
                <w:pStyle w:val="Bibliography"/>
                <w:spacing w:line="360" w:lineRule="auto"/>
                <w:ind w:left="720" w:hanging="720"/>
                <w:rPr>
                  <w:rFonts w:ascii="Arial Narrow" w:hAnsi="Arial Narrow"/>
                  <w:noProof/>
                </w:rPr>
              </w:pPr>
              <w:r w:rsidRPr="00D47297">
                <w:rPr>
                  <w:rFonts w:ascii="Arial Narrow" w:hAnsi="Arial Narrow"/>
                </w:rPr>
                <w:fldChar w:fldCharType="begin"/>
              </w:r>
              <w:r w:rsidRPr="00D47297">
                <w:rPr>
                  <w:rFonts w:ascii="Arial Narrow" w:hAnsi="Arial Narrow"/>
                </w:rPr>
                <w:instrText xml:space="preserve"> BIBLIOGRAPHY </w:instrText>
              </w:r>
              <w:r w:rsidRPr="00D47297">
                <w:rPr>
                  <w:rFonts w:ascii="Arial Narrow" w:hAnsi="Arial Narrow"/>
                </w:rPr>
                <w:fldChar w:fldCharType="separate"/>
              </w:r>
              <w:r w:rsidR="00D47297" w:rsidRPr="00D47297">
                <w:rPr>
                  <w:rFonts w:ascii="Arial Narrow" w:hAnsi="Arial Narrow"/>
                  <w:noProof/>
                </w:rPr>
                <w:t xml:space="preserve">Acemoglu, D., Johnson, S, Robinson, J.A, &amp; Thaicharoen, Y. (2003). Institutional causes, macroeconomic symptoms: Volatility, crises and growth. </w:t>
              </w:r>
              <w:r w:rsidR="00D47297" w:rsidRPr="00D47297">
                <w:rPr>
                  <w:rFonts w:ascii="Arial Narrow" w:hAnsi="Arial Narrow"/>
                  <w:i/>
                  <w:iCs/>
                  <w:noProof/>
                </w:rPr>
                <w:t xml:space="preserve">Journal of Monetary Economics </w:t>
              </w:r>
              <w:r w:rsidR="00D47297" w:rsidRPr="00D47297">
                <w:rPr>
                  <w:rFonts w:ascii="Arial Narrow" w:hAnsi="Arial Narrow"/>
                  <w:noProof/>
                </w:rPr>
                <w:t>, 50,49-123.</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Acemoglu, D; Johnson, S; Robinson,J. A. (2020). The Narrow Corridor: States, Societies, and the Fate of Liberty. </w:t>
              </w:r>
              <w:r w:rsidRPr="00D47297">
                <w:rPr>
                  <w:rFonts w:ascii="Arial Narrow" w:hAnsi="Arial Narrow"/>
                  <w:i/>
                  <w:iCs/>
                  <w:noProof/>
                </w:rPr>
                <w:t>Penguin Press</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Acemoglu, D; Robinson, J. A. (2012). Why nations fail: The origins of power, prosperity, and poverty. </w:t>
              </w:r>
              <w:r w:rsidRPr="00D47297">
                <w:rPr>
                  <w:rFonts w:ascii="Arial Narrow" w:hAnsi="Arial Narrow"/>
                  <w:i/>
                  <w:iCs/>
                  <w:noProof/>
                </w:rPr>
                <w:t>Crown Business</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Aker, J., &amp; Mbiti, I.M. (2010). Mobile Phones and Economic Development in Africa. </w:t>
              </w:r>
              <w:r w:rsidRPr="00D47297">
                <w:rPr>
                  <w:rFonts w:ascii="Arial Narrow" w:hAnsi="Arial Narrow"/>
                  <w:i/>
                  <w:iCs/>
                  <w:noProof/>
                </w:rPr>
                <w:t>Journal of Economic Perspectives</w:t>
              </w:r>
              <w:r w:rsidRPr="00D47297">
                <w:rPr>
                  <w:rFonts w:ascii="Arial Narrow" w:hAnsi="Arial Narrow"/>
                  <w:noProof/>
                </w:rPr>
                <w:t>, 24, 207-232.</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Andrews, D., &amp; Criscuolo, C. (2013). </w:t>
              </w:r>
              <w:r w:rsidRPr="00D47297">
                <w:rPr>
                  <w:rFonts w:ascii="Arial Narrow" w:hAnsi="Arial Narrow"/>
                  <w:i/>
                  <w:iCs/>
                  <w:noProof/>
                </w:rPr>
                <w:t>Knowledge-based capital, innovation, and resource allocation.</w:t>
              </w:r>
              <w:r w:rsidRPr="00D47297">
                <w:rPr>
                  <w:rFonts w:ascii="Arial Narrow" w:hAnsi="Arial Narrow"/>
                  <w:noProof/>
                </w:rPr>
                <w:t xml:space="preserve"> 1–36: OECD Economic Policy Papers.</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Banga, K., &amp; te Velde, D. W. (2020). Digitalization and the future of manufacturing in Africa. </w:t>
              </w:r>
              <w:r w:rsidRPr="00D47297">
                <w:rPr>
                  <w:rFonts w:ascii="Arial Narrow" w:hAnsi="Arial Narrow"/>
                  <w:i/>
                  <w:iCs/>
                  <w:noProof/>
                </w:rPr>
                <w:t>ODI Working Paper</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Barro, R. J., &amp; Ursúa, J. F. (2022). Macroeconomic Crises Since 1870: The Role of Institutions. </w:t>
              </w:r>
              <w:r w:rsidRPr="00D47297">
                <w:rPr>
                  <w:rFonts w:ascii="Arial Narrow" w:hAnsi="Arial Narrow"/>
                  <w:i/>
                  <w:iCs/>
                  <w:noProof/>
                </w:rPr>
                <w:t>Journal of Economic Literature</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Brynjolfsson, E., &amp; McAfee, A. (2014). The second machine age: Work, progress, and prosperity in a time of brilliant technologies. </w:t>
              </w:r>
              <w:r w:rsidRPr="00D47297">
                <w:rPr>
                  <w:rFonts w:ascii="Arial Narrow" w:hAnsi="Arial Narrow"/>
                  <w:i/>
                  <w:iCs/>
                  <w:noProof/>
                </w:rPr>
                <w:t>W W Norton &amp; Co</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lastRenderedPageBreak/>
                <w:t xml:space="preserve">Bughin, J. e. (2018). Notes from the AI frontier: Modeling the impact of AI on the world economy. </w:t>
              </w:r>
              <w:r w:rsidRPr="00D47297">
                <w:rPr>
                  <w:rFonts w:ascii="Arial Narrow" w:hAnsi="Arial Narrow"/>
                  <w:i/>
                  <w:iCs/>
                  <w:noProof/>
                </w:rPr>
                <w:t>McKinsey Global Institute</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Deborah, I., Gael, R., Michael , W., &amp; Diane, Z. (2024). </w:t>
              </w:r>
              <w:r w:rsidRPr="00D47297">
                <w:rPr>
                  <w:rFonts w:ascii="Arial Narrow" w:hAnsi="Arial Narrow"/>
                  <w:i/>
                  <w:iCs/>
                  <w:noProof/>
                </w:rPr>
                <w:t>Governance in Sub-Saharan Africa.</w:t>
              </w:r>
              <w:r w:rsidRPr="00D47297">
                <w:rPr>
                  <w:rFonts w:ascii="Arial Narrow" w:hAnsi="Arial Narrow"/>
                  <w:noProof/>
                </w:rPr>
                <w:t xml:space="preserve"> WB Policy Research Working Paper 10713.</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Demirgüç-Kunt, A., Beck, T, &amp; Honohan, P . (2022). </w:t>
              </w:r>
              <w:r w:rsidRPr="00D47297">
                <w:rPr>
                  <w:rFonts w:ascii="Arial Narrow" w:hAnsi="Arial Narrow"/>
                  <w:i/>
                  <w:iCs/>
                  <w:noProof/>
                </w:rPr>
                <w:t>Finance for All? Policies and Pitfalls in Expanding Access.</w:t>
              </w:r>
              <w:r w:rsidRPr="00D47297">
                <w:rPr>
                  <w:rFonts w:ascii="Arial Narrow" w:hAnsi="Arial Narrow"/>
                  <w:noProof/>
                </w:rPr>
                <w:t xml:space="preserve"> World Bank.</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Furman, &amp; Teodoridis. (2020). Automation, research technology, and researchers’ trajectories: evidence from computer science and electrical engineering. </w:t>
              </w:r>
              <w:r w:rsidRPr="00D47297">
                <w:rPr>
                  <w:rFonts w:ascii="Arial Narrow" w:hAnsi="Arial Narrow"/>
                  <w:i/>
                  <w:iCs/>
                  <w:noProof/>
                </w:rPr>
                <w:t>Organ. Sci</w:t>
              </w:r>
              <w:r w:rsidRPr="00D47297">
                <w:rPr>
                  <w:rFonts w:ascii="Arial Narrow" w:hAnsi="Arial Narrow"/>
                  <w:noProof/>
                </w:rPr>
                <w:t>, 330-354.</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Hanushek, E. A., &amp; Woessmann, L. (2020). The Knowledge Capital of Nations: Education and the Economics of Growth. </w:t>
              </w:r>
              <w:r w:rsidRPr="00D47297">
                <w:rPr>
                  <w:rFonts w:ascii="Arial Narrow" w:hAnsi="Arial Narrow"/>
                  <w:i/>
                  <w:iCs/>
                  <w:noProof/>
                </w:rPr>
                <w:t>MIT Press</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Ignace , D., Gerdie , E., &amp; Ilse , R. (2015). Bootstrap-based bias correction and inference for dynamic panels with fixed effects. </w:t>
              </w:r>
              <w:r w:rsidRPr="00D47297">
                <w:rPr>
                  <w:rFonts w:ascii="Arial Narrow" w:hAnsi="Arial Narrow"/>
                  <w:i/>
                  <w:iCs/>
                  <w:noProof/>
                </w:rPr>
                <w:t>Stata Journal, StataCorp LP, vol. 15(4)</w:t>
              </w:r>
              <w:r w:rsidRPr="00D47297">
                <w:rPr>
                  <w:rFonts w:ascii="Arial Narrow" w:hAnsi="Arial Narrow"/>
                  <w:noProof/>
                </w:rPr>
                <w:t>, 986-1018.</w:t>
              </w:r>
            </w:p>
            <w:p w:rsidR="00D47297" w:rsidRPr="00D47297" w:rsidRDefault="00D47297" w:rsidP="00972882">
              <w:pPr>
                <w:pStyle w:val="Bibliography"/>
                <w:spacing w:line="276" w:lineRule="auto"/>
                <w:ind w:left="720" w:hanging="720"/>
                <w:rPr>
                  <w:rFonts w:ascii="Arial Narrow" w:hAnsi="Arial Narrow"/>
                  <w:noProof/>
                </w:rPr>
              </w:pPr>
              <w:r w:rsidRPr="00D47297">
                <w:rPr>
                  <w:rFonts w:ascii="Arial Narrow" w:hAnsi="Arial Narrow"/>
                  <w:noProof/>
                </w:rPr>
                <w:t xml:space="preserve">Ignace, D., Gerdie, E., &amp; Ilse , R. (2015). Bootstrap-based bias correction and inference for dynamic panels with fixed effects. </w:t>
              </w:r>
              <w:r w:rsidRPr="00D47297">
                <w:rPr>
                  <w:rFonts w:ascii="Arial Narrow" w:hAnsi="Arial Narrow"/>
                  <w:i/>
                  <w:iCs/>
                  <w:noProof/>
                </w:rPr>
                <w:t>The Stata Journal</w:t>
              </w:r>
              <w:r w:rsidRPr="00D47297">
                <w:rPr>
                  <w:rFonts w:ascii="Arial Narrow" w:hAnsi="Arial Narrow"/>
                  <w:noProof/>
                </w:rPr>
                <w:t>, 986-1018.</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Insights, O. (2023). </w:t>
              </w:r>
              <w:r w:rsidRPr="00D47297">
                <w:rPr>
                  <w:rFonts w:ascii="Arial Narrow" w:hAnsi="Arial Narrow"/>
                  <w:i/>
                  <w:iCs/>
                  <w:noProof/>
                </w:rPr>
                <w:t>Government AI Readiness Index.</w:t>
              </w:r>
              <w:r w:rsidRPr="00D47297">
                <w:rPr>
                  <w:rFonts w:ascii="Arial Narrow" w:hAnsi="Arial Narrow"/>
                  <w:noProof/>
                </w:rPr>
                <w:t xml:space="preserve"> </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Institute, McKinsey Global. (2021). </w:t>
              </w:r>
              <w:r w:rsidRPr="00D47297">
                <w:rPr>
                  <w:rFonts w:ascii="Arial Narrow" w:hAnsi="Arial Narrow"/>
                  <w:i/>
                  <w:iCs/>
                  <w:noProof/>
                </w:rPr>
                <w:t>A year in review.</w:t>
              </w:r>
              <w:r w:rsidRPr="00D47297">
                <w:rPr>
                  <w:rFonts w:ascii="Arial Narrow" w:hAnsi="Arial Narrow"/>
                  <w:noProof/>
                </w:rPr>
                <w:t xml:space="preserve"> McKinsey &amp; Company.</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Kaufmann, D., Kraay, A, &amp; Mastruzzi, M. (2011). The worldwide governance indicators: Methodology and analytical issues. </w:t>
              </w:r>
              <w:r w:rsidRPr="00D47297">
                <w:rPr>
                  <w:rFonts w:ascii="Arial Narrow" w:hAnsi="Arial Narrow"/>
                  <w:i/>
                  <w:iCs/>
                  <w:noProof/>
                </w:rPr>
                <w:t>World Bank Policy Research Working Paper</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Kone, N., &amp; Islam, M. (2022). </w:t>
              </w:r>
              <w:r w:rsidRPr="00D47297">
                <w:rPr>
                  <w:rFonts w:ascii="Arial Narrow" w:hAnsi="Arial Narrow"/>
                  <w:i/>
                  <w:iCs/>
                  <w:noProof/>
                </w:rPr>
                <w:t>Artificial intelligence in Africa: Opportunities, challenges, and strategies.</w:t>
              </w:r>
              <w:r w:rsidRPr="00D47297">
                <w:rPr>
                  <w:rFonts w:ascii="Arial Narrow" w:hAnsi="Arial Narrow"/>
                  <w:noProof/>
                </w:rPr>
                <w:t xml:space="preserve"> African Development Bank Working Paper.</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Kripfganz, S., &amp; J. Breitung. (2022). Bias-corrected estimation of linear dynamic panel data models. </w:t>
              </w:r>
              <w:r w:rsidRPr="00D47297">
                <w:rPr>
                  <w:rFonts w:ascii="Arial Narrow" w:hAnsi="Arial Narrow"/>
                  <w:i/>
                  <w:iCs/>
                  <w:noProof/>
                </w:rPr>
                <w:t>Proceedings of the 2022 London Stata Conference.</w:t>
              </w:r>
              <w:r w:rsidRPr="00D47297">
                <w:rPr>
                  <w:rFonts w:ascii="Arial Narrow" w:hAnsi="Arial Narrow"/>
                  <w:noProof/>
                </w:rPr>
                <w:t xml:space="preserve"> </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Mishra, P., &amp; Daly, K. (2020). Institutional quality and economic growth in sub-Saharan Africa. </w:t>
              </w:r>
              <w:r w:rsidRPr="00D47297">
                <w:rPr>
                  <w:rFonts w:ascii="Arial Narrow" w:hAnsi="Arial Narrow"/>
                  <w:i/>
                  <w:iCs/>
                  <w:noProof/>
                </w:rPr>
                <w:t>Economic Modelling</w:t>
              </w:r>
              <w:r w:rsidRPr="00D47297">
                <w:rPr>
                  <w:rFonts w:ascii="Arial Narrow" w:hAnsi="Arial Narrow"/>
                  <w:noProof/>
                </w:rPr>
                <w:t>, 45–54.</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North, D. C. (1990). Institutions, institutional change, and economic performance. </w:t>
              </w:r>
              <w:r w:rsidRPr="00D47297">
                <w:rPr>
                  <w:rFonts w:ascii="Arial Narrow" w:hAnsi="Arial Narrow"/>
                  <w:i/>
                  <w:iCs/>
                  <w:noProof/>
                </w:rPr>
                <w:t>Cambridge University Press</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North, D. C. ( 1990). Institutions, institutional change, and economic performance. </w:t>
              </w:r>
              <w:r w:rsidRPr="00D47297">
                <w:rPr>
                  <w:rFonts w:ascii="Arial Narrow" w:hAnsi="Arial Narrow"/>
                  <w:i/>
                  <w:iCs/>
                  <w:noProof/>
                </w:rPr>
                <w:t>Cambridge University Press</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OECD. (2023). </w:t>
              </w:r>
              <w:r w:rsidRPr="00D47297">
                <w:rPr>
                  <w:rFonts w:ascii="Arial Narrow" w:hAnsi="Arial Narrow"/>
                  <w:i/>
                  <w:iCs/>
                  <w:noProof/>
                </w:rPr>
                <w:t>Investment and Infrastructure Development in Emerging Economies.</w:t>
              </w:r>
              <w:r w:rsidRPr="00D47297">
                <w:rPr>
                  <w:rFonts w:ascii="Arial Narrow" w:hAnsi="Arial Narrow"/>
                  <w:noProof/>
                </w:rPr>
                <w:t xml:space="preserve"> </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Rodrik, D. (2004). Industrial policy for the twenty-first century. </w:t>
              </w:r>
              <w:r w:rsidRPr="00D47297">
                <w:rPr>
                  <w:rFonts w:ascii="Arial Narrow" w:hAnsi="Arial Narrow"/>
                  <w:i/>
                  <w:iCs/>
                  <w:noProof/>
                </w:rPr>
                <w:t>CEPR Discussion Paper No. 4767.</w:t>
              </w:r>
              <w:r w:rsidRPr="00D47297">
                <w:rPr>
                  <w:rFonts w:ascii="Arial Narrow" w:hAnsi="Arial Narrow"/>
                  <w:noProof/>
                </w:rPr>
                <w:t xml:space="preserve"> </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lastRenderedPageBreak/>
                <w:t xml:space="preserve">Rodrik, D. (2018). Straight Talk on Trade: Ideas for a Sane World Economy. </w:t>
              </w:r>
              <w:r w:rsidRPr="00D47297">
                <w:rPr>
                  <w:rFonts w:ascii="Arial Narrow" w:hAnsi="Arial Narrow"/>
                  <w:i/>
                  <w:iCs/>
                  <w:noProof/>
                </w:rPr>
                <w:t>Princeton University Press</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Romer, P. M. (1990). Endogenous Technological Change. </w:t>
              </w:r>
              <w:r w:rsidRPr="00D47297">
                <w:rPr>
                  <w:rFonts w:ascii="Arial Narrow" w:hAnsi="Arial Narrow"/>
                  <w:i/>
                  <w:iCs/>
                  <w:noProof/>
                </w:rPr>
                <w:t>Journal of Political Economy University of Chicago Press, vol. 98(5)</w:t>
              </w:r>
              <w:r w:rsidRPr="00D47297">
                <w:rPr>
                  <w:rFonts w:ascii="Arial Narrow" w:hAnsi="Arial Narrow"/>
                  <w:noProof/>
                </w:rPr>
                <w:t>, 71-102.</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Svirydzenka, K. (2016). </w:t>
              </w:r>
              <w:r w:rsidRPr="00D47297">
                <w:rPr>
                  <w:rFonts w:ascii="Arial Narrow" w:hAnsi="Arial Narrow"/>
                  <w:i/>
                  <w:iCs/>
                  <w:noProof/>
                </w:rPr>
                <w:t>Introducing a New Broad-Based Index of Financial Development.</w:t>
              </w:r>
              <w:r w:rsidRPr="00D47297">
                <w:rPr>
                  <w:rFonts w:ascii="Arial Narrow" w:hAnsi="Arial Narrow"/>
                  <w:noProof/>
                </w:rPr>
                <w:t xml:space="preserve"> IMF Working Paper.</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UNDP. (2023). </w:t>
              </w:r>
              <w:r w:rsidRPr="00D47297">
                <w:rPr>
                  <w:rFonts w:ascii="Arial Narrow" w:hAnsi="Arial Narrow"/>
                  <w:i/>
                  <w:iCs/>
                  <w:noProof/>
                </w:rPr>
                <w:t>The Role of Remittances in Sustainable Development.</w:t>
              </w:r>
              <w:r w:rsidRPr="00D47297">
                <w:rPr>
                  <w:rFonts w:ascii="Arial Narrow" w:hAnsi="Arial Narrow"/>
                  <w:noProof/>
                </w:rPr>
                <w:t xml:space="preserve"> United Nations Development Programme.</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Verardi, V., &amp; Croux, Christophe. (2008). Robust Regression in Stata . </w:t>
              </w:r>
              <w:r w:rsidRPr="00D47297">
                <w:rPr>
                  <w:rFonts w:ascii="Arial Narrow" w:hAnsi="Arial Narrow"/>
                  <w:i/>
                  <w:iCs/>
                  <w:noProof/>
                </w:rPr>
                <w:t>Available at SSRN: https://ssrn.com/abstract=1369144 or http://dx.doi.org/10.2139/ssrn.1369144</w:t>
              </w:r>
              <w:r w:rsidRPr="00D47297">
                <w:rPr>
                  <w:rFonts w:ascii="Arial Narrow" w:hAnsi="Arial Narrow"/>
                  <w:noProof/>
                </w:rPr>
                <w:t>.</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Yameogo, N. D., &amp; Senbet, L. W. (2023). Institutions and AI: Drivers of economic growth in Africa. </w:t>
              </w:r>
              <w:r w:rsidRPr="00D47297">
                <w:rPr>
                  <w:rFonts w:ascii="Arial Narrow" w:hAnsi="Arial Narrow"/>
                  <w:i/>
                  <w:iCs/>
                  <w:noProof/>
                </w:rPr>
                <w:t>Journal of African Economies</w:t>
              </w:r>
              <w:r w:rsidRPr="00D47297">
                <w:rPr>
                  <w:rFonts w:ascii="Arial Narrow" w:hAnsi="Arial Narrow"/>
                  <w:noProof/>
                </w:rPr>
                <w:t>, 85–113.</w:t>
              </w:r>
            </w:p>
            <w:p w:rsidR="00D47297" w:rsidRPr="00D47297" w:rsidRDefault="00D47297" w:rsidP="00D47297">
              <w:pPr>
                <w:pStyle w:val="Bibliography"/>
                <w:spacing w:line="360" w:lineRule="auto"/>
                <w:ind w:left="720" w:hanging="720"/>
                <w:rPr>
                  <w:rFonts w:ascii="Arial Narrow" w:hAnsi="Arial Narrow"/>
                  <w:noProof/>
                </w:rPr>
              </w:pPr>
              <w:r w:rsidRPr="00D47297">
                <w:rPr>
                  <w:rFonts w:ascii="Arial Narrow" w:hAnsi="Arial Narrow"/>
                  <w:noProof/>
                </w:rPr>
                <w:t xml:space="preserve">Zhao, M., &amp; et al. (2020). Governance and innovation: A cross-country perspective. </w:t>
              </w:r>
              <w:r w:rsidRPr="00D47297">
                <w:rPr>
                  <w:rFonts w:ascii="Arial Narrow" w:hAnsi="Arial Narrow"/>
                  <w:i/>
                  <w:iCs/>
                  <w:noProof/>
                </w:rPr>
                <w:t>World Development</w:t>
              </w:r>
              <w:r w:rsidRPr="00D47297">
                <w:rPr>
                  <w:rFonts w:ascii="Arial Narrow" w:hAnsi="Arial Narrow"/>
                  <w:noProof/>
                </w:rPr>
                <w:t>.</w:t>
              </w:r>
            </w:p>
            <w:p w:rsidR="004C79E3" w:rsidRPr="00972882" w:rsidRDefault="000E5D63" w:rsidP="00972882">
              <w:pPr>
                <w:spacing w:after="0" w:line="360" w:lineRule="auto"/>
                <w:rPr>
                  <w:rFonts w:ascii="Arial Narrow" w:hAnsi="Arial Narrow"/>
                </w:rPr>
              </w:pPr>
              <w:r w:rsidRPr="00D47297">
                <w:rPr>
                  <w:rFonts w:ascii="Arial Narrow" w:hAnsi="Arial Narrow"/>
                  <w:b/>
                  <w:bCs/>
                  <w:noProof/>
                </w:rPr>
                <w:fldChar w:fldCharType="end"/>
              </w:r>
            </w:p>
          </w:sdtContent>
        </w:sdt>
      </w:sdtContent>
    </w:sdt>
    <w:sectPr w:rsidR="004C79E3" w:rsidRPr="00972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73" w:rsidRDefault="00F12973" w:rsidP="008830B0">
      <w:pPr>
        <w:spacing w:after="0" w:line="240" w:lineRule="auto"/>
      </w:pPr>
      <w:r>
        <w:separator/>
      </w:r>
    </w:p>
  </w:endnote>
  <w:endnote w:type="continuationSeparator" w:id="0">
    <w:p w:rsidR="00F12973" w:rsidRDefault="00F12973" w:rsidP="0088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73" w:rsidRDefault="00F12973" w:rsidP="008830B0">
      <w:pPr>
        <w:spacing w:after="0" w:line="240" w:lineRule="auto"/>
      </w:pPr>
      <w:r>
        <w:separator/>
      </w:r>
    </w:p>
  </w:footnote>
  <w:footnote w:type="continuationSeparator" w:id="0">
    <w:p w:rsidR="00F12973" w:rsidRDefault="00F12973" w:rsidP="008830B0">
      <w:pPr>
        <w:spacing w:after="0" w:line="240" w:lineRule="auto"/>
      </w:pPr>
      <w:r>
        <w:continuationSeparator/>
      </w:r>
    </w:p>
  </w:footnote>
  <w:footnote w:id="1">
    <w:p w:rsidR="00FC5F47" w:rsidRDefault="00FC5F47" w:rsidP="00FC5F47">
      <w:pPr>
        <w:pStyle w:val="FootnoteText"/>
      </w:pPr>
      <w:r>
        <w:rPr>
          <w:rStyle w:val="FootnoteReference"/>
        </w:rPr>
        <w:footnoteRef/>
      </w:r>
      <w:r>
        <w:t xml:space="preserve"> </w:t>
      </w:r>
      <w:r w:rsidRPr="008830B0">
        <w:rPr>
          <w:rFonts w:ascii="Arial Narrow" w:hAnsi="Arial Narrow"/>
        </w:rPr>
        <w:t>Dr. Placide Aime Kwizera is the Principal Economist in the Research Department of the National Bank of Rwanda. He is also a Visiting Senior Lecturer of Economics at the Graduate School of the University of Kigali.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6889"/>
    <w:multiLevelType w:val="hybridMultilevel"/>
    <w:tmpl w:val="32847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B3F59"/>
    <w:multiLevelType w:val="multilevel"/>
    <w:tmpl w:val="0D76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E4030"/>
    <w:multiLevelType w:val="multilevel"/>
    <w:tmpl w:val="53C4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99"/>
    <w:rsid w:val="0000094B"/>
    <w:rsid w:val="000030CA"/>
    <w:rsid w:val="00024308"/>
    <w:rsid w:val="00065CFA"/>
    <w:rsid w:val="00067792"/>
    <w:rsid w:val="00074A2A"/>
    <w:rsid w:val="000754F9"/>
    <w:rsid w:val="00077CDC"/>
    <w:rsid w:val="000A527D"/>
    <w:rsid w:val="000A559B"/>
    <w:rsid w:val="000A5D03"/>
    <w:rsid w:val="000B0333"/>
    <w:rsid w:val="000D0EF7"/>
    <w:rsid w:val="000E5D63"/>
    <w:rsid w:val="000F7B7A"/>
    <w:rsid w:val="00113408"/>
    <w:rsid w:val="00114D7D"/>
    <w:rsid w:val="0014063E"/>
    <w:rsid w:val="00150825"/>
    <w:rsid w:val="00180657"/>
    <w:rsid w:val="001816DF"/>
    <w:rsid w:val="001938C9"/>
    <w:rsid w:val="00194E36"/>
    <w:rsid w:val="001A20C6"/>
    <w:rsid w:val="001A31E7"/>
    <w:rsid w:val="001A3F80"/>
    <w:rsid w:val="001A5B95"/>
    <w:rsid w:val="001B016D"/>
    <w:rsid w:val="001B1E3D"/>
    <w:rsid w:val="001C5DDE"/>
    <w:rsid w:val="001D6EE6"/>
    <w:rsid w:val="001D7CBC"/>
    <w:rsid w:val="001E2610"/>
    <w:rsid w:val="001E3CBB"/>
    <w:rsid w:val="001F1896"/>
    <w:rsid w:val="001F1CD8"/>
    <w:rsid w:val="001F4CC6"/>
    <w:rsid w:val="002001EB"/>
    <w:rsid w:val="00200E5F"/>
    <w:rsid w:val="00206401"/>
    <w:rsid w:val="00206EB1"/>
    <w:rsid w:val="00212781"/>
    <w:rsid w:val="00224284"/>
    <w:rsid w:val="00224B42"/>
    <w:rsid w:val="00230D86"/>
    <w:rsid w:val="00232148"/>
    <w:rsid w:val="0024198F"/>
    <w:rsid w:val="0024263D"/>
    <w:rsid w:val="0024317D"/>
    <w:rsid w:val="00250476"/>
    <w:rsid w:val="0025329E"/>
    <w:rsid w:val="002542C7"/>
    <w:rsid w:val="0025568A"/>
    <w:rsid w:val="00256B6D"/>
    <w:rsid w:val="0028512C"/>
    <w:rsid w:val="00292D91"/>
    <w:rsid w:val="0029375F"/>
    <w:rsid w:val="00296C31"/>
    <w:rsid w:val="002A1D66"/>
    <w:rsid w:val="002B26EB"/>
    <w:rsid w:val="002B6B44"/>
    <w:rsid w:val="002C763A"/>
    <w:rsid w:val="002E7FE0"/>
    <w:rsid w:val="002F114A"/>
    <w:rsid w:val="002F22C2"/>
    <w:rsid w:val="002F4F82"/>
    <w:rsid w:val="00330C37"/>
    <w:rsid w:val="00331823"/>
    <w:rsid w:val="00343CE1"/>
    <w:rsid w:val="003529AD"/>
    <w:rsid w:val="00353EB7"/>
    <w:rsid w:val="00356ADE"/>
    <w:rsid w:val="00363105"/>
    <w:rsid w:val="00371E56"/>
    <w:rsid w:val="00385D6E"/>
    <w:rsid w:val="003A0A6B"/>
    <w:rsid w:val="003A37E6"/>
    <w:rsid w:val="003B3595"/>
    <w:rsid w:val="003B7125"/>
    <w:rsid w:val="003C7123"/>
    <w:rsid w:val="003D1A74"/>
    <w:rsid w:val="003E6538"/>
    <w:rsid w:val="00401C5C"/>
    <w:rsid w:val="00403B48"/>
    <w:rsid w:val="004047E6"/>
    <w:rsid w:val="00440E7F"/>
    <w:rsid w:val="00441BE5"/>
    <w:rsid w:val="004678D3"/>
    <w:rsid w:val="00472794"/>
    <w:rsid w:val="00473805"/>
    <w:rsid w:val="0048317E"/>
    <w:rsid w:val="00491BFB"/>
    <w:rsid w:val="004A290C"/>
    <w:rsid w:val="004A5A0F"/>
    <w:rsid w:val="004B5DE6"/>
    <w:rsid w:val="004C79E3"/>
    <w:rsid w:val="004E2472"/>
    <w:rsid w:val="0051129D"/>
    <w:rsid w:val="00512F63"/>
    <w:rsid w:val="005135A8"/>
    <w:rsid w:val="00516B94"/>
    <w:rsid w:val="00523E19"/>
    <w:rsid w:val="00526236"/>
    <w:rsid w:val="00535355"/>
    <w:rsid w:val="0054026E"/>
    <w:rsid w:val="005434B8"/>
    <w:rsid w:val="0054520C"/>
    <w:rsid w:val="00556559"/>
    <w:rsid w:val="00563741"/>
    <w:rsid w:val="005721E7"/>
    <w:rsid w:val="0057638B"/>
    <w:rsid w:val="00581A7C"/>
    <w:rsid w:val="00584C71"/>
    <w:rsid w:val="00585C5C"/>
    <w:rsid w:val="005901FB"/>
    <w:rsid w:val="00596508"/>
    <w:rsid w:val="00597680"/>
    <w:rsid w:val="005A3EDB"/>
    <w:rsid w:val="005A4DCE"/>
    <w:rsid w:val="005B224F"/>
    <w:rsid w:val="005C715D"/>
    <w:rsid w:val="005C7A8D"/>
    <w:rsid w:val="005D1959"/>
    <w:rsid w:val="005D2167"/>
    <w:rsid w:val="005D3C3B"/>
    <w:rsid w:val="005F2E12"/>
    <w:rsid w:val="00606E43"/>
    <w:rsid w:val="00610FBD"/>
    <w:rsid w:val="00612CF0"/>
    <w:rsid w:val="00621337"/>
    <w:rsid w:val="00625B73"/>
    <w:rsid w:val="00652834"/>
    <w:rsid w:val="00655E48"/>
    <w:rsid w:val="00670347"/>
    <w:rsid w:val="00686E99"/>
    <w:rsid w:val="006A1698"/>
    <w:rsid w:val="006B6936"/>
    <w:rsid w:val="006C12C4"/>
    <w:rsid w:val="00710F1B"/>
    <w:rsid w:val="00717997"/>
    <w:rsid w:val="007441B6"/>
    <w:rsid w:val="00746BC0"/>
    <w:rsid w:val="007550F3"/>
    <w:rsid w:val="00765099"/>
    <w:rsid w:val="00772AC6"/>
    <w:rsid w:val="0078323F"/>
    <w:rsid w:val="00784918"/>
    <w:rsid w:val="00784B86"/>
    <w:rsid w:val="00787960"/>
    <w:rsid w:val="0079326E"/>
    <w:rsid w:val="00793E95"/>
    <w:rsid w:val="007945DC"/>
    <w:rsid w:val="007F3966"/>
    <w:rsid w:val="00800DA5"/>
    <w:rsid w:val="00817565"/>
    <w:rsid w:val="00831E94"/>
    <w:rsid w:val="00841A7A"/>
    <w:rsid w:val="008457CE"/>
    <w:rsid w:val="008603AC"/>
    <w:rsid w:val="00875AA8"/>
    <w:rsid w:val="008830B0"/>
    <w:rsid w:val="0088635C"/>
    <w:rsid w:val="008863AD"/>
    <w:rsid w:val="00886CE4"/>
    <w:rsid w:val="0089538C"/>
    <w:rsid w:val="00896FFA"/>
    <w:rsid w:val="008A36C9"/>
    <w:rsid w:val="008B1225"/>
    <w:rsid w:val="008B64F4"/>
    <w:rsid w:val="008C2B4E"/>
    <w:rsid w:val="008E6CCB"/>
    <w:rsid w:val="008F2696"/>
    <w:rsid w:val="00907F33"/>
    <w:rsid w:val="00913419"/>
    <w:rsid w:val="009166A0"/>
    <w:rsid w:val="0092425C"/>
    <w:rsid w:val="00934A6E"/>
    <w:rsid w:val="00937C83"/>
    <w:rsid w:val="00952585"/>
    <w:rsid w:val="009578A4"/>
    <w:rsid w:val="00972882"/>
    <w:rsid w:val="009854E4"/>
    <w:rsid w:val="00992280"/>
    <w:rsid w:val="009B1D6F"/>
    <w:rsid w:val="009C1F15"/>
    <w:rsid w:val="009D4DD9"/>
    <w:rsid w:val="009E087C"/>
    <w:rsid w:val="009E71F6"/>
    <w:rsid w:val="009E752C"/>
    <w:rsid w:val="00A01EE4"/>
    <w:rsid w:val="00A16109"/>
    <w:rsid w:val="00A245ED"/>
    <w:rsid w:val="00A25D6F"/>
    <w:rsid w:val="00A26D36"/>
    <w:rsid w:val="00A55115"/>
    <w:rsid w:val="00A55820"/>
    <w:rsid w:val="00A66162"/>
    <w:rsid w:val="00A9605A"/>
    <w:rsid w:val="00AA42AE"/>
    <w:rsid w:val="00AC12A6"/>
    <w:rsid w:val="00AC1D9D"/>
    <w:rsid w:val="00AC6F7D"/>
    <w:rsid w:val="00AE0FBA"/>
    <w:rsid w:val="00AE24CD"/>
    <w:rsid w:val="00B12212"/>
    <w:rsid w:val="00B2549D"/>
    <w:rsid w:val="00B26675"/>
    <w:rsid w:val="00B30AC7"/>
    <w:rsid w:val="00B35A4E"/>
    <w:rsid w:val="00B40384"/>
    <w:rsid w:val="00B42579"/>
    <w:rsid w:val="00B42E79"/>
    <w:rsid w:val="00B4559E"/>
    <w:rsid w:val="00B45A5E"/>
    <w:rsid w:val="00B463DB"/>
    <w:rsid w:val="00B63648"/>
    <w:rsid w:val="00B65187"/>
    <w:rsid w:val="00B66CAD"/>
    <w:rsid w:val="00B733EC"/>
    <w:rsid w:val="00B7676E"/>
    <w:rsid w:val="00B827B0"/>
    <w:rsid w:val="00BA1D43"/>
    <w:rsid w:val="00BB4DC0"/>
    <w:rsid w:val="00BC41C2"/>
    <w:rsid w:val="00BC5437"/>
    <w:rsid w:val="00BC7A1F"/>
    <w:rsid w:val="00BD656C"/>
    <w:rsid w:val="00BE7FE8"/>
    <w:rsid w:val="00BF09E8"/>
    <w:rsid w:val="00BF6FDA"/>
    <w:rsid w:val="00C042CD"/>
    <w:rsid w:val="00C052EF"/>
    <w:rsid w:val="00C251F3"/>
    <w:rsid w:val="00C5477C"/>
    <w:rsid w:val="00C567BE"/>
    <w:rsid w:val="00C71FCA"/>
    <w:rsid w:val="00C7416D"/>
    <w:rsid w:val="00C81026"/>
    <w:rsid w:val="00C93196"/>
    <w:rsid w:val="00CA52D9"/>
    <w:rsid w:val="00CB40BA"/>
    <w:rsid w:val="00CE13F1"/>
    <w:rsid w:val="00CF75F4"/>
    <w:rsid w:val="00D01D9A"/>
    <w:rsid w:val="00D02BFB"/>
    <w:rsid w:val="00D05EDD"/>
    <w:rsid w:val="00D21BE0"/>
    <w:rsid w:val="00D4090B"/>
    <w:rsid w:val="00D415A0"/>
    <w:rsid w:val="00D44199"/>
    <w:rsid w:val="00D47297"/>
    <w:rsid w:val="00D62138"/>
    <w:rsid w:val="00D71527"/>
    <w:rsid w:val="00D7331D"/>
    <w:rsid w:val="00D803BF"/>
    <w:rsid w:val="00D85903"/>
    <w:rsid w:val="00DA335E"/>
    <w:rsid w:val="00DA502C"/>
    <w:rsid w:val="00DA52E6"/>
    <w:rsid w:val="00DC073B"/>
    <w:rsid w:val="00DD1539"/>
    <w:rsid w:val="00DD61BC"/>
    <w:rsid w:val="00DD770F"/>
    <w:rsid w:val="00DE038E"/>
    <w:rsid w:val="00DE0D54"/>
    <w:rsid w:val="00DE78D1"/>
    <w:rsid w:val="00DF3AC8"/>
    <w:rsid w:val="00DF5D4A"/>
    <w:rsid w:val="00E20701"/>
    <w:rsid w:val="00E23D8A"/>
    <w:rsid w:val="00E336E1"/>
    <w:rsid w:val="00E41EA8"/>
    <w:rsid w:val="00E44699"/>
    <w:rsid w:val="00E73B35"/>
    <w:rsid w:val="00E97603"/>
    <w:rsid w:val="00EA091A"/>
    <w:rsid w:val="00EB0DD7"/>
    <w:rsid w:val="00ED11BA"/>
    <w:rsid w:val="00F00639"/>
    <w:rsid w:val="00F0440C"/>
    <w:rsid w:val="00F108CA"/>
    <w:rsid w:val="00F12973"/>
    <w:rsid w:val="00F24B45"/>
    <w:rsid w:val="00F26FDC"/>
    <w:rsid w:val="00F45DE9"/>
    <w:rsid w:val="00F55268"/>
    <w:rsid w:val="00F640FA"/>
    <w:rsid w:val="00F672CD"/>
    <w:rsid w:val="00F70887"/>
    <w:rsid w:val="00F73511"/>
    <w:rsid w:val="00F738C9"/>
    <w:rsid w:val="00F9045F"/>
    <w:rsid w:val="00F92D87"/>
    <w:rsid w:val="00F93FB4"/>
    <w:rsid w:val="00F94235"/>
    <w:rsid w:val="00FA6AEC"/>
    <w:rsid w:val="00FB3E21"/>
    <w:rsid w:val="00FC5F47"/>
    <w:rsid w:val="00FD79FC"/>
    <w:rsid w:val="00FE66B8"/>
    <w:rsid w:val="00FE6D0D"/>
    <w:rsid w:val="00FF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2D00938-F85A-41D0-9275-13C55757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5D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650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B1E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50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5099"/>
    <w:rPr>
      <w:color w:val="0000FF"/>
      <w:u w:val="single"/>
    </w:rPr>
  </w:style>
  <w:style w:type="paragraph" w:styleId="NormalWeb">
    <w:name w:val="Normal (Web)"/>
    <w:basedOn w:val="Normal"/>
    <w:uiPriority w:val="99"/>
    <w:unhideWhenUsed/>
    <w:rsid w:val="008F26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696"/>
    <w:rPr>
      <w:b/>
      <w:bCs/>
    </w:rPr>
  </w:style>
  <w:style w:type="character" w:styleId="PlaceholderText">
    <w:name w:val="Placeholder Text"/>
    <w:basedOn w:val="DefaultParagraphFont"/>
    <w:uiPriority w:val="99"/>
    <w:semiHidden/>
    <w:rsid w:val="00C052EF"/>
    <w:rPr>
      <w:color w:val="808080"/>
    </w:rPr>
  </w:style>
  <w:style w:type="paragraph" w:customStyle="1" w:styleId="MTDisplayEquation">
    <w:name w:val="MTDisplayEquation"/>
    <w:basedOn w:val="Normal"/>
    <w:next w:val="Normal"/>
    <w:link w:val="MTDisplayEquationChar"/>
    <w:rsid w:val="009B1D6F"/>
    <w:pPr>
      <w:tabs>
        <w:tab w:val="center" w:pos="4680"/>
        <w:tab w:val="right" w:pos="9360"/>
      </w:tabs>
    </w:pPr>
  </w:style>
  <w:style w:type="character" w:customStyle="1" w:styleId="MTDisplayEquationChar">
    <w:name w:val="MTDisplayEquation Char"/>
    <w:basedOn w:val="DefaultParagraphFont"/>
    <w:link w:val="MTDisplayEquation"/>
    <w:rsid w:val="009B1D6F"/>
  </w:style>
  <w:style w:type="character" w:customStyle="1" w:styleId="MTConvertedEquation">
    <w:name w:val="MTConvertedEquation"/>
    <w:basedOn w:val="DefaultParagraphFont"/>
    <w:rsid w:val="009B1D6F"/>
  </w:style>
  <w:style w:type="paragraph" w:styleId="ListParagraph">
    <w:name w:val="List Paragraph"/>
    <w:basedOn w:val="Normal"/>
    <w:uiPriority w:val="34"/>
    <w:qFormat/>
    <w:rsid w:val="00717997"/>
    <w:pPr>
      <w:ind w:left="720"/>
      <w:contextualSpacing/>
    </w:pPr>
  </w:style>
  <w:style w:type="character" w:customStyle="1" w:styleId="Heading4Char">
    <w:name w:val="Heading 4 Char"/>
    <w:basedOn w:val="DefaultParagraphFont"/>
    <w:link w:val="Heading4"/>
    <w:uiPriority w:val="9"/>
    <w:rsid w:val="001B1E3D"/>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336E1"/>
    <w:rPr>
      <w:i/>
      <w:iCs/>
    </w:rPr>
  </w:style>
  <w:style w:type="table" w:styleId="TableGrid">
    <w:name w:val="Table Grid"/>
    <w:basedOn w:val="TableNormal"/>
    <w:uiPriority w:val="39"/>
    <w:rsid w:val="00F7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735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F7351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2F4F82"/>
    <w:pPr>
      <w:spacing w:after="0" w:line="240" w:lineRule="auto"/>
    </w:pPr>
  </w:style>
  <w:style w:type="paragraph" w:styleId="FootnoteText">
    <w:name w:val="footnote text"/>
    <w:basedOn w:val="Normal"/>
    <w:link w:val="FootnoteTextChar"/>
    <w:uiPriority w:val="99"/>
    <w:semiHidden/>
    <w:unhideWhenUsed/>
    <w:rsid w:val="00883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0B0"/>
    <w:rPr>
      <w:sz w:val="20"/>
      <w:szCs w:val="20"/>
    </w:rPr>
  </w:style>
  <w:style w:type="character" w:styleId="FootnoteReference">
    <w:name w:val="footnote reference"/>
    <w:basedOn w:val="DefaultParagraphFont"/>
    <w:uiPriority w:val="99"/>
    <w:semiHidden/>
    <w:unhideWhenUsed/>
    <w:rsid w:val="008830B0"/>
    <w:rPr>
      <w:vertAlign w:val="superscript"/>
    </w:rPr>
  </w:style>
  <w:style w:type="character" w:customStyle="1" w:styleId="Heading1Char">
    <w:name w:val="Heading 1 Char"/>
    <w:basedOn w:val="DefaultParagraphFont"/>
    <w:link w:val="Heading1"/>
    <w:uiPriority w:val="9"/>
    <w:rsid w:val="000E5D63"/>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E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260">
      <w:bodyDiv w:val="1"/>
      <w:marLeft w:val="0"/>
      <w:marRight w:val="0"/>
      <w:marTop w:val="0"/>
      <w:marBottom w:val="0"/>
      <w:divBdr>
        <w:top w:val="none" w:sz="0" w:space="0" w:color="auto"/>
        <w:left w:val="none" w:sz="0" w:space="0" w:color="auto"/>
        <w:bottom w:val="none" w:sz="0" w:space="0" w:color="auto"/>
        <w:right w:val="none" w:sz="0" w:space="0" w:color="auto"/>
      </w:divBdr>
    </w:div>
    <w:div w:id="55126257">
      <w:bodyDiv w:val="1"/>
      <w:marLeft w:val="0"/>
      <w:marRight w:val="0"/>
      <w:marTop w:val="0"/>
      <w:marBottom w:val="0"/>
      <w:divBdr>
        <w:top w:val="none" w:sz="0" w:space="0" w:color="auto"/>
        <w:left w:val="none" w:sz="0" w:space="0" w:color="auto"/>
        <w:bottom w:val="none" w:sz="0" w:space="0" w:color="auto"/>
        <w:right w:val="none" w:sz="0" w:space="0" w:color="auto"/>
      </w:divBdr>
    </w:div>
    <w:div w:id="164513966">
      <w:bodyDiv w:val="1"/>
      <w:marLeft w:val="0"/>
      <w:marRight w:val="0"/>
      <w:marTop w:val="0"/>
      <w:marBottom w:val="0"/>
      <w:divBdr>
        <w:top w:val="none" w:sz="0" w:space="0" w:color="auto"/>
        <w:left w:val="none" w:sz="0" w:space="0" w:color="auto"/>
        <w:bottom w:val="none" w:sz="0" w:space="0" w:color="auto"/>
        <w:right w:val="none" w:sz="0" w:space="0" w:color="auto"/>
      </w:divBdr>
    </w:div>
    <w:div w:id="169411889">
      <w:bodyDiv w:val="1"/>
      <w:marLeft w:val="0"/>
      <w:marRight w:val="0"/>
      <w:marTop w:val="0"/>
      <w:marBottom w:val="0"/>
      <w:divBdr>
        <w:top w:val="none" w:sz="0" w:space="0" w:color="auto"/>
        <w:left w:val="none" w:sz="0" w:space="0" w:color="auto"/>
        <w:bottom w:val="none" w:sz="0" w:space="0" w:color="auto"/>
        <w:right w:val="none" w:sz="0" w:space="0" w:color="auto"/>
      </w:divBdr>
    </w:div>
    <w:div w:id="212159836">
      <w:bodyDiv w:val="1"/>
      <w:marLeft w:val="0"/>
      <w:marRight w:val="0"/>
      <w:marTop w:val="0"/>
      <w:marBottom w:val="0"/>
      <w:divBdr>
        <w:top w:val="none" w:sz="0" w:space="0" w:color="auto"/>
        <w:left w:val="none" w:sz="0" w:space="0" w:color="auto"/>
        <w:bottom w:val="none" w:sz="0" w:space="0" w:color="auto"/>
        <w:right w:val="none" w:sz="0" w:space="0" w:color="auto"/>
      </w:divBdr>
    </w:div>
    <w:div w:id="223684963">
      <w:bodyDiv w:val="1"/>
      <w:marLeft w:val="0"/>
      <w:marRight w:val="0"/>
      <w:marTop w:val="0"/>
      <w:marBottom w:val="0"/>
      <w:divBdr>
        <w:top w:val="none" w:sz="0" w:space="0" w:color="auto"/>
        <w:left w:val="none" w:sz="0" w:space="0" w:color="auto"/>
        <w:bottom w:val="none" w:sz="0" w:space="0" w:color="auto"/>
        <w:right w:val="none" w:sz="0" w:space="0" w:color="auto"/>
      </w:divBdr>
    </w:div>
    <w:div w:id="225385866">
      <w:bodyDiv w:val="1"/>
      <w:marLeft w:val="0"/>
      <w:marRight w:val="0"/>
      <w:marTop w:val="0"/>
      <w:marBottom w:val="0"/>
      <w:divBdr>
        <w:top w:val="none" w:sz="0" w:space="0" w:color="auto"/>
        <w:left w:val="none" w:sz="0" w:space="0" w:color="auto"/>
        <w:bottom w:val="none" w:sz="0" w:space="0" w:color="auto"/>
        <w:right w:val="none" w:sz="0" w:space="0" w:color="auto"/>
      </w:divBdr>
    </w:div>
    <w:div w:id="234970895">
      <w:bodyDiv w:val="1"/>
      <w:marLeft w:val="0"/>
      <w:marRight w:val="0"/>
      <w:marTop w:val="0"/>
      <w:marBottom w:val="0"/>
      <w:divBdr>
        <w:top w:val="none" w:sz="0" w:space="0" w:color="auto"/>
        <w:left w:val="none" w:sz="0" w:space="0" w:color="auto"/>
        <w:bottom w:val="none" w:sz="0" w:space="0" w:color="auto"/>
        <w:right w:val="none" w:sz="0" w:space="0" w:color="auto"/>
      </w:divBdr>
    </w:div>
    <w:div w:id="297075731">
      <w:bodyDiv w:val="1"/>
      <w:marLeft w:val="0"/>
      <w:marRight w:val="0"/>
      <w:marTop w:val="0"/>
      <w:marBottom w:val="0"/>
      <w:divBdr>
        <w:top w:val="none" w:sz="0" w:space="0" w:color="auto"/>
        <w:left w:val="none" w:sz="0" w:space="0" w:color="auto"/>
        <w:bottom w:val="none" w:sz="0" w:space="0" w:color="auto"/>
        <w:right w:val="none" w:sz="0" w:space="0" w:color="auto"/>
      </w:divBdr>
    </w:div>
    <w:div w:id="316960551">
      <w:bodyDiv w:val="1"/>
      <w:marLeft w:val="0"/>
      <w:marRight w:val="0"/>
      <w:marTop w:val="0"/>
      <w:marBottom w:val="0"/>
      <w:divBdr>
        <w:top w:val="none" w:sz="0" w:space="0" w:color="auto"/>
        <w:left w:val="none" w:sz="0" w:space="0" w:color="auto"/>
        <w:bottom w:val="none" w:sz="0" w:space="0" w:color="auto"/>
        <w:right w:val="none" w:sz="0" w:space="0" w:color="auto"/>
      </w:divBdr>
    </w:div>
    <w:div w:id="348684258">
      <w:bodyDiv w:val="1"/>
      <w:marLeft w:val="0"/>
      <w:marRight w:val="0"/>
      <w:marTop w:val="0"/>
      <w:marBottom w:val="0"/>
      <w:divBdr>
        <w:top w:val="none" w:sz="0" w:space="0" w:color="auto"/>
        <w:left w:val="none" w:sz="0" w:space="0" w:color="auto"/>
        <w:bottom w:val="none" w:sz="0" w:space="0" w:color="auto"/>
        <w:right w:val="none" w:sz="0" w:space="0" w:color="auto"/>
      </w:divBdr>
    </w:div>
    <w:div w:id="358166269">
      <w:bodyDiv w:val="1"/>
      <w:marLeft w:val="0"/>
      <w:marRight w:val="0"/>
      <w:marTop w:val="0"/>
      <w:marBottom w:val="0"/>
      <w:divBdr>
        <w:top w:val="none" w:sz="0" w:space="0" w:color="auto"/>
        <w:left w:val="none" w:sz="0" w:space="0" w:color="auto"/>
        <w:bottom w:val="none" w:sz="0" w:space="0" w:color="auto"/>
        <w:right w:val="none" w:sz="0" w:space="0" w:color="auto"/>
      </w:divBdr>
    </w:div>
    <w:div w:id="363480268">
      <w:bodyDiv w:val="1"/>
      <w:marLeft w:val="0"/>
      <w:marRight w:val="0"/>
      <w:marTop w:val="0"/>
      <w:marBottom w:val="0"/>
      <w:divBdr>
        <w:top w:val="none" w:sz="0" w:space="0" w:color="auto"/>
        <w:left w:val="none" w:sz="0" w:space="0" w:color="auto"/>
        <w:bottom w:val="none" w:sz="0" w:space="0" w:color="auto"/>
        <w:right w:val="none" w:sz="0" w:space="0" w:color="auto"/>
      </w:divBdr>
    </w:div>
    <w:div w:id="394857149">
      <w:bodyDiv w:val="1"/>
      <w:marLeft w:val="0"/>
      <w:marRight w:val="0"/>
      <w:marTop w:val="0"/>
      <w:marBottom w:val="0"/>
      <w:divBdr>
        <w:top w:val="none" w:sz="0" w:space="0" w:color="auto"/>
        <w:left w:val="none" w:sz="0" w:space="0" w:color="auto"/>
        <w:bottom w:val="none" w:sz="0" w:space="0" w:color="auto"/>
        <w:right w:val="none" w:sz="0" w:space="0" w:color="auto"/>
      </w:divBdr>
    </w:div>
    <w:div w:id="430970802">
      <w:bodyDiv w:val="1"/>
      <w:marLeft w:val="0"/>
      <w:marRight w:val="0"/>
      <w:marTop w:val="0"/>
      <w:marBottom w:val="0"/>
      <w:divBdr>
        <w:top w:val="none" w:sz="0" w:space="0" w:color="auto"/>
        <w:left w:val="none" w:sz="0" w:space="0" w:color="auto"/>
        <w:bottom w:val="none" w:sz="0" w:space="0" w:color="auto"/>
        <w:right w:val="none" w:sz="0" w:space="0" w:color="auto"/>
      </w:divBdr>
    </w:div>
    <w:div w:id="462114814">
      <w:bodyDiv w:val="1"/>
      <w:marLeft w:val="0"/>
      <w:marRight w:val="0"/>
      <w:marTop w:val="0"/>
      <w:marBottom w:val="0"/>
      <w:divBdr>
        <w:top w:val="none" w:sz="0" w:space="0" w:color="auto"/>
        <w:left w:val="none" w:sz="0" w:space="0" w:color="auto"/>
        <w:bottom w:val="none" w:sz="0" w:space="0" w:color="auto"/>
        <w:right w:val="none" w:sz="0" w:space="0" w:color="auto"/>
      </w:divBdr>
    </w:div>
    <w:div w:id="504365803">
      <w:bodyDiv w:val="1"/>
      <w:marLeft w:val="0"/>
      <w:marRight w:val="0"/>
      <w:marTop w:val="0"/>
      <w:marBottom w:val="0"/>
      <w:divBdr>
        <w:top w:val="none" w:sz="0" w:space="0" w:color="auto"/>
        <w:left w:val="none" w:sz="0" w:space="0" w:color="auto"/>
        <w:bottom w:val="none" w:sz="0" w:space="0" w:color="auto"/>
        <w:right w:val="none" w:sz="0" w:space="0" w:color="auto"/>
      </w:divBdr>
    </w:div>
    <w:div w:id="509831884">
      <w:bodyDiv w:val="1"/>
      <w:marLeft w:val="0"/>
      <w:marRight w:val="0"/>
      <w:marTop w:val="0"/>
      <w:marBottom w:val="0"/>
      <w:divBdr>
        <w:top w:val="none" w:sz="0" w:space="0" w:color="auto"/>
        <w:left w:val="none" w:sz="0" w:space="0" w:color="auto"/>
        <w:bottom w:val="none" w:sz="0" w:space="0" w:color="auto"/>
        <w:right w:val="none" w:sz="0" w:space="0" w:color="auto"/>
      </w:divBdr>
    </w:div>
    <w:div w:id="512037486">
      <w:bodyDiv w:val="1"/>
      <w:marLeft w:val="0"/>
      <w:marRight w:val="0"/>
      <w:marTop w:val="0"/>
      <w:marBottom w:val="0"/>
      <w:divBdr>
        <w:top w:val="none" w:sz="0" w:space="0" w:color="auto"/>
        <w:left w:val="none" w:sz="0" w:space="0" w:color="auto"/>
        <w:bottom w:val="none" w:sz="0" w:space="0" w:color="auto"/>
        <w:right w:val="none" w:sz="0" w:space="0" w:color="auto"/>
      </w:divBdr>
    </w:div>
    <w:div w:id="517307441">
      <w:bodyDiv w:val="1"/>
      <w:marLeft w:val="0"/>
      <w:marRight w:val="0"/>
      <w:marTop w:val="0"/>
      <w:marBottom w:val="0"/>
      <w:divBdr>
        <w:top w:val="none" w:sz="0" w:space="0" w:color="auto"/>
        <w:left w:val="none" w:sz="0" w:space="0" w:color="auto"/>
        <w:bottom w:val="none" w:sz="0" w:space="0" w:color="auto"/>
        <w:right w:val="none" w:sz="0" w:space="0" w:color="auto"/>
      </w:divBdr>
    </w:div>
    <w:div w:id="534074561">
      <w:bodyDiv w:val="1"/>
      <w:marLeft w:val="0"/>
      <w:marRight w:val="0"/>
      <w:marTop w:val="0"/>
      <w:marBottom w:val="0"/>
      <w:divBdr>
        <w:top w:val="none" w:sz="0" w:space="0" w:color="auto"/>
        <w:left w:val="none" w:sz="0" w:space="0" w:color="auto"/>
        <w:bottom w:val="none" w:sz="0" w:space="0" w:color="auto"/>
        <w:right w:val="none" w:sz="0" w:space="0" w:color="auto"/>
      </w:divBdr>
    </w:div>
    <w:div w:id="542521458">
      <w:bodyDiv w:val="1"/>
      <w:marLeft w:val="0"/>
      <w:marRight w:val="0"/>
      <w:marTop w:val="0"/>
      <w:marBottom w:val="0"/>
      <w:divBdr>
        <w:top w:val="none" w:sz="0" w:space="0" w:color="auto"/>
        <w:left w:val="none" w:sz="0" w:space="0" w:color="auto"/>
        <w:bottom w:val="none" w:sz="0" w:space="0" w:color="auto"/>
        <w:right w:val="none" w:sz="0" w:space="0" w:color="auto"/>
      </w:divBdr>
    </w:div>
    <w:div w:id="547685610">
      <w:bodyDiv w:val="1"/>
      <w:marLeft w:val="0"/>
      <w:marRight w:val="0"/>
      <w:marTop w:val="0"/>
      <w:marBottom w:val="0"/>
      <w:divBdr>
        <w:top w:val="none" w:sz="0" w:space="0" w:color="auto"/>
        <w:left w:val="none" w:sz="0" w:space="0" w:color="auto"/>
        <w:bottom w:val="none" w:sz="0" w:space="0" w:color="auto"/>
        <w:right w:val="none" w:sz="0" w:space="0" w:color="auto"/>
      </w:divBdr>
    </w:div>
    <w:div w:id="637415972">
      <w:bodyDiv w:val="1"/>
      <w:marLeft w:val="0"/>
      <w:marRight w:val="0"/>
      <w:marTop w:val="0"/>
      <w:marBottom w:val="0"/>
      <w:divBdr>
        <w:top w:val="none" w:sz="0" w:space="0" w:color="auto"/>
        <w:left w:val="none" w:sz="0" w:space="0" w:color="auto"/>
        <w:bottom w:val="none" w:sz="0" w:space="0" w:color="auto"/>
        <w:right w:val="none" w:sz="0" w:space="0" w:color="auto"/>
      </w:divBdr>
    </w:div>
    <w:div w:id="652415753">
      <w:bodyDiv w:val="1"/>
      <w:marLeft w:val="0"/>
      <w:marRight w:val="0"/>
      <w:marTop w:val="0"/>
      <w:marBottom w:val="0"/>
      <w:divBdr>
        <w:top w:val="none" w:sz="0" w:space="0" w:color="auto"/>
        <w:left w:val="none" w:sz="0" w:space="0" w:color="auto"/>
        <w:bottom w:val="none" w:sz="0" w:space="0" w:color="auto"/>
        <w:right w:val="none" w:sz="0" w:space="0" w:color="auto"/>
      </w:divBdr>
    </w:div>
    <w:div w:id="671027776">
      <w:bodyDiv w:val="1"/>
      <w:marLeft w:val="0"/>
      <w:marRight w:val="0"/>
      <w:marTop w:val="0"/>
      <w:marBottom w:val="0"/>
      <w:divBdr>
        <w:top w:val="none" w:sz="0" w:space="0" w:color="auto"/>
        <w:left w:val="none" w:sz="0" w:space="0" w:color="auto"/>
        <w:bottom w:val="none" w:sz="0" w:space="0" w:color="auto"/>
        <w:right w:val="none" w:sz="0" w:space="0" w:color="auto"/>
      </w:divBdr>
    </w:div>
    <w:div w:id="688600437">
      <w:bodyDiv w:val="1"/>
      <w:marLeft w:val="0"/>
      <w:marRight w:val="0"/>
      <w:marTop w:val="0"/>
      <w:marBottom w:val="0"/>
      <w:divBdr>
        <w:top w:val="none" w:sz="0" w:space="0" w:color="auto"/>
        <w:left w:val="none" w:sz="0" w:space="0" w:color="auto"/>
        <w:bottom w:val="none" w:sz="0" w:space="0" w:color="auto"/>
        <w:right w:val="none" w:sz="0" w:space="0" w:color="auto"/>
      </w:divBdr>
    </w:div>
    <w:div w:id="703481113">
      <w:bodyDiv w:val="1"/>
      <w:marLeft w:val="0"/>
      <w:marRight w:val="0"/>
      <w:marTop w:val="0"/>
      <w:marBottom w:val="0"/>
      <w:divBdr>
        <w:top w:val="none" w:sz="0" w:space="0" w:color="auto"/>
        <w:left w:val="none" w:sz="0" w:space="0" w:color="auto"/>
        <w:bottom w:val="none" w:sz="0" w:space="0" w:color="auto"/>
        <w:right w:val="none" w:sz="0" w:space="0" w:color="auto"/>
      </w:divBdr>
    </w:div>
    <w:div w:id="728765347">
      <w:bodyDiv w:val="1"/>
      <w:marLeft w:val="0"/>
      <w:marRight w:val="0"/>
      <w:marTop w:val="0"/>
      <w:marBottom w:val="0"/>
      <w:divBdr>
        <w:top w:val="none" w:sz="0" w:space="0" w:color="auto"/>
        <w:left w:val="none" w:sz="0" w:space="0" w:color="auto"/>
        <w:bottom w:val="none" w:sz="0" w:space="0" w:color="auto"/>
        <w:right w:val="none" w:sz="0" w:space="0" w:color="auto"/>
      </w:divBdr>
    </w:div>
    <w:div w:id="729770749">
      <w:bodyDiv w:val="1"/>
      <w:marLeft w:val="0"/>
      <w:marRight w:val="0"/>
      <w:marTop w:val="0"/>
      <w:marBottom w:val="0"/>
      <w:divBdr>
        <w:top w:val="none" w:sz="0" w:space="0" w:color="auto"/>
        <w:left w:val="none" w:sz="0" w:space="0" w:color="auto"/>
        <w:bottom w:val="none" w:sz="0" w:space="0" w:color="auto"/>
        <w:right w:val="none" w:sz="0" w:space="0" w:color="auto"/>
      </w:divBdr>
    </w:div>
    <w:div w:id="736442129">
      <w:bodyDiv w:val="1"/>
      <w:marLeft w:val="0"/>
      <w:marRight w:val="0"/>
      <w:marTop w:val="0"/>
      <w:marBottom w:val="0"/>
      <w:divBdr>
        <w:top w:val="none" w:sz="0" w:space="0" w:color="auto"/>
        <w:left w:val="none" w:sz="0" w:space="0" w:color="auto"/>
        <w:bottom w:val="none" w:sz="0" w:space="0" w:color="auto"/>
        <w:right w:val="none" w:sz="0" w:space="0" w:color="auto"/>
      </w:divBdr>
    </w:div>
    <w:div w:id="736559463">
      <w:bodyDiv w:val="1"/>
      <w:marLeft w:val="0"/>
      <w:marRight w:val="0"/>
      <w:marTop w:val="0"/>
      <w:marBottom w:val="0"/>
      <w:divBdr>
        <w:top w:val="none" w:sz="0" w:space="0" w:color="auto"/>
        <w:left w:val="none" w:sz="0" w:space="0" w:color="auto"/>
        <w:bottom w:val="none" w:sz="0" w:space="0" w:color="auto"/>
        <w:right w:val="none" w:sz="0" w:space="0" w:color="auto"/>
      </w:divBdr>
    </w:div>
    <w:div w:id="746266476">
      <w:bodyDiv w:val="1"/>
      <w:marLeft w:val="0"/>
      <w:marRight w:val="0"/>
      <w:marTop w:val="0"/>
      <w:marBottom w:val="0"/>
      <w:divBdr>
        <w:top w:val="none" w:sz="0" w:space="0" w:color="auto"/>
        <w:left w:val="none" w:sz="0" w:space="0" w:color="auto"/>
        <w:bottom w:val="none" w:sz="0" w:space="0" w:color="auto"/>
        <w:right w:val="none" w:sz="0" w:space="0" w:color="auto"/>
      </w:divBdr>
    </w:div>
    <w:div w:id="749162856">
      <w:bodyDiv w:val="1"/>
      <w:marLeft w:val="0"/>
      <w:marRight w:val="0"/>
      <w:marTop w:val="0"/>
      <w:marBottom w:val="0"/>
      <w:divBdr>
        <w:top w:val="none" w:sz="0" w:space="0" w:color="auto"/>
        <w:left w:val="none" w:sz="0" w:space="0" w:color="auto"/>
        <w:bottom w:val="none" w:sz="0" w:space="0" w:color="auto"/>
        <w:right w:val="none" w:sz="0" w:space="0" w:color="auto"/>
      </w:divBdr>
    </w:div>
    <w:div w:id="759106172">
      <w:bodyDiv w:val="1"/>
      <w:marLeft w:val="0"/>
      <w:marRight w:val="0"/>
      <w:marTop w:val="0"/>
      <w:marBottom w:val="0"/>
      <w:divBdr>
        <w:top w:val="none" w:sz="0" w:space="0" w:color="auto"/>
        <w:left w:val="none" w:sz="0" w:space="0" w:color="auto"/>
        <w:bottom w:val="none" w:sz="0" w:space="0" w:color="auto"/>
        <w:right w:val="none" w:sz="0" w:space="0" w:color="auto"/>
      </w:divBdr>
    </w:div>
    <w:div w:id="761528517">
      <w:bodyDiv w:val="1"/>
      <w:marLeft w:val="0"/>
      <w:marRight w:val="0"/>
      <w:marTop w:val="0"/>
      <w:marBottom w:val="0"/>
      <w:divBdr>
        <w:top w:val="none" w:sz="0" w:space="0" w:color="auto"/>
        <w:left w:val="none" w:sz="0" w:space="0" w:color="auto"/>
        <w:bottom w:val="none" w:sz="0" w:space="0" w:color="auto"/>
        <w:right w:val="none" w:sz="0" w:space="0" w:color="auto"/>
      </w:divBdr>
    </w:div>
    <w:div w:id="778645044">
      <w:bodyDiv w:val="1"/>
      <w:marLeft w:val="0"/>
      <w:marRight w:val="0"/>
      <w:marTop w:val="0"/>
      <w:marBottom w:val="0"/>
      <w:divBdr>
        <w:top w:val="none" w:sz="0" w:space="0" w:color="auto"/>
        <w:left w:val="none" w:sz="0" w:space="0" w:color="auto"/>
        <w:bottom w:val="none" w:sz="0" w:space="0" w:color="auto"/>
        <w:right w:val="none" w:sz="0" w:space="0" w:color="auto"/>
      </w:divBdr>
    </w:div>
    <w:div w:id="779763392">
      <w:bodyDiv w:val="1"/>
      <w:marLeft w:val="0"/>
      <w:marRight w:val="0"/>
      <w:marTop w:val="0"/>
      <w:marBottom w:val="0"/>
      <w:divBdr>
        <w:top w:val="none" w:sz="0" w:space="0" w:color="auto"/>
        <w:left w:val="none" w:sz="0" w:space="0" w:color="auto"/>
        <w:bottom w:val="none" w:sz="0" w:space="0" w:color="auto"/>
        <w:right w:val="none" w:sz="0" w:space="0" w:color="auto"/>
      </w:divBdr>
    </w:div>
    <w:div w:id="790319279">
      <w:bodyDiv w:val="1"/>
      <w:marLeft w:val="0"/>
      <w:marRight w:val="0"/>
      <w:marTop w:val="0"/>
      <w:marBottom w:val="0"/>
      <w:divBdr>
        <w:top w:val="none" w:sz="0" w:space="0" w:color="auto"/>
        <w:left w:val="none" w:sz="0" w:space="0" w:color="auto"/>
        <w:bottom w:val="none" w:sz="0" w:space="0" w:color="auto"/>
        <w:right w:val="none" w:sz="0" w:space="0" w:color="auto"/>
      </w:divBdr>
    </w:div>
    <w:div w:id="792989568">
      <w:bodyDiv w:val="1"/>
      <w:marLeft w:val="0"/>
      <w:marRight w:val="0"/>
      <w:marTop w:val="0"/>
      <w:marBottom w:val="0"/>
      <w:divBdr>
        <w:top w:val="none" w:sz="0" w:space="0" w:color="auto"/>
        <w:left w:val="none" w:sz="0" w:space="0" w:color="auto"/>
        <w:bottom w:val="none" w:sz="0" w:space="0" w:color="auto"/>
        <w:right w:val="none" w:sz="0" w:space="0" w:color="auto"/>
      </w:divBdr>
    </w:div>
    <w:div w:id="871696169">
      <w:bodyDiv w:val="1"/>
      <w:marLeft w:val="0"/>
      <w:marRight w:val="0"/>
      <w:marTop w:val="0"/>
      <w:marBottom w:val="0"/>
      <w:divBdr>
        <w:top w:val="none" w:sz="0" w:space="0" w:color="auto"/>
        <w:left w:val="none" w:sz="0" w:space="0" w:color="auto"/>
        <w:bottom w:val="none" w:sz="0" w:space="0" w:color="auto"/>
        <w:right w:val="none" w:sz="0" w:space="0" w:color="auto"/>
      </w:divBdr>
    </w:div>
    <w:div w:id="890463966">
      <w:bodyDiv w:val="1"/>
      <w:marLeft w:val="0"/>
      <w:marRight w:val="0"/>
      <w:marTop w:val="0"/>
      <w:marBottom w:val="0"/>
      <w:divBdr>
        <w:top w:val="none" w:sz="0" w:space="0" w:color="auto"/>
        <w:left w:val="none" w:sz="0" w:space="0" w:color="auto"/>
        <w:bottom w:val="none" w:sz="0" w:space="0" w:color="auto"/>
        <w:right w:val="none" w:sz="0" w:space="0" w:color="auto"/>
      </w:divBdr>
    </w:div>
    <w:div w:id="900823457">
      <w:bodyDiv w:val="1"/>
      <w:marLeft w:val="0"/>
      <w:marRight w:val="0"/>
      <w:marTop w:val="0"/>
      <w:marBottom w:val="0"/>
      <w:divBdr>
        <w:top w:val="none" w:sz="0" w:space="0" w:color="auto"/>
        <w:left w:val="none" w:sz="0" w:space="0" w:color="auto"/>
        <w:bottom w:val="none" w:sz="0" w:space="0" w:color="auto"/>
        <w:right w:val="none" w:sz="0" w:space="0" w:color="auto"/>
      </w:divBdr>
    </w:div>
    <w:div w:id="945385038">
      <w:bodyDiv w:val="1"/>
      <w:marLeft w:val="0"/>
      <w:marRight w:val="0"/>
      <w:marTop w:val="0"/>
      <w:marBottom w:val="0"/>
      <w:divBdr>
        <w:top w:val="none" w:sz="0" w:space="0" w:color="auto"/>
        <w:left w:val="none" w:sz="0" w:space="0" w:color="auto"/>
        <w:bottom w:val="none" w:sz="0" w:space="0" w:color="auto"/>
        <w:right w:val="none" w:sz="0" w:space="0" w:color="auto"/>
      </w:divBdr>
    </w:div>
    <w:div w:id="948393158">
      <w:bodyDiv w:val="1"/>
      <w:marLeft w:val="0"/>
      <w:marRight w:val="0"/>
      <w:marTop w:val="0"/>
      <w:marBottom w:val="0"/>
      <w:divBdr>
        <w:top w:val="none" w:sz="0" w:space="0" w:color="auto"/>
        <w:left w:val="none" w:sz="0" w:space="0" w:color="auto"/>
        <w:bottom w:val="none" w:sz="0" w:space="0" w:color="auto"/>
        <w:right w:val="none" w:sz="0" w:space="0" w:color="auto"/>
      </w:divBdr>
    </w:div>
    <w:div w:id="1029725463">
      <w:bodyDiv w:val="1"/>
      <w:marLeft w:val="0"/>
      <w:marRight w:val="0"/>
      <w:marTop w:val="0"/>
      <w:marBottom w:val="0"/>
      <w:divBdr>
        <w:top w:val="none" w:sz="0" w:space="0" w:color="auto"/>
        <w:left w:val="none" w:sz="0" w:space="0" w:color="auto"/>
        <w:bottom w:val="none" w:sz="0" w:space="0" w:color="auto"/>
        <w:right w:val="none" w:sz="0" w:space="0" w:color="auto"/>
      </w:divBdr>
    </w:div>
    <w:div w:id="1043138904">
      <w:bodyDiv w:val="1"/>
      <w:marLeft w:val="0"/>
      <w:marRight w:val="0"/>
      <w:marTop w:val="0"/>
      <w:marBottom w:val="0"/>
      <w:divBdr>
        <w:top w:val="none" w:sz="0" w:space="0" w:color="auto"/>
        <w:left w:val="none" w:sz="0" w:space="0" w:color="auto"/>
        <w:bottom w:val="none" w:sz="0" w:space="0" w:color="auto"/>
        <w:right w:val="none" w:sz="0" w:space="0" w:color="auto"/>
      </w:divBdr>
    </w:div>
    <w:div w:id="1062482656">
      <w:bodyDiv w:val="1"/>
      <w:marLeft w:val="0"/>
      <w:marRight w:val="0"/>
      <w:marTop w:val="0"/>
      <w:marBottom w:val="0"/>
      <w:divBdr>
        <w:top w:val="none" w:sz="0" w:space="0" w:color="auto"/>
        <w:left w:val="none" w:sz="0" w:space="0" w:color="auto"/>
        <w:bottom w:val="none" w:sz="0" w:space="0" w:color="auto"/>
        <w:right w:val="none" w:sz="0" w:space="0" w:color="auto"/>
      </w:divBdr>
    </w:div>
    <w:div w:id="1096824156">
      <w:bodyDiv w:val="1"/>
      <w:marLeft w:val="0"/>
      <w:marRight w:val="0"/>
      <w:marTop w:val="0"/>
      <w:marBottom w:val="0"/>
      <w:divBdr>
        <w:top w:val="none" w:sz="0" w:space="0" w:color="auto"/>
        <w:left w:val="none" w:sz="0" w:space="0" w:color="auto"/>
        <w:bottom w:val="none" w:sz="0" w:space="0" w:color="auto"/>
        <w:right w:val="none" w:sz="0" w:space="0" w:color="auto"/>
      </w:divBdr>
    </w:div>
    <w:div w:id="1106315369">
      <w:bodyDiv w:val="1"/>
      <w:marLeft w:val="0"/>
      <w:marRight w:val="0"/>
      <w:marTop w:val="0"/>
      <w:marBottom w:val="0"/>
      <w:divBdr>
        <w:top w:val="none" w:sz="0" w:space="0" w:color="auto"/>
        <w:left w:val="none" w:sz="0" w:space="0" w:color="auto"/>
        <w:bottom w:val="none" w:sz="0" w:space="0" w:color="auto"/>
        <w:right w:val="none" w:sz="0" w:space="0" w:color="auto"/>
      </w:divBdr>
    </w:div>
    <w:div w:id="1114403183">
      <w:bodyDiv w:val="1"/>
      <w:marLeft w:val="0"/>
      <w:marRight w:val="0"/>
      <w:marTop w:val="0"/>
      <w:marBottom w:val="0"/>
      <w:divBdr>
        <w:top w:val="none" w:sz="0" w:space="0" w:color="auto"/>
        <w:left w:val="none" w:sz="0" w:space="0" w:color="auto"/>
        <w:bottom w:val="none" w:sz="0" w:space="0" w:color="auto"/>
        <w:right w:val="none" w:sz="0" w:space="0" w:color="auto"/>
      </w:divBdr>
    </w:div>
    <w:div w:id="1164009850">
      <w:bodyDiv w:val="1"/>
      <w:marLeft w:val="0"/>
      <w:marRight w:val="0"/>
      <w:marTop w:val="0"/>
      <w:marBottom w:val="0"/>
      <w:divBdr>
        <w:top w:val="none" w:sz="0" w:space="0" w:color="auto"/>
        <w:left w:val="none" w:sz="0" w:space="0" w:color="auto"/>
        <w:bottom w:val="none" w:sz="0" w:space="0" w:color="auto"/>
        <w:right w:val="none" w:sz="0" w:space="0" w:color="auto"/>
      </w:divBdr>
    </w:div>
    <w:div w:id="1199274765">
      <w:bodyDiv w:val="1"/>
      <w:marLeft w:val="0"/>
      <w:marRight w:val="0"/>
      <w:marTop w:val="0"/>
      <w:marBottom w:val="0"/>
      <w:divBdr>
        <w:top w:val="none" w:sz="0" w:space="0" w:color="auto"/>
        <w:left w:val="none" w:sz="0" w:space="0" w:color="auto"/>
        <w:bottom w:val="none" w:sz="0" w:space="0" w:color="auto"/>
        <w:right w:val="none" w:sz="0" w:space="0" w:color="auto"/>
      </w:divBdr>
    </w:div>
    <w:div w:id="1216697385">
      <w:bodyDiv w:val="1"/>
      <w:marLeft w:val="0"/>
      <w:marRight w:val="0"/>
      <w:marTop w:val="0"/>
      <w:marBottom w:val="0"/>
      <w:divBdr>
        <w:top w:val="none" w:sz="0" w:space="0" w:color="auto"/>
        <w:left w:val="none" w:sz="0" w:space="0" w:color="auto"/>
        <w:bottom w:val="none" w:sz="0" w:space="0" w:color="auto"/>
        <w:right w:val="none" w:sz="0" w:space="0" w:color="auto"/>
      </w:divBdr>
    </w:div>
    <w:div w:id="1216701044">
      <w:bodyDiv w:val="1"/>
      <w:marLeft w:val="0"/>
      <w:marRight w:val="0"/>
      <w:marTop w:val="0"/>
      <w:marBottom w:val="0"/>
      <w:divBdr>
        <w:top w:val="none" w:sz="0" w:space="0" w:color="auto"/>
        <w:left w:val="none" w:sz="0" w:space="0" w:color="auto"/>
        <w:bottom w:val="none" w:sz="0" w:space="0" w:color="auto"/>
        <w:right w:val="none" w:sz="0" w:space="0" w:color="auto"/>
      </w:divBdr>
    </w:div>
    <w:div w:id="1232740387">
      <w:bodyDiv w:val="1"/>
      <w:marLeft w:val="0"/>
      <w:marRight w:val="0"/>
      <w:marTop w:val="0"/>
      <w:marBottom w:val="0"/>
      <w:divBdr>
        <w:top w:val="none" w:sz="0" w:space="0" w:color="auto"/>
        <w:left w:val="none" w:sz="0" w:space="0" w:color="auto"/>
        <w:bottom w:val="none" w:sz="0" w:space="0" w:color="auto"/>
        <w:right w:val="none" w:sz="0" w:space="0" w:color="auto"/>
      </w:divBdr>
    </w:div>
    <w:div w:id="1264460226">
      <w:bodyDiv w:val="1"/>
      <w:marLeft w:val="0"/>
      <w:marRight w:val="0"/>
      <w:marTop w:val="0"/>
      <w:marBottom w:val="0"/>
      <w:divBdr>
        <w:top w:val="none" w:sz="0" w:space="0" w:color="auto"/>
        <w:left w:val="none" w:sz="0" w:space="0" w:color="auto"/>
        <w:bottom w:val="none" w:sz="0" w:space="0" w:color="auto"/>
        <w:right w:val="none" w:sz="0" w:space="0" w:color="auto"/>
      </w:divBdr>
    </w:div>
    <w:div w:id="1313368420">
      <w:bodyDiv w:val="1"/>
      <w:marLeft w:val="0"/>
      <w:marRight w:val="0"/>
      <w:marTop w:val="0"/>
      <w:marBottom w:val="0"/>
      <w:divBdr>
        <w:top w:val="none" w:sz="0" w:space="0" w:color="auto"/>
        <w:left w:val="none" w:sz="0" w:space="0" w:color="auto"/>
        <w:bottom w:val="none" w:sz="0" w:space="0" w:color="auto"/>
        <w:right w:val="none" w:sz="0" w:space="0" w:color="auto"/>
      </w:divBdr>
    </w:div>
    <w:div w:id="1403526306">
      <w:bodyDiv w:val="1"/>
      <w:marLeft w:val="0"/>
      <w:marRight w:val="0"/>
      <w:marTop w:val="0"/>
      <w:marBottom w:val="0"/>
      <w:divBdr>
        <w:top w:val="none" w:sz="0" w:space="0" w:color="auto"/>
        <w:left w:val="none" w:sz="0" w:space="0" w:color="auto"/>
        <w:bottom w:val="none" w:sz="0" w:space="0" w:color="auto"/>
        <w:right w:val="none" w:sz="0" w:space="0" w:color="auto"/>
      </w:divBdr>
    </w:div>
    <w:div w:id="1423454155">
      <w:bodyDiv w:val="1"/>
      <w:marLeft w:val="0"/>
      <w:marRight w:val="0"/>
      <w:marTop w:val="0"/>
      <w:marBottom w:val="0"/>
      <w:divBdr>
        <w:top w:val="none" w:sz="0" w:space="0" w:color="auto"/>
        <w:left w:val="none" w:sz="0" w:space="0" w:color="auto"/>
        <w:bottom w:val="none" w:sz="0" w:space="0" w:color="auto"/>
        <w:right w:val="none" w:sz="0" w:space="0" w:color="auto"/>
      </w:divBdr>
    </w:div>
    <w:div w:id="1429541802">
      <w:bodyDiv w:val="1"/>
      <w:marLeft w:val="0"/>
      <w:marRight w:val="0"/>
      <w:marTop w:val="0"/>
      <w:marBottom w:val="0"/>
      <w:divBdr>
        <w:top w:val="none" w:sz="0" w:space="0" w:color="auto"/>
        <w:left w:val="none" w:sz="0" w:space="0" w:color="auto"/>
        <w:bottom w:val="none" w:sz="0" w:space="0" w:color="auto"/>
        <w:right w:val="none" w:sz="0" w:space="0" w:color="auto"/>
      </w:divBdr>
    </w:div>
    <w:div w:id="1431004088">
      <w:bodyDiv w:val="1"/>
      <w:marLeft w:val="0"/>
      <w:marRight w:val="0"/>
      <w:marTop w:val="0"/>
      <w:marBottom w:val="0"/>
      <w:divBdr>
        <w:top w:val="none" w:sz="0" w:space="0" w:color="auto"/>
        <w:left w:val="none" w:sz="0" w:space="0" w:color="auto"/>
        <w:bottom w:val="none" w:sz="0" w:space="0" w:color="auto"/>
        <w:right w:val="none" w:sz="0" w:space="0" w:color="auto"/>
      </w:divBdr>
    </w:div>
    <w:div w:id="1493373328">
      <w:bodyDiv w:val="1"/>
      <w:marLeft w:val="0"/>
      <w:marRight w:val="0"/>
      <w:marTop w:val="0"/>
      <w:marBottom w:val="0"/>
      <w:divBdr>
        <w:top w:val="none" w:sz="0" w:space="0" w:color="auto"/>
        <w:left w:val="none" w:sz="0" w:space="0" w:color="auto"/>
        <w:bottom w:val="none" w:sz="0" w:space="0" w:color="auto"/>
        <w:right w:val="none" w:sz="0" w:space="0" w:color="auto"/>
      </w:divBdr>
    </w:div>
    <w:div w:id="1557206094">
      <w:bodyDiv w:val="1"/>
      <w:marLeft w:val="0"/>
      <w:marRight w:val="0"/>
      <w:marTop w:val="0"/>
      <w:marBottom w:val="0"/>
      <w:divBdr>
        <w:top w:val="none" w:sz="0" w:space="0" w:color="auto"/>
        <w:left w:val="none" w:sz="0" w:space="0" w:color="auto"/>
        <w:bottom w:val="none" w:sz="0" w:space="0" w:color="auto"/>
        <w:right w:val="none" w:sz="0" w:space="0" w:color="auto"/>
      </w:divBdr>
    </w:div>
    <w:div w:id="1630627238">
      <w:bodyDiv w:val="1"/>
      <w:marLeft w:val="0"/>
      <w:marRight w:val="0"/>
      <w:marTop w:val="0"/>
      <w:marBottom w:val="0"/>
      <w:divBdr>
        <w:top w:val="none" w:sz="0" w:space="0" w:color="auto"/>
        <w:left w:val="none" w:sz="0" w:space="0" w:color="auto"/>
        <w:bottom w:val="none" w:sz="0" w:space="0" w:color="auto"/>
        <w:right w:val="none" w:sz="0" w:space="0" w:color="auto"/>
      </w:divBdr>
    </w:div>
    <w:div w:id="1645622931">
      <w:bodyDiv w:val="1"/>
      <w:marLeft w:val="0"/>
      <w:marRight w:val="0"/>
      <w:marTop w:val="0"/>
      <w:marBottom w:val="0"/>
      <w:divBdr>
        <w:top w:val="none" w:sz="0" w:space="0" w:color="auto"/>
        <w:left w:val="none" w:sz="0" w:space="0" w:color="auto"/>
        <w:bottom w:val="none" w:sz="0" w:space="0" w:color="auto"/>
        <w:right w:val="none" w:sz="0" w:space="0" w:color="auto"/>
      </w:divBdr>
    </w:div>
    <w:div w:id="1649549054">
      <w:bodyDiv w:val="1"/>
      <w:marLeft w:val="0"/>
      <w:marRight w:val="0"/>
      <w:marTop w:val="0"/>
      <w:marBottom w:val="0"/>
      <w:divBdr>
        <w:top w:val="none" w:sz="0" w:space="0" w:color="auto"/>
        <w:left w:val="none" w:sz="0" w:space="0" w:color="auto"/>
        <w:bottom w:val="none" w:sz="0" w:space="0" w:color="auto"/>
        <w:right w:val="none" w:sz="0" w:space="0" w:color="auto"/>
      </w:divBdr>
    </w:div>
    <w:div w:id="1690453106">
      <w:bodyDiv w:val="1"/>
      <w:marLeft w:val="0"/>
      <w:marRight w:val="0"/>
      <w:marTop w:val="0"/>
      <w:marBottom w:val="0"/>
      <w:divBdr>
        <w:top w:val="none" w:sz="0" w:space="0" w:color="auto"/>
        <w:left w:val="none" w:sz="0" w:space="0" w:color="auto"/>
        <w:bottom w:val="none" w:sz="0" w:space="0" w:color="auto"/>
        <w:right w:val="none" w:sz="0" w:space="0" w:color="auto"/>
      </w:divBdr>
    </w:div>
    <w:div w:id="1694068422">
      <w:bodyDiv w:val="1"/>
      <w:marLeft w:val="0"/>
      <w:marRight w:val="0"/>
      <w:marTop w:val="0"/>
      <w:marBottom w:val="0"/>
      <w:divBdr>
        <w:top w:val="none" w:sz="0" w:space="0" w:color="auto"/>
        <w:left w:val="none" w:sz="0" w:space="0" w:color="auto"/>
        <w:bottom w:val="none" w:sz="0" w:space="0" w:color="auto"/>
        <w:right w:val="none" w:sz="0" w:space="0" w:color="auto"/>
      </w:divBdr>
    </w:div>
    <w:div w:id="1697925425">
      <w:bodyDiv w:val="1"/>
      <w:marLeft w:val="0"/>
      <w:marRight w:val="0"/>
      <w:marTop w:val="0"/>
      <w:marBottom w:val="0"/>
      <w:divBdr>
        <w:top w:val="none" w:sz="0" w:space="0" w:color="auto"/>
        <w:left w:val="none" w:sz="0" w:space="0" w:color="auto"/>
        <w:bottom w:val="none" w:sz="0" w:space="0" w:color="auto"/>
        <w:right w:val="none" w:sz="0" w:space="0" w:color="auto"/>
      </w:divBdr>
    </w:div>
    <w:div w:id="1702975208">
      <w:bodyDiv w:val="1"/>
      <w:marLeft w:val="0"/>
      <w:marRight w:val="0"/>
      <w:marTop w:val="0"/>
      <w:marBottom w:val="0"/>
      <w:divBdr>
        <w:top w:val="none" w:sz="0" w:space="0" w:color="auto"/>
        <w:left w:val="none" w:sz="0" w:space="0" w:color="auto"/>
        <w:bottom w:val="none" w:sz="0" w:space="0" w:color="auto"/>
        <w:right w:val="none" w:sz="0" w:space="0" w:color="auto"/>
      </w:divBdr>
    </w:div>
    <w:div w:id="1727878783">
      <w:bodyDiv w:val="1"/>
      <w:marLeft w:val="0"/>
      <w:marRight w:val="0"/>
      <w:marTop w:val="0"/>
      <w:marBottom w:val="0"/>
      <w:divBdr>
        <w:top w:val="none" w:sz="0" w:space="0" w:color="auto"/>
        <w:left w:val="none" w:sz="0" w:space="0" w:color="auto"/>
        <w:bottom w:val="none" w:sz="0" w:space="0" w:color="auto"/>
        <w:right w:val="none" w:sz="0" w:space="0" w:color="auto"/>
      </w:divBdr>
    </w:div>
    <w:div w:id="1759407283">
      <w:bodyDiv w:val="1"/>
      <w:marLeft w:val="0"/>
      <w:marRight w:val="0"/>
      <w:marTop w:val="0"/>
      <w:marBottom w:val="0"/>
      <w:divBdr>
        <w:top w:val="none" w:sz="0" w:space="0" w:color="auto"/>
        <w:left w:val="none" w:sz="0" w:space="0" w:color="auto"/>
        <w:bottom w:val="none" w:sz="0" w:space="0" w:color="auto"/>
        <w:right w:val="none" w:sz="0" w:space="0" w:color="auto"/>
      </w:divBdr>
    </w:div>
    <w:div w:id="1810855160">
      <w:bodyDiv w:val="1"/>
      <w:marLeft w:val="0"/>
      <w:marRight w:val="0"/>
      <w:marTop w:val="0"/>
      <w:marBottom w:val="0"/>
      <w:divBdr>
        <w:top w:val="none" w:sz="0" w:space="0" w:color="auto"/>
        <w:left w:val="none" w:sz="0" w:space="0" w:color="auto"/>
        <w:bottom w:val="none" w:sz="0" w:space="0" w:color="auto"/>
        <w:right w:val="none" w:sz="0" w:space="0" w:color="auto"/>
      </w:divBdr>
    </w:div>
    <w:div w:id="1811243336">
      <w:bodyDiv w:val="1"/>
      <w:marLeft w:val="0"/>
      <w:marRight w:val="0"/>
      <w:marTop w:val="0"/>
      <w:marBottom w:val="0"/>
      <w:divBdr>
        <w:top w:val="none" w:sz="0" w:space="0" w:color="auto"/>
        <w:left w:val="none" w:sz="0" w:space="0" w:color="auto"/>
        <w:bottom w:val="none" w:sz="0" w:space="0" w:color="auto"/>
        <w:right w:val="none" w:sz="0" w:space="0" w:color="auto"/>
      </w:divBdr>
    </w:div>
    <w:div w:id="1851287714">
      <w:bodyDiv w:val="1"/>
      <w:marLeft w:val="0"/>
      <w:marRight w:val="0"/>
      <w:marTop w:val="0"/>
      <w:marBottom w:val="0"/>
      <w:divBdr>
        <w:top w:val="none" w:sz="0" w:space="0" w:color="auto"/>
        <w:left w:val="none" w:sz="0" w:space="0" w:color="auto"/>
        <w:bottom w:val="none" w:sz="0" w:space="0" w:color="auto"/>
        <w:right w:val="none" w:sz="0" w:space="0" w:color="auto"/>
      </w:divBdr>
    </w:div>
    <w:div w:id="1858420925">
      <w:bodyDiv w:val="1"/>
      <w:marLeft w:val="0"/>
      <w:marRight w:val="0"/>
      <w:marTop w:val="0"/>
      <w:marBottom w:val="0"/>
      <w:divBdr>
        <w:top w:val="none" w:sz="0" w:space="0" w:color="auto"/>
        <w:left w:val="none" w:sz="0" w:space="0" w:color="auto"/>
        <w:bottom w:val="none" w:sz="0" w:space="0" w:color="auto"/>
        <w:right w:val="none" w:sz="0" w:space="0" w:color="auto"/>
      </w:divBdr>
    </w:div>
    <w:div w:id="1862232896">
      <w:bodyDiv w:val="1"/>
      <w:marLeft w:val="0"/>
      <w:marRight w:val="0"/>
      <w:marTop w:val="0"/>
      <w:marBottom w:val="0"/>
      <w:divBdr>
        <w:top w:val="none" w:sz="0" w:space="0" w:color="auto"/>
        <w:left w:val="none" w:sz="0" w:space="0" w:color="auto"/>
        <w:bottom w:val="none" w:sz="0" w:space="0" w:color="auto"/>
        <w:right w:val="none" w:sz="0" w:space="0" w:color="auto"/>
      </w:divBdr>
    </w:div>
    <w:div w:id="1885405818">
      <w:bodyDiv w:val="1"/>
      <w:marLeft w:val="0"/>
      <w:marRight w:val="0"/>
      <w:marTop w:val="0"/>
      <w:marBottom w:val="0"/>
      <w:divBdr>
        <w:top w:val="none" w:sz="0" w:space="0" w:color="auto"/>
        <w:left w:val="none" w:sz="0" w:space="0" w:color="auto"/>
        <w:bottom w:val="none" w:sz="0" w:space="0" w:color="auto"/>
        <w:right w:val="none" w:sz="0" w:space="0" w:color="auto"/>
      </w:divBdr>
    </w:div>
    <w:div w:id="1899239679">
      <w:bodyDiv w:val="1"/>
      <w:marLeft w:val="0"/>
      <w:marRight w:val="0"/>
      <w:marTop w:val="0"/>
      <w:marBottom w:val="0"/>
      <w:divBdr>
        <w:top w:val="none" w:sz="0" w:space="0" w:color="auto"/>
        <w:left w:val="none" w:sz="0" w:space="0" w:color="auto"/>
        <w:bottom w:val="none" w:sz="0" w:space="0" w:color="auto"/>
        <w:right w:val="none" w:sz="0" w:space="0" w:color="auto"/>
      </w:divBdr>
    </w:div>
    <w:div w:id="1912039274">
      <w:bodyDiv w:val="1"/>
      <w:marLeft w:val="0"/>
      <w:marRight w:val="0"/>
      <w:marTop w:val="0"/>
      <w:marBottom w:val="0"/>
      <w:divBdr>
        <w:top w:val="none" w:sz="0" w:space="0" w:color="auto"/>
        <w:left w:val="none" w:sz="0" w:space="0" w:color="auto"/>
        <w:bottom w:val="none" w:sz="0" w:space="0" w:color="auto"/>
        <w:right w:val="none" w:sz="0" w:space="0" w:color="auto"/>
      </w:divBdr>
    </w:div>
    <w:div w:id="1925651276">
      <w:bodyDiv w:val="1"/>
      <w:marLeft w:val="0"/>
      <w:marRight w:val="0"/>
      <w:marTop w:val="0"/>
      <w:marBottom w:val="0"/>
      <w:divBdr>
        <w:top w:val="none" w:sz="0" w:space="0" w:color="auto"/>
        <w:left w:val="none" w:sz="0" w:space="0" w:color="auto"/>
        <w:bottom w:val="none" w:sz="0" w:space="0" w:color="auto"/>
        <w:right w:val="none" w:sz="0" w:space="0" w:color="auto"/>
      </w:divBdr>
    </w:div>
    <w:div w:id="1927885039">
      <w:bodyDiv w:val="1"/>
      <w:marLeft w:val="0"/>
      <w:marRight w:val="0"/>
      <w:marTop w:val="0"/>
      <w:marBottom w:val="0"/>
      <w:divBdr>
        <w:top w:val="none" w:sz="0" w:space="0" w:color="auto"/>
        <w:left w:val="none" w:sz="0" w:space="0" w:color="auto"/>
        <w:bottom w:val="none" w:sz="0" w:space="0" w:color="auto"/>
        <w:right w:val="none" w:sz="0" w:space="0" w:color="auto"/>
      </w:divBdr>
    </w:div>
    <w:div w:id="1937203561">
      <w:bodyDiv w:val="1"/>
      <w:marLeft w:val="0"/>
      <w:marRight w:val="0"/>
      <w:marTop w:val="0"/>
      <w:marBottom w:val="0"/>
      <w:divBdr>
        <w:top w:val="none" w:sz="0" w:space="0" w:color="auto"/>
        <w:left w:val="none" w:sz="0" w:space="0" w:color="auto"/>
        <w:bottom w:val="none" w:sz="0" w:space="0" w:color="auto"/>
        <w:right w:val="none" w:sz="0" w:space="0" w:color="auto"/>
      </w:divBdr>
    </w:div>
    <w:div w:id="1987271962">
      <w:bodyDiv w:val="1"/>
      <w:marLeft w:val="0"/>
      <w:marRight w:val="0"/>
      <w:marTop w:val="0"/>
      <w:marBottom w:val="0"/>
      <w:divBdr>
        <w:top w:val="none" w:sz="0" w:space="0" w:color="auto"/>
        <w:left w:val="none" w:sz="0" w:space="0" w:color="auto"/>
        <w:bottom w:val="none" w:sz="0" w:space="0" w:color="auto"/>
        <w:right w:val="none" w:sz="0" w:space="0" w:color="auto"/>
      </w:divBdr>
    </w:div>
    <w:div w:id="2009402327">
      <w:bodyDiv w:val="1"/>
      <w:marLeft w:val="0"/>
      <w:marRight w:val="0"/>
      <w:marTop w:val="0"/>
      <w:marBottom w:val="0"/>
      <w:divBdr>
        <w:top w:val="none" w:sz="0" w:space="0" w:color="auto"/>
        <w:left w:val="none" w:sz="0" w:space="0" w:color="auto"/>
        <w:bottom w:val="none" w:sz="0" w:space="0" w:color="auto"/>
        <w:right w:val="none" w:sz="0" w:space="0" w:color="auto"/>
      </w:divBdr>
    </w:div>
    <w:div w:id="2012872917">
      <w:bodyDiv w:val="1"/>
      <w:marLeft w:val="0"/>
      <w:marRight w:val="0"/>
      <w:marTop w:val="0"/>
      <w:marBottom w:val="0"/>
      <w:divBdr>
        <w:top w:val="none" w:sz="0" w:space="0" w:color="auto"/>
        <w:left w:val="none" w:sz="0" w:space="0" w:color="auto"/>
        <w:bottom w:val="none" w:sz="0" w:space="0" w:color="auto"/>
        <w:right w:val="none" w:sz="0" w:space="0" w:color="auto"/>
      </w:divBdr>
    </w:div>
    <w:div w:id="2016609363">
      <w:bodyDiv w:val="1"/>
      <w:marLeft w:val="0"/>
      <w:marRight w:val="0"/>
      <w:marTop w:val="0"/>
      <w:marBottom w:val="0"/>
      <w:divBdr>
        <w:top w:val="none" w:sz="0" w:space="0" w:color="auto"/>
        <w:left w:val="none" w:sz="0" w:space="0" w:color="auto"/>
        <w:bottom w:val="none" w:sz="0" w:space="0" w:color="auto"/>
        <w:right w:val="none" w:sz="0" w:space="0" w:color="auto"/>
      </w:divBdr>
    </w:div>
    <w:div w:id="2032880419">
      <w:bodyDiv w:val="1"/>
      <w:marLeft w:val="0"/>
      <w:marRight w:val="0"/>
      <w:marTop w:val="0"/>
      <w:marBottom w:val="0"/>
      <w:divBdr>
        <w:top w:val="none" w:sz="0" w:space="0" w:color="auto"/>
        <w:left w:val="none" w:sz="0" w:space="0" w:color="auto"/>
        <w:bottom w:val="none" w:sz="0" w:space="0" w:color="auto"/>
        <w:right w:val="none" w:sz="0" w:space="0" w:color="auto"/>
      </w:divBdr>
    </w:div>
    <w:div w:id="2057243203">
      <w:bodyDiv w:val="1"/>
      <w:marLeft w:val="0"/>
      <w:marRight w:val="0"/>
      <w:marTop w:val="0"/>
      <w:marBottom w:val="0"/>
      <w:divBdr>
        <w:top w:val="none" w:sz="0" w:space="0" w:color="auto"/>
        <w:left w:val="none" w:sz="0" w:space="0" w:color="auto"/>
        <w:bottom w:val="none" w:sz="0" w:space="0" w:color="auto"/>
        <w:right w:val="none" w:sz="0" w:space="0" w:color="auto"/>
      </w:divBdr>
    </w:div>
    <w:div w:id="2074697096">
      <w:bodyDiv w:val="1"/>
      <w:marLeft w:val="0"/>
      <w:marRight w:val="0"/>
      <w:marTop w:val="0"/>
      <w:marBottom w:val="0"/>
      <w:divBdr>
        <w:top w:val="none" w:sz="0" w:space="0" w:color="auto"/>
        <w:left w:val="none" w:sz="0" w:space="0" w:color="auto"/>
        <w:bottom w:val="none" w:sz="0" w:space="0" w:color="auto"/>
        <w:right w:val="none" w:sz="0" w:space="0" w:color="auto"/>
      </w:divBdr>
    </w:div>
    <w:div w:id="2085490039">
      <w:bodyDiv w:val="1"/>
      <w:marLeft w:val="0"/>
      <w:marRight w:val="0"/>
      <w:marTop w:val="0"/>
      <w:marBottom w:val="0"/>
      <w:divBdr>
        <w:top w:val="none" w:sz="0" w:space="0" w:color="auto"/>
        <w:left w:val="none" w:sz="0" w:space="0" w:color="auto"/>
        <w:bottom w:val="none" w:sz="0" w:space="0" w:color="auto"/>
        <w:right w:val="none" w:sz="0" w:space="0" w:color="auto"/>
      </w:divBdr>
    </w:div>
    <w:div w:id="2093814022">
      <w:bodyDiv w:val="1"/>
      <w:marLeft w:val="0"/>
      <w:marRight w:val="0"/>
      <w:marTop w:val="0"/>
      <w:marBottom w:val="0"/>
      <w:divBdr>
        <w:top w:val="none" w:sz="0" w:space="0" w:color="auto"/>
        <w:left w:val="none" w:sz="0" w:space="0" w:color="auto"/>
        <w:bottom w:val="none" w:sz="0" w:space="0" w:color="auto"/>
        <w:right w:val="none" w:sz="0" w:space="0" w:color="auto"/>
      </w:divBdr>
    </w:div>
    <w:div w:id="21191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C3E50-6707-4ECA-8392-969C467FB2D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Nor90</b:Tag>
    <b:SourceType>JournalArticle</b:SourceType>
    <b:Guid>{BF40AD52-38C5-42E4-B39E-69CDE2700EB9}</b:Guid>
    <b:Title>Institutions, institutional change, and economic performance</b:Title>
    <b:Year> 1990</b:Year>
    <b:Author>
      <b:Author>
        <b:NameList>
          <b:Person>
            <b:Last>North</b:Last>
            <b:First>D.</b:First>
            <b:Middle>C</b:Middle>
          </b:Person>
        </b:NameList>
      </b:Author>
    </b:Author>
    <b:JournalName>Cambridge University Press</b:JournalName>
    <b:RefOrder>23</b:RefOrder>
  </b:Source>
  <b:Source>
    <b:Tag>Deb24</b:Tag>
    <b:SourceType>Report</b:SourceType>
    <b:Guid>{559EACC5-FEFE-4A4D-A0C5-2FD677419C16}</b:Guid>
    <b:Title>Governance in Sub-Saharan Africa</b:Title>
    <b:Year>2024</b:Year>
    <b:Publisher>WB Policy Research Working Paper 10713</b:Publisher>
    <b:Author>
      <b:Author>
        <b:NameList>
          <b:Person>
            <b:Last>Deborah</b:Last>
            <b:First> Isser</b:First>
          </b:Person>
          <b:Person>
            <b:Last>Gael</b:Last>
            <b:First> Raballand</b:First>
          </b:Person>
          <b:Person>
            <b:Last>Michael </b:Last>
            <b:First>Watts</b:First>
          </b:Person>
          <b:Person>
            <b:Last>Diane</b:Last>
            <b:First> Zovighian</b:First>
          </b:Person>
        </b:NameList>
      </b:Author>
    </b:Author>
    <b:RefOrder>1</b:RefOrder>
  </b:Source>
  <b:Source>
    <b:Tag>Rod18</b:Tag>
    <b:SourceType>JournalArticle</b:SourceType>
    <b:Guid>{2DC9C5B6-D4EC-4AF0-A1A1-DB5568DAC126}</b:Guid>
    <b:Author>
      <b:Author>
        <b:NameList>
          <b:Person>
            <b:Last>Rodrik</b:Last>
            <b:First>D</b:First>
          </b:Person>
        </b:NameList>
      </b:Author>
    </b:Author>
    <b:Title>Straight Talk on Trade: Ideas for a Sane World Economy</b:Title>
    <b:JournalName>Princeton University Press</b:JournalName>
    <b:Year>2018</b:Year>
    <b:RefOrder>2</b:RefOrder>
  </b:Source>
  <b:Source>
    <b:Tag>Bry14</b:Tag>
    <b:SourceType>JournalArticle</b:SourceType>
    <b:Guid>{56AD3006-CD41-4CD2-93D5-A71D96C58B72}</b:Guid>
    <b:Author>
      <b:Author>
        <b:NameList>
          <b:Person>
            <b:Last>Brynjolfsson</b:Last>
            <b:First>E</b:First>
          </b:Person>
          <b:Person>
            <b:Last> McAfee, A</b:Last>
          </b:Person>
        </b:NameList>
      </b:Author>
    </b:Author>
    <b:Title>The second machine age: Work, progress, and prosperity in a time of brilliant technologies</b:Title>
    <b:JournalName>W W Norton &amp; Co</b:JournalName>
    <b:Year>2014</b:Year>
    <b:RefOrder>24</b:RefOrder>
  </b:Source>
  <b:Source>
    <b:Tag>Fur20</b:Tag>
    <b:SourceType>JournalArticle</b:SourceType>
    <b:Guid>{8DDEBAB8-F0D2-4D4F-B7FF-5ADD34A190C8}</b:Guid>
    <b:Author>
      <b:Author>
        <b:NameList>
          <b:Person>
            <b:Last>Furman</b:Last>
          </b:Person>
          <b:Person>
            <b:Last> Teodoridis</b:Last>
          </b:Person>
        </b:NameList>
      </b:Author>
    </b:Author>
    <b:Title>Automation, research technology, and researchers’ trajectories: evidence from computer science and electrical engineering</b:Title>
    <b:JournalName>Organ. Sci</b:JournalName>
    <b:Year>2020</b:Year>
    <b:Pages> 330-354</b:Pages>
    <b:RefOrder>3</b:RefOrder>
  </b:Source>
  <b:Source>
    <b:Tag>Ace03</b:Tag>
    <b:SourceType>JournalArticle</b:SourceType>
    <b:Guid>{4062BD53-2E7F-4390-A6AD-A30E4096B540}</b:Guid>
    <b:Author>
      <b:Author>
        <b:NameList>
          <b:Person>
            <b:Last>Acemoglu</b:Last>
            <b:First>D</b:First>
          </b:Person>
          <b:Person>
            <b:Last>Johnson, S</b:Last>
          </b:Person>
          <b:Person>
            <b:Last>Robinson, J.A</b:Last>
          </b:Person>
          <b:Person>
            <b:Last>Thaicharoen, Y</b:Last>
          </b:Person>
        </b:NameList>
      </b:Author>
    </b:Author>
    <b:Title>Institutional causes, macroeconomic symptoms: Volatility, crises and growth</b:Title>
    <b:JournalName>Journal of Monetary Economics </b:JournalName>
    <b:Year>2003</b:Year>
    <b:Pages>50,49-123</b:Pages>
    <b:RefOrder>4</b:RefOrder>
  </b:Source>
  <b:Source>
    <b:Tag>Ake10</b:Tag>
    <b:SourceType>JournalArticle</b:SourceType>
    <b:Guid>{E4E7D56F-D099-47F3-BF80-428A3947C763}</b:Guid>
    <b:Author>
      <b:Author>
        <b:NameList>
          <b:Person>
            <b:Last>Aker</b:Last>
            <b:First>J.C</b:First>
          </b:Person>
          <b:Person>
            <b:Last> Mbiti, I.M</b:Last>
          </b:Person>
        </b:NameList>
      </b:Author>
    </b:Author>
    <b:Title>Mobile Phones and Economic Development in Africa</b:Title>
    <b:JournalName>Journal of Economic Perspectives</b:JournalName>
    <b:Year>2010</b:Year>
    <b:Pages>24, 207-232</b:Pages>
    <b:RefOrder>5</b:RefOrder>
  </b:Source>
  <b:Source>
    <b:Tag>15</b:Tag>
    <b:SourceType>JournalArticle</b:SourceType>
    <b:Guid>{1BAB9271-9862-4D6A-9BB6-82F949C3595A}</b:Guid>
    <b:Title>Bootstrap-based bias correction and inference for dynamic panels with fixed effects</b:Title>
    <b:JournalName>The Stata Journal</b:JournalName>
    <b:Year>2015</b:Year>
    <b:Pages>986-1018</b:Pages>
    <b:Author>
      <b:Author>
        <b:NameList>
          <b:Person>
            <b:Last>Ignace</b:Last>
            <b:First> De Vos</b:First>
          </b:Person>
          <b:Person>
            <b:Last>Gerdie</b:Last>
            <b:First> Everaert</b:First>
          </b:Person>
          <b:Person>
            <b:Last> Ilse </b:Last>
            <b:First>Ruyssen</b:First>
          </b:Person>
        </b:NameList>
      </b:Author>
    </b:Author>
    <b:RefOrder>25</b:RefOrder>
  </b:Source>
  <b:Source xmlns:b="http://schemas.openxmlformats.org/officeDocument/2006/bibliography">
    <b:Tag>Ign15</b:Tag>
    <b:SourceType>JournalArticle</b:SourceType>
    <b:Guid>{CEB3A5A3-A0BC-4477-9019-557A52CB9509}</b:Guid>
    <b:Title>Bootstrap-based bias correction and inference for dynamic panels with fixed effects</b:Title>
    <b:JournalName>Stata Journal, StataCorp LP, vol. 15(4)</b:JournalName>
    <b:Year>2015</b:Year>
    <b:Pages>986-1018</b:Pages>
    <b:Author>
      <b:Author>
        <b:NameList>
          <b:Person>
            <b:Last>Ignace </b:Last>
            <b:First>De Vos </b:First>
          </b:Person>
          <b:Person>
            <b:Last>Gerdie </b:Last>
            <b:First>Everaert </b:First>
          </b:Person>
          <b:Person>
            <b:Last> Ilse </b:Last>
            <b:First>Ruyssen</b:First>
          </b:Person>
        </b:NameList>
      </b:Author>
    </b:Author>
    <b:RefOrder>6</b:RefOrder>
  </b:Source>
  <b:Source>
    <b:Tag>Kri22</b:Tag>
    <b:SourceType>JournalArticle</b:SourceType>
    <b:Guid>{CEAB6690-1F83-42E9-8228-E14873BAFFF4}</b:Guid>
    <b:Author>
      <b:Author>
        <b:NameList>
          <b:Person>
            <b:Last>Kripfganz</b:Last>
            <b:First>S</b:First>
          </b:Person>
          <b:Person>
            <b:Last> J. Breitung</b:Last>
          </b:Person>
        </b:NameList>
      </b:Author>
    </b:Author>
    <b:Title>Bias-corrected estimation of linear dynamic panel data models</b:Title>
    <b:JournalName>Proceedings of the 2022 London Stata Conference.</b:JournalName>
    <b:Year>2022</b:Year>
    <b:RefOrder>7</b:RefOrder>
  </b:Source>
  <b:Source>
    <b:Tag>Ace12</b:Tag>
    <b:SourceType>JournalArticle</b:SourceType>
    <b:Guid>{AA9BD82D-0BC3-4C9F-AE2E-988C8104CEA3}</b:Guid>
    <b:Author>
      <b:Author>
        <b:Corporate>Acemoglu, D; Robinson, J. A</b:Corporate>
      </b:Author>
    </b:Author>
    <b:Title>Why nations fail: The origins of power, prosperity, and poverty</b:Title>
    <b:JournalName>Crown Business</b:JournalName>
    <b:Year>2012</b:Year>
    <b:RefOrder>26</b:RefOrder>
  </b:Source>
  <b:Source>
    <b:Tag>Nor901</b:Tag>
    <b:SourceType>JournalArticle</b:SourceType>
    <b:Guid>{4F124EFE-9DA2-45F6-8D9B-7593AAE77E82}</b:Guid>
    <b:Author>
      <b:Author>
        <b:Corporate>North, D. C</b:Corporate>
      </b:Author>
    </b:Author>
    <b:Title>Institutions, institutional change, and economic performance</b:Title>
    <b:JournalName>Cambridge University Press</b:JournalName>
    <b:Year>1990</b:Year>
    <b:RefOrder>9</b:RefOrder>
  </b:Source>
  <b:Source>
    <b:Tag>Bug18</b:Tag>
    <b:SourceType>JournalArticle</b:SourceType>
    <b:Guid>{EC2F277B-AA5B-40C3-9418-BD0EBAC0B2B8}</b:Guid>
    <b:Author>
      <b:Author>
        <b:NameList>
          <b:Person>
            <b:Last>Bughin</b:Last>
            <b:First>J.,</b:First>
            <b:Middle>et al</b:Middle>
          </b:Person>
        </b:NameList>
      </b:Author>
    </b:Author>
    <b:Title> Notes from the AI frontier: Modeling the impact of AI on the world economy</b:Title>
    <b:JournalName>McKinsey Global Institute</b:JournalName>
    <b:Year>2018</b:Year>
    <b:RefOrder>11</b:RefOrder>
  </b:Source>
  <b:Source>
    <b:Tag>Rod04</b:Tag>
    <b:SourceType>JournalArticle</b:SourceType>
    <b:Guid>{E487E435-2278-4435-9D61-3CFEB2B69465}</b:Guid>
    <b:Author>
      <b:Author>
        <b:Corporate>Rodrik, D</b:Corporate>
      </b:Author>
    </b:Author>
    <b:Title>Industrial policy for the twenty-first century</b:Title>
    <b:JournalName>CEPR Discussion Paper No. 4767.</b:JournalName>
    <b:Year>2004</b:Year>
    <b:RefOrder>12</b:RefOrder>
  </b:Source>
  <b:Source>
    <b:Tag>Rom90</b:Tag>
    <b:SourceType>JournalArticle</b:SourceType>
    <b:Guid>{4A490B46-F534-4AF0-9A58-A8B74E32CC6C}</b:Guid>
    <b:Author>
      <b:Author>
        <b:NameList>
          <b:Person>
            <b:Last>Romer</b:Last>
            <b:First>Paul</b:First>
            <b:Middle>M</b:Middle>
          </b:Person>
        </b:NameList>
      </b:Author>
    </b:Author>
    <b:Title>Endogenous Technological Change</b:Title>
    <b:JournalName>Journal of Political Economy University of Chicago Press, vol. 98(5)</b:JournalName>
    <b:Year>1990</b:Year>
    <b:Pages>71-102</b:Pages>
    <b:RefOrder>13</b:RefOrder>
  </b:Source>
  <b:Source>
    <b:Tag>Kau11</b:Tag>
    <b:SourceType>JournalArticle</b:SourceType>
    <b:Guid>{8FCB47DE-5384-4005-A05B-40D7F7B95655}</b:Guid>
    <b:Author>
      <b:Author>
        <b:NameList>
          <b:Person>
            <b:Last>Kaufmann</b:Last>
            <b:First>D</b:First>
          </b:Person>
          <b:Person>
            <b:Last>Kraay, A</b:Last>
          </b:Person>
          <b:Person>
            <b:Last>Mastruzzi, M</b:Last>
          </b:Person>
        </b:NameList>
      </b:Author>
    </b:Author>
    <b:Title>The worldwide governance indicators: Methodology and analytical issues</b:Title>
    <b:JournalName> World Bank Policy Research Working Paper</b:JournalName>
    <b:Year>2011</b:Year>
    <b:RefOrder>27</b:RefOrder>
  </b:Source>
  <b:Source>
    <b:Tag>Mis20</b:Tag>
    <b:SourceType>JournalArticle</b:SourceType>
    <b:Guid>{FAA07BAD-B3F1-42E1-803D-67EE89CFB580}</b:Guid>
    <b:Author>
      <b:Author>
        <b:NameList>
          <b:Person>
            <b:Last>Mishra</b:Last>
            <b:First>P</b:First>
          </b:Person>
          <b:Person>
            <b:Last>Daly, K</b:Last>
          </b:Person>
        </b:NameList>
      </b:Author>
    </b:Author>
    <b:Title>Institutional quality and economic growth in sub-Saharan Africa</b:Title>
    <b:JournalName>Economic Modelling</b:JournalName>
    <b:Year>2020</b:Year>
    <b:Pages> 45–54</b:Pages>
    <b:RefOrder>14</b:RefOrder>
  </b:Source>
  <b:Source>
    <b:Tag>Ins21</b:Tag>
    <b:SourceType>Report</b:SourceType>
    <b:Guid>{FA3D4F1E-9A7F-47D4-81D5-880EFA3CEDD9}</b:Guid>
    <b:Author>
      <b:Author>
        <b:Corporate>Institute, McKinsey Global</b:Corporate>
      </b:Author>
    </b:Author>
    <b:Title>A year in review</b:Title>
    <b:Year>2021</b:Year>
    <b:Publisher>McKinsey &amp; Company</b:Publisher>
    <b:RefOrder>28</b:RefOrder>
  </b:Source>
  <b:Source>
    <b:Tag>Kon22</b:Tag>
    <b:SourceType>Report</b:SourceType>
    <b:Guid>{0A63FD54-C50D-4C1E-BD9A-93A197F8CDD7}</b:Guid>
    <b:Author>
      <b:Author>
        <b:NameList>
          <b:Person>
            <b:Last>Kone</b:Last>
            <b:First>N</b:First>
          </b:Person>
          <b:Person>
            <b:Last>Islam, M</b:Last>
          </b:Person>
        </b:NameList>
      </b:Author>
    </b:Author>
    <b:Title>Artificial intelligence in Africa: Opportunities, challenges, and strategies</b:Title>
    <b:Year>2022</b:Year>
    <b:Publisher>African Development Bank Working Paper</b:Publisher>
    <b:RefOrder>29</b:RefOrder>
  </b:Source>
  <b:Source>
    <b:Tag>And13</b:Tag>
    <b:SourceType>Report</b:SourceType>
    <b:Guid>{D8BA4137-FB70-4CD9-BBD8-4311B332E3C5}</b:Guid>
    <b:Author>
      <b:Author>
        <b:NameList>
          <b:Person>
            <b:Last>Andrews</b:Last>
            <b:First>D</b:First>
          </b:Person>
          <b:Person>
            <b:Last>Criscuolo, C</b:Last>
          </b:Person>
        </b:NameList>
      </b:Author>
    </b:Author>
    <b:Title>Knowledge-based capital, innovation, and resource allocation</b:Title>
    <b:Year>2013</b:Year>
    <b:Publisher>OECD Economic Policy Papers</b:Publisher>
    <b:City>1–36</b:City>
    <b:RefOrder>30</b:RefOrder>
  </b:Source>
  <b:Source>
    <b:Tag>Zha20</b:Tag>
    <b:SourceType>JournalArticle</b:SourceType>
    <b:Guid>{D4D1CEBC-FEBD-4B72-9B6F-EE31B2C4D068}</b:Guid>
    <b:Author>
      <b:Author>
        <b:NameList>
          <b:Person>
            <b:Last>Zhao</b:Last>
            <b:First>M</b:First>
          </b:Person>
          <b:Person>
            <b:Last> et al</b:Last>
          </b:Person>
        </b:NameList>
      </b:Author>
    </b:Author>
    <b:Title>Governance and innovation: A cross-country perspective</b:Title>
    <b:Year>2020</b:Year>
    <b:Publisher> 104-821.</b:Publisher>
    <b:JournalName> World Development</b:JournalName>
    <b:RefOrder>15</b:RefOrder>
  </b:Source>
  <b:Source>
    <b:Tag>Ban20</b:Tag>
    <b:SourceType>JournalArticle</b:SourceType>
    <b:Guid>{8DCD325E-9B9B-42DE-A801-B46D26E0F769}</b:Guid>
    <b:Author>
      <b:Author>
        <b:NameList>
          <b:Person>
            <b:Last>Banga</b:Last>
            <b:First>K</b:First>
          </b:Person>
          <b:Person>
            <b:Last>te Velde, D. W</b:Last>
          </b:Person>
        </b:NameList>
      </b:Author>
    </b:Author>
    <b:Title>Digitalization and the future of manufacturing in Africa</b:Title>
    <b:JournalName>ODI Working Paper</b:JournalName>
    <b:Year>2020</b:Year>
    <b:RefOrder>16</b:RefOrder>
  </b:Source>
  <b:Source>
    <b:Tag>Yam23</b:Tag>
    <b:SourceType>JournalArticle</b:SourceType>
    <b:Guid>{88070080-F5EC-4A64-9782-EE6905D52B9B}</b:Guid>
    <b:Author>
      <b:Author>
        <b:NameList>
          <b:Person>
            <b:Last>Yameogo</b:Last>
            <b:First>N.</b:First>
            <b:Middle>D</b:Middle>
          </b:Person>
          <b:Person>
            <b:Last>Senbet, L. W</b:Last>
          </b:Person>
        </b:NameList>
      </b:Author>
    </b:Author>
    <b:Title>Institutions and AI: Drivers of economic growth in Africa</b:Title>
    <b:JournalName>Journal of African Economies</b:JournalName>
    <b:Year>2023</b:Year>
    <b:Pages> 85–113</b:Pages>
    <b:RefOrder>31</b:RefOrder>
  </b:Source>
  <b:Source>
    <b:Tag>Ins23</b:Tag>
    <b:SourceType>Report</b:SourceType>
    <b:Guid>{8A34193F-658D-4F70-A360-8C45D09C6626}</b:Guid>
    <b:Author>
      <b:Author>
        <b:NameList>
          <b:Person>
            <b:Last>Insights</b:Last>
            <b:First>Oxford</b:First>
          </b:Person>
        </b:NameList>
      </b:Author>
    </b:Author>
    <b:Title>Government AI Readiness Index</b:Title>
    <b:JournalName>Online Report</b:JournalName>
    <b:Year>2023</b:Year>
    <b:RefOrder>10</b:RefOrder>
  </b:Source>
  <b:Source>
    <b:Tag>Dem22</b:Tag>
    <b:SourceType>Report</b:SourceType>
    <b:Guid>{C1871B5A-9DC1-498C-B4E8-EBC817C18DE7}</b:Guid>
    <b:Author>
      <b:Author>
        <b:NameList>
          <b:Person>
            <b:Last>Demirgüç-Kunt</b:Last>
            <b:First>A</b:First>
          </b:Person>
          <b:Person>
            <b:Last>Beck, T</b:Last>
          </b:Person>
          <b:Person>
            <b:Last>Honohan, P </b:Last>
          </b:Person>
        </b:NameList>
      </b:Author>
    </b:Author>
    <b:Title>Finance for All? Policies and Pitfalls in Expanding Access</b:Title>
    <b:Year>2022</b:Year>
    <b:Publisher>World Bank</b:Publisher>
    <b:RefOrder>32</b:RefOrder>
  </b:Source>
  <b:Source>
    <b:Tag>OEC23</b:Tag>
    <b:SourceType>Report</b:SourceType>
    <b:Guid>{D302B3B9-23F9-49BC-8FD3-C54741FEEC66}</b:Guid>
    <b:Author>
      <b:Author>
        <b:NameList>
          <b:Person>
            <b:Last>OECD</b:Last>
          </b:Person>
        </b:NameList>
      </b:Author>
    </b:Author>
    <b:Title> Investment and Infrastructure Development in Emerging Economies</b:Title>
    <b:Year>2023</b:Year>
    <b:RefOrder>17</b:RefOrder>
  </b:Source>
  <b:Source>
    <b:Tag>Svi16</b:Tag>
    <b:SourceType>Report</b:SourceType>
    <b:Guid>{60C10C86-5019-4CDF-A910-3F7FE6A745D8}</b:Guid>
    <b:Author>
      <b:Author>
        <b:NameList>
          <b:Person>
            <b:Last>Svirydzenka</b:Last>
            <b:First>K</b:First>
          </b:Person>
        </b:NameList>
      </b:Author>
    </b:Author>
    <b:Title> Introducing a New Broad-Based Index of Financial Development</b:Title>
    <b:Year>2016</b:Year>
    <b:Publisher>IMF Working Paper</b:Publisher>
    <b:RefOrder>18</b:RefOrder>
  </b:Source>
  <b:Source>
    <b:Tag>Bar22</b:Tag>
    <b:SourceType>JournalArticle</b:SourceType>
    <b:Guid>{D0937D72-79CB-479E-A7BD-4A33295AC282}</b:Guid>
    <b:Author>
      <b:Author>
        <b:NameList>
          <b:Person>
            <b:Last>Barro</b:Last>
            <b:First>R.</b:First>
            <b:Middle>J</b:Middle>
          </b:Person>
          <b:Person>
            <b:Last>Ursúa, J. F</b:Last>
          </b:Person>
        </b:NameList>
      </b:Author>
    </b:Author>
    <b:Title>Macroeconomic Crises Since 1870: The Role of Institutions</b:Title>
    <b:Year>2022</b:Year>
    <b:JournalName>Journal of Economic Literature</b:JournalName>
    <b:RefOrder>19</b:RefOrder>
  </b:Source>
  <b:Source>
    <b:Tag>UND23</b:Tag>
    <b:SourceType>Report</b:SourceType>
    <b:Guid>{CFA6E1A3-2848-4F85-9D1D-D21131B6B9FD}</b:Guid>
    <b:Title>The Role of Remittances in Sustainable Development.</b:Title>
    <b:Year>2023</b:Year>
    <b:Author>
      <b:Author>
        <b:NameList>
          <b:Person>
            <b:Last>UNDP</b:Last>
          </b:Person>
        </b:NameList>
      </b:Author>
    </b:Author>
    <b:Publisher>United Nations Development Programme</b:Publisher>
    <b:RefOrder>20</b:RefOrder>
  </b:Source>
  <b:Source>
    <b:Tag>Han20</b:Tag>
    <b:SourceType>JournalArticle</b:SourceType>
    <b:Guid>{C12362DC-6E6C-475B-8E40-1CCA33F42707}</b:Guid>
    <b:Author>
      <b:Author>
        <b:NameList>
          <b:Person>
            <b:Last>Hanushek</b:Last>
            <b:First>E.</b:First>
            <b:Middle>A</b:Middle>
          </b:Person>
          <b:Person>
            <b:Last>Woessmann, L</b:Last>
          </b:Person>
        </b:NameList>
      </b:Author>
    </b:Author>
    <b:Title>The Knowledge Capital of Nations: Education and the Economics of Growth</b:Title>
    <b:Year>2020</b:Year>
    <b:JournalName>MIT Press</b:JournalName>
    <b:RefOrder>21</b:RefOrder>
  </b:Source>
  <b:Source>
    <b:Tag>Ace20</b:Tag>
    <b:SourceType>JournalArticle</b:SourceType>
    <b:Guid>{49E4EE35-D3CE-44DA-A009-E58C5F462637}</b:Guid>
    <b:Author>
      <b:Author>
        <b:Corporate>Acemoglu, D; Johnson, S; Robinson,J. A</b:Corporate>
      </b:Author>
    </b:Author>
    <b:Title>The Narrow Corridor: States, Societies, and the Fate of Liberty</b:Title>
    <b:JournalName>Penguin Press</b:JournalName>
    <b:Year>2020</b:Year>
    <b:RefOrder>22</b:RefOrder>
  </b:Source>
  <b:Source>
    <b:Tag>Ver08</b:Tag>
    <b:SourceType>JournalArticle</b:SourceType>
    <b:Guid>{85E37D24-5435-4B6F-8687-0E5961D3CCD7}</b:Guid>
    <b:Author>
      <b:Author>
        <b:NameList>
          <b:Person>
            <b:Last>Verardi</b:Last>
            <b:First>Vincenzo</b:First>
          </b:Person>
          <b:Person>
            <b:Last>Croux, Christophe</b:Last>
          </b:Person>
        </b:NameList>
      </b:Author>
    </b:Author>
    <b:Title>Robust Regression in Stata </b:Title>
    <b:JournalName>Available at SSRN: https://ssrn.com/abstract=1369144 or http://dx.doi.org/10.2139/ssrn.1369144</b:JournalName>
    <b:Year>2008</b:Year>
    <b:RefOrder>8</b:RefOrder>
  </b:Source>
</b:Sources>
</file>

<file path=customXml/itemProps1.xml><?xml version="1.0" encoding="utf-8"?>
<ds:datastoreItem xmlns:ds="http://schemas.openxmlformats.org/officeDocument/2006/customXml" ds:itemID="{8CAA31C7-0EE5-45B8-B50D-B43C661E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8570</Words>
  <Characters>48853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dc:creator>
  <cp:keywords/>
  <dc:description/>
  <cp:lastModifiedBy>Placide</cp:lastModifiedBy>
  <cp:revision>2</cp:revision>
  <cp:lastPrinted>2025-01-15T14:33:00Z</cp:lastPrinted>
  <dcterms:created xsi:type="dcterms:W3CDTF">2025-01-19T17:59:00Z</dcterms:created>
  <dcterms:modified xsi:type="dcterms:W3CDTF">2025-01-19T17:59:00Z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03e0f868-96b3-4a2e-ae59-c21c34df6440</vt:lpwstr>
  </property>
  <property fmtid="{D5CDD505-2E9C-101B-9397-08002B2CF9AE}" pid="3" name="MTWinEqns">
    <vt:bool>true</vt:bool>
  </property>
</Properties>
</file>