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C6A85" w14:textId="167C4E24" w:rsidR="0093044E" w:rsidRPr="00E03CE0" w:rsidRDefault="003A041D" w:rsidP="000D4495">
      <w:pPr>
        <w:pStyle w:val="Title"/>
        <w:jc w:val="center"/>
        <w:rPr>
          <w:rFonts w:ascii="Times New Roman" w:hAnsi="Times New Roman" w:cs="Times New Roman"/>
          <w:sz w:val="24"/>
          <w:szCs w:val="24"/>
        </w:rPr>
      </w:pPr>
      <w:bookmarkStart w:id="0" w:name="_Hlk154405650"/>
      <w:r w:rsidRPr="00E03CE0">
        <w:rPr>
          <w:rFonts w:ascii="Times New Roman" w:hAnsi="Times New Roman" w:cs="Times New Roman"/>
          <w:sz w:val="24"/>
          <w:szCs w:val="24"/>
        </w:rPr>
        <w:t xml:space="preserve">Social </w:t>
      </w:r>
      <w:r w:rsidR="00E2772A" w:rsidRPr="00E03CE0">
        <w:rPr>
          <w:rFonts w:ascii="Times New Roman" w:hAnsi="Times New Roman" w:cs="Times New Roman"/>
          <w:sz w:val="24"/>
          <w:szCs w:val="24"/>
        </w:rPr>
        <w:t>Connection</w:t>
      </w:r>
      <w:r w:rsidRPr="00E03CE0">
        <w:rPr>
          <w:rFonts w:ascii="Times New Roman" w:hAnsi="Times New Roman" w:cs="Times New Roman"/>
          <w:sz w:val="24"/>
          <w:szCs w:val="24"/>
        </w:rPr>
        <w:t>s</w:t>
      </w:r>
      <w:r w:rsidR="00752A7B" w:rsidRPr="00E03CE0">
        <w:rPr>
          <w:rFonts w:ascii="Times New Roman" w:hAnsi="Times New Roman" w:cs="Times New Roman"/>
          <w:sz w:val="24"/>
          <w:szCs w:val="24"/>
        </w:rPr>
        <w:t xml:space="preserve"> and</w:t>
      </w:r>
      <w:r w:rsidRPr="00E03CE0">
        <w:rPr>
          <w:rFonts w:ascii="Times New Roman" w:hAnsi="Times New Roman" w:cs="Times New Roman"/>
          <w:sz w:val="24"/>
          <w:szCs w:val="24"/>
        </w:rPr>
        <w:t xml:space="preserve"> Skills Gap in Kenya</w:t>
      </w:r>
    </w:p>
    <w:bookmarkEnd w:id="0"/>
    <w:p w14:paraId="27EC9BA8" w14:textId="77777777" w:rsidR="003A041D" w:rsidRPr="00E03CE0" w:rsidRDefault="003A041D" w:rsidP="000D4495">
      <w:pPr>
        <w:spacing w:line="240" w:lineRule="auto"/>
        <w:jc w:val="center"/>
        <w:rPr>
          <w:rFonts w:ascii="Times New Roman" w:hAnsi="Times New Roman" w:cs="Times New Roman"/>
          <w:sz w:val="24"/>
          <w:szCs w:val="24"/>
        </w:rPr>
      </w:pPr>
    </w:p>
    <w:p w14:paraId="43BEDB3E" w14:textId="2373D243" w:rsidR="003A041D" w:rsidRPr="00E03CE0" w:rsidRDefault="003A041D" w:rsidP="000D4495">
      <w:pPr>
        <w:spacing w:line="240" w:lineRule="auto"/>
        <w:jc w:val="center"/>
        <w:rPr>
          <w:rFonts w:ascii="Times New Roman" w:hAnsi="Times New Roman" w:cs="Times New Roman"/>
          <w:sz w:val="24"/>
          <w:szCs w:val="24"/>
        </w:rPr>
      </w:pPr>
      <w:bookmarkStart w:id="1" w:name="_Hlk154405663"/>
      <w:r w:rsidRPr="00E03CE0">
        <w:rPr>
          <w:rFonts w:ascii="Times New Roman" w:hAnsi="Times New Roman" w:cs="Times New Roman"/>
          <w:sz w:val="24"/>
          <w:szCs w:val="24"/>
        </w:rPr>
        <w:t>By</w:t>
      </w:r>
    </w:p>
    <w:p w14:paraId="5B3F72AA" w14:textId="5C94BA9E" w:rsidR="00437FB2" w:rsidRPr="00E03CE0" w:rsidRDefault="003A041D" w:rsidP="000D4495">
      <w:pPr>
        <w:spacing w:line="240" w:lineRule="auto"/>
        <w:jc w:val="center"/>
        <w:rPr>
          <w:rFonts w:ascii="Times New Roman" w:hAnsi="Times New Roman" w:cs="Times New Roman"/>
          <w:sz w:val="24"/>
          <w:szCs w:val="24"/>
        </w:rPr>
      </w:pPr>
      <w:r w:rsidRPr="00E03CE0">
        <w:rPr>
          <w:rFonts w:ascii="Times New Roman" w:hAnsi="Times New Roman" w:cs="Times New Roman"/>
          <w:sz w:val="24"/>
          <w:szCs w:val="24"/>
        </w:rPr>
        <w:t>Kefa Simiyu</w:t>
      </w:r>
      <w:r w:rsidR="003A3471" w:rsidRPr="00E03CE0">
        <w:rPr>
          <w:rStyle w:val="FootnoteReference"/>
          <w:rFonts w:ascii="Times New Roman" w:hAnsi="Times New Roman" w:cs="Times New Roman"/>
          <w:sz w:val="24"/>
          <w:szCs w:val="24"/>
        </w:rPr>
        <w:footnoteReference w:id="1"/>
      </w:r>
      <w:r w:rsidR="000D27F9" w:rsidRPr="00E03CE0">
        <w:rPr>
          <w:rFonts w:ascii="Times New Roman" w:hAnsi="Times New Roman" w:cs="Times New Roman"/>
          <w:sz w:val="24"/>
          <w:szCs w:val="24"/>
        </w:rPr>
        <w:t xml:space="preserve">, </w:t>
      </w:r>
      <w:r w:rsidRPr="00E03CE0">
        <w:rPr>
          <w:rFonts w:ascii="Times New Roman" w:hAnsi="Times New Roman" w:cs="Times New Roman"/>
          <w:sz w:val="24"/>
          <w:szCs w:val="24"/>
        </w:rPr>
        <w:t>Beatrice Mbinya</w:t>
      </w:r>
      <w:r w:rsidR="003A3471" w:rsidRPr="00E03CE0">
        <w:rPr>
          <w:rStyle w:val="FootnoteReference"/>
          <w:rFonts w:ascii="Times New Roman" w:hAnsi="Times New Roman" w:cs="Times New Roman"/>
          <w:sz w:val="24"/>
          <w:szCs w:val="24"/>
        </w:rPr>
        <w:footnoteReference w:id="2"/>
      </w:r>
      <w:r w:rsidR="000D27F9" w:rsidRPr="00E03CE0">
        <w:rPr>
          <w:rFonts w:ascii="Times New Roman" w:hAnsi="Times New Roman" w:cs="Times New Roman"/>
          <w:sz w:val="24"/>
          <w:szCs w:val="24"/>
        </w:rPr>
        <w:t xml:space="preserve">, and </w:t>
      </w:r>
      <w:r w:rsidR="008613FA" w:rsidRPr="00E03CE0">
        <w:rPr>
          <w:rFonts w:ascii="Times New Roman" w:hAnsi="Times New Roman" w:cs="Times New Roman"/>
          <w:sz w:val="24"/>
          <w:szCs w:val="24"/>
        </w:rPr>
        <w:t>Peter Karisa</w:t>
      </w:r>
      <w:r w:rsidR="00E95510" w:rsidRPr="00E03CE0">
        <w:rPr>
          <w:rStyle w:val="FootnoteReference"/>
          <w:rFonts w:ascii="Times New Roman" w:hAnsi="Times New Roman" w:cs="Times New Roman"/>
          <w:sz w:val="24"/>
          <w:szCs w:val="24"/>
        </w:rPr>
        <w:footnoteReference w:id="3"/>
      </w:r>
    </w:p>
    <w:p w14:paraId="531548F0" w14:textId="0B5E0C9A" w:rsidR="003A041D" w:rsidRPr="00E03CE0" w:rsidRDefault="003A041D" w:rsidP="000D4495">
      <w:pPr>
        <w:pStyle w:val="Heading1"/>
        <w:spacing w:line="240" w:lineRule="auto"/>
        <w:jc w:val="both"/>
        <w:rPr>
          <w:rFonts w:ascii="Times New Roman" w:hAnsi="Times New Roman" w:cs="Times New Roman"/>
          <w:b/>
          <w:bCs/>
          <w:color w:val="auto"/>
          <w:sz w:val="24"/>
          <w:szCs w:val="24"/>
        </w:rPr>
      </w:pPr>
      <w:bookmarkStart w:id="2" w:name="_Toc162614805"/>
      <w:r w:rsidRPr="00E03CE0">
        <w:rPr>
          <w:rFonts w:ascii="Times New Roman" w:hAnsi="Times New Roman" w:cs="Times New Roman"/>
          <w:b/>
          <w:bCs/>
          <w:color w:val="auto"/>
          <w:sz w:val="24"/>
          <w:szCs w:val="24"/>
        </w:rPr>
        <w:t>ABSTRACT</w:t>
      </w:r>
      <w:bookmarkEnd w:id="2"/>
    </w:p>
    <w:p w14:paraId="7FD6D213" w14:textId="6A21004B" w:rsidR="00755974" w:rsidRPr="00E03CE0" w:rsidRDefault="00C20D78" w:rsidP="000D4495">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Studies on inter-firm networks indicate that enterprises facing constraints related to the quality of employees rely on other enterprises for their own survival. These studies </w:t>
      </w:r>
      <w:r w:rsidR="00232B70" w:rsidRPr="00E03CE0">
        <w:rPr>
          <w:rFonts w:ascii="Times New Roman" w:hAnsi="Times New Roman" w:cs="Times New Roman"/>
          <w:sz w:val="24"/>
          <w:szCs w:val="24"/>
        </w:rPr>
        <w:t xml:space="preserve">treat skills gap as given, and </w:t>
      </w:r>
      <w:r w:rsidRPr="00E03CE0">
        <w:rPr>
          <w:rFonts w:ascii="Times New Roman" w:hAnsi="Times New Roman" w:cs="Times New Roman"/>
          <w:sz w:val="24"/>
          <w:szCs w:val="24"/>
        </w:rPr>
        <w:t xml:space="preserve">consider </w:t>
      </w:r>
      <w:r w:rsidR="00232B70" w:rsidRPr="00E03CE0">
        <w:rPr>
          <w:rFonts w:ascii="Times New Roman" w:hAnsi="Times New Roman" w:cs="Times New Roman"/>
          <w:sz w:val="24"/>
          <w:szCs w:val="24"/>
        </w:rPr>
        <w:t xml:space="preserve">the poaching of highly-skilled and experienced </w:t>
      </w:r>
      <w:r w:rsidRPr="00E03CE0">
        <w:rPr>
          <w:rFonts w:ascii="Times New Roman" w:hAnsi="Times New Roman" w:cs="Times New Roman"/>
          <w:sz w:val="24"/>
          <w:szCs w:val="24"/>
        </w:rPr>
        <w:t>employee</w:t>
      </w:r>
      <w:r w:rsidR="00232B70" w:rsidRPr="00E03CE0">
        <w:rPr>
          <w:rFonts w:ascii="Times New Roman" w:hAnsi="Times New Roman" w:cs="Times New Roman"/>
          <w:sz w:val="24"/>
          <w:szCs w:val="24"/>
        </w:rPr>
        <w:t>s</w:t>
      </w:r>
      <w:r w:rsidRPr="00E03CE0">
        <w:rPr>
          <w:rFonts w:ascii="Times New Roman" w:hAnsi="Times New Roman" w:cs="Times New Roman"/>
          <w:sz w:val="24"/>
          <w:szCs w:val="24"/>
        </w:rPr>
        <w:t xml:space="preserve"> as inevitable when firms face rising within-firm worker-training costs or when employee-employer referral system breaks down. What is less understood, especially from a developing-country context, is the extent to which focal enterprises respond to rising skills gap at the [sub]sector-region level. </w:t>
      </w:r>
      <w:r w:rsidR="00012AE9" w:rsidRPr="00E03CE0">
        <w:rPr>
          <w:rFonts w:ascii="Times New Roman" w:hAnsi="Times New Roman" w:cs="Times New Roman"/>
          <w:sz w:val="24"/>
          <w:szCs w:val="24"/>
        </w:rPr>
        <w:t xml:space="preserve">This paper </w:t>
      </w:r>
      <w:r w:rsidR="00232B70" w:rsidRPr="00E03CE0">
        <w:rPr>
          <w:rFonts w:ascii="Times New Roman" w:hAnsi="Times New Roman" w:cs="Times New Roman"/>
          <w:sz w:val="24"/>
          <w:szCs w:val="24"/>
        </w:rPr>
        <w:t xml:space="preserve">analyzes the responsiveness of enterprises to </w:t>
      </w:r>
      <w:r w:rsidR="00755974" w:rsidRPr="00E03CE0">
        <w:rPr>
          <w:rFonts w:ascii="Times New Roman" w:hAnsi="Times New Roman" w:cs="Times New Roman"/>
          <w:sz w:val="24"/>
          <w:szCs w:val="24"/>
        </w:rPr>
        <w:t>under-skilling among related enterprises</w:t>
      </w:r>
      <w:r w:rsidR="00232B70" w:rsidRPr="00E03CE0">
        <w:rPr>
          <w:rFonts w:ascii="Times New Roman" w:hAnsi="Times New Roman" w:cs="Times New Roman"/>
          <w:sz w:val="24"/>
          <w:szCs w:val="24"/>
        </w:rPr>
        <w:t xml:space="preserve"> at the [sub]sector and region level</w:t>
      </w:r>
      <w:r w:rsidR="00755974" w:rsidRPr="00E03CE0">
        <w:rPr>
          <w:rFonts w:ascii="Times New Roman" w:hAnsi="Times New Roman" w:cs="Times New Roman"/>
          <w:sz w:val="24"/>
          <w:szCs w:val="24"/>
        </w:rPr>
        <w:t xml:space="preserve"> in Kenya</w:t>
      </w:r>
      <w:r w:rsidR="00232B70" w:rsidRPr="00E03CE0">
        <w:rPr>
          <w:rFonts w:ascii="Times New Roman" w:hAnsi="Times New Roman" w:cs="Times New Roman"/>
          <w:sz w:val="24"/>
          <w:szCs w:val="24"/>
        </w:rPr>
        <w:t xml:space="preserve">. The analysis </w:t>
      </w:r>
      <w:r w:rsidR="00012AE9" w:rsidRPr="00E03CE0">
        <w:rPr>
          <w:rFonts w:ascii="Times New Roman" w:hAnsi="Times New Roman" w:cs="Times New Roman"/>
          <w:sz w:val="24"/>
          <w:szCs w:val="24"/>
        </w:rPr>
        <w:t>utilizes</w:t>
      </w:r>
      <w:r w:rsidR="00232B70" w:rsidRPr="00E03CE0">
        <w:rPr>
          <w:rFonts w:ascii="Times New Roman" w:hAnsi="Times New Roman" w:cs="Times New Roman"/>
          <w:sz w:val="24"/>
          <w:szCs w:val="24"/>
        </w:rPr>
        <w:t xml:space="preserve"> the 2016 STEP</w:t>
      </w:r>
      <w:r w:rsidR="000D4495" w:rsidRPr="00E03CE0">
        <w:rPr>
          <w:rFonts w:ascii="Times New Roman" w:hAnsi="Times New Roman" w:cs="Times New Roman"/>
          <w:sz w:val="24"/>
          <w:szCs w:val="24"/>
        </w:rPr>
        <w:t xml:space="preserve"> survey</w:t>
      </w:r>
      <w:r w:rsidR="00232B70" w:rsidRPr="00E03CE0">
        <w:rPr>
          <w:rFonts w:ascii="Times New Roman" w:hAnsi="Times New Roman" w:cs="Times New Roman"/>
          <w:sz w:val="24"/>
          <w:szCs w:val="24"/>
        </w:rPr>
        <w:t xml:space="preserve"> dataset. Th</w:t>
      </w:r>
      <w:r w:rsidR="000D4495" w:rsidRPr="00E03CE0">
        <w:rPr>
          <w:rFonts w:ascii="Times New Roman" w:hAnsi="Times New Roman" w:cs="Times New Roman"/>
          <w:sz w:val="24"/>
          <w:szCs w:val="24"/>
        </w:rPr>
        <w:t>is survey</w:t>
      </w:r>
      <w:r w:rsidR="00232B70" w:rsidRPr="00E03CE0">
        <w:rPr>
          <w:rFonts w:ascii="Times New Roman" w:hAnsi="Times New Roman" w:cs="Times New Roman"/>
          <w:sz w:val="24"/>
          <w:szCs w:val="24"/>
        </w:rPr>
        <w:t xml:space="preserve"> w</w:t>
      </w:r>
      <w:r w:rsidR="000D4495" w:rsidRPr="00E03CE0">
        <w:rPr>
          <w:rFonts w:ascii="Times New Roman" w:hAnsi="Times New Roman" w:cs="Times New Roman"/>
          <w:sz w:val="24"/>
          <w:szCs w:val="24"/>
        </w:rPr>
        <w:t>as</w:t>
      </w:r>
      <w:r w:rsidR="00232B70" w:rsidRPr="00E03CE0">
        <w:rPr>
          <w:rFonts w:ascii="Times New Roman" w:hAnsi="Times New Roman" w:cs="Times New Roman"/>
          <w:sz w:val="24"/>
          <w:szCs w:val="24"/>
        </w:rPr>
        <w:t xml:space="preserve"> conducted by the World Bank among firms within the services and manufacturing sectors</w:t>
      </w:r>
      <w:r w:rsidR="00C979E3" w:rsidRPr="00E03CE0">
        <w:rPr>
          <w:rFonts w:ascii="Times New Roman" w:hAnsi="Times New Roman" w:cs="Times New Roman"/>
          <w:sz w:val="24"/>
          <w:szCs w:val="24"/>
        </w:rPr>
        <w:t xml:space="preserve">. </w:t>
      </w:r>
      <w:r w:rsidR="008F4B73" w:rsidRPr="00E03CE0">
        <w:rPr>
          <w:rFonts w:ascii="Times New Roman" w:hAnsi="Times New Roman" w:cs="Times New Roman"/>
          <w:sz w:val="24"/>
          <w:szCs w:val="24"/>
        </w:rPr>
        <w:t xml:space="preserve">Findings suggest that under-skilling </w:t>
      </w:r>
      <w:r w:rsidR="00755974" w:rsidRPr="00E03CE0">
        <w:rPr>
          <w:rFonts w:ascii="Times New Roman" w:hAnsi="Times New Roman" w:cs="Times New Roman"/>
          <w:sz w:val="24"/>
          <w:szCs w:val="24"/>
        </w:rPr>
        <w:t xml:space="preserve">in Kenya is quite high with two in every three enterprises having attracted an under-skilled job seeker. In a regression discontinuity design setup, we </w:t>
      </w:r>
      <w:r w:rsidR="000D4495" w:rsidRPr="00E03CE0">
        <w:rPr>
          <w:rFonts w:ascii="Times New Roman" w:hAnsi="Times New Roman" w:cs="Times New Roman"/>
          <w:sz w:val="24"/>
          <w:szCs w:val="24"/>
        </w:rPr>
        <w:t xml:space="preserve">show </w:t>
      </w:r>
      <w:r w:rsidR="00755974" w:rsidRPr="00E03CE0">
        <w:rPr>
          <w:rFonts w:ascii="Times New Roman" w:hAnsi="Times New Roman" w:cs="Times New Roman"/>
          <w:sz w:val="24"/>
          <w:szCs w:val="24"/>
        </w:rPr>
        <w:t xml:space="preserve">that focal enterprises were less likely to attract under-skilled job seekers when under-skilling was high among their peers relative to when low. </w:t>
      </w:r>
      <w:r w:rsidR="008F4B73" w:rsidRPr="00E03CE0">
        <w:rPr>
          <w:rFonts w:ascii="Times New Roman" w:hAnsi="Times New Roman" w:cs="Times New Roman"/>
          <w:sz w:val="24"/>
          <w:szCs w:val="24"/>
        </w:rPr>
        <w:t>We conclude</w:t>
      </w:r>
      <w:r w:rsidR="00755974" w:rsidRPr="00E03CE0">
        <w:rPr>
          <w:rFonts w:ascii="Times New Roman" w:hAnsi="Times New Roman" w:cs="Times New Roman"/>
          <w:sz w:val="24"/>
          <w:szCs w:val="24"/>
        </w:rPr>
        <w:t xml:space="preserve"> that focal enterprises countered under-skilling among their peers by being less attractive to under-skilled job seekers. We then recommend regular coordination of skills training workshops at the sector-region level. </w:t>
      </w:r>
    </w:p>
    <w:bookmarkEnd w:id="1"/>
    <w:p w14:paraId="3071891E" w14:textId="783AFF53" w:rsidR="00E2772A" w:rsidRPr="00E03CE0" w:rsidRDefault="00E2527E" w:rsidP="000D4495">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Key words: Skills gap; Social </w:t>
      </w:r>
      <w:r w:rsidR="00755974" w:rsidRPr="00E03CE0">
        <w:rPr>
          <w:rFonts w:ascii="Times New Roman" w:hAnsi="Times New Roman" w:cs="Times New Roman"/>
          <w:sz w:val="24"/>
          <w:szCs w:val="24"/>
        </w:rPr>
        <w:t>connections</w:t>
      </w:r>
    </w:p>
    <w:p w14:paraId="0B9D7F05" w14:textId="296488B2" w:rsidR="00CB4C4C" w:rsidRPr="00E03CE0" w:rsidRDefault="00CB4C4C" w:rsidP="000D4495">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JEL Codes: D83, J24, J64, J82</w:t>
      </w:r>
    </w:p>
    <w:p w14:paraId="59DE5F6E" w14:textId="7790DD3C" w:rsidR="003A041D" w:rsidRPr="00E03CE0" w:rsidRDefault="003A041D" w:rsidP="00453108">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br w:type="page"/>
      </w:r>
    </w:p>
    <w:p w14:paraId="077F90CA" w14:textId="2E8F8254" w:rsidR="003A041D" w:rsidRPr="00E03CE0" w:rsidRDefault="003A041D" w:rsidP="001365F2">
      <w:pPr>
        <w:spacing w:line="240" w:lineRule="auto"/>
        <w:jc w:val="both"/>
        <w:rPr>
          <w:rFonts w:ascii="Times New Roman" w:hAnsi="Times New Roman" w:cs="Times New Roman"/>
          <w:b/>
          <w:bCs/>
          <w:sz w:val="24"/>
          <w:szCs w:val="24"/>
        </w:rPr>
      </w:pPr>
      <w:bookmarkStart w:id="3" w:name="_Hlk154406980"/>
      <w:r w:rsidRPr="00E03CE0">
        <w:rPr>
          <w:rFonts w:ascii="Times New Roman" w:hAnsi="Times New Roman" w:cs="Times New Roman"/>
          <w:b/>
          <w:bCs/>
          <w:sz w:val="24"/>
          <w:szCs w:val="24"/>
        </w:rPr>
        <w:lastRenderedPageBreak/>
        <w:t>INTRODUCTION</w:t>
      </w:r>
    </w:p>
    <w:p w14:paraId="053768CA" w14:textId="20E6DCD5" w:rsidR="00D644C9" w:rsidRDefault="00D644C9" w:rsidP="001365F2">
      <w:pPr>
        <w:spacing w:line="240" w:lineRule="auto"/>
        <w:jc w:val="both"/>
        <w:rPr>
          <w:rFonts w:ascii="Times New Roman" w:hAnsi="Times New Roman" w:cs="Times New Roman"/>
          <w:sz w:val="24"/>
          <w:szCs w:val="24"/>
        </w:rPr>
      </w:pPr>
      <w:bookmarkStart w:id="4" w:name="_Hlk154495207"/>
      <w:bookmarkEnd w:id="3"/>
      <w:r>
        <w:rPr>
          <w:rFonts w:ascii="Times New Roman" w:hAnsi="Times New Roman" w:cs="Times New Roman"/>
          <w:sz w:val="24"/>
          <w:szCs w:val="24"/>
        </w:rPr>
        <w:t xml:space="preserve">Beginning the year 2007, Kenya embarked on an ambitious Vision 2030 project which was intended to transition the country into an upper-middle-income rapidly-industrializing country by the year 2030. The Project’s </w:t>
      </w:r>
      <w:r w:rsidR="002A36E2">
        <w:rPr>
          <w:rFonts w:ascii="Times New Roman" w:hAnsi="Times New Roman" w:cs="Times New Roman"/>
          <w:sz w:val="24"/>
          <w:szCs w:val="24"/>
        </w:rPr>
        <w:t>cornerstone</w:t>
      </w:r>
      <w:r>
        <w:rPr>
          <w:rFonts w:ascii="Times New Roman" w:hAnsi="Times New Roman" w:cs="Times New Roman"/>
          <w:sz w:val="24"/>
          <w:szCs w:val="24"/>
        </w:rPr>
        <w:t xml:space="preserve"> was skills-driven industrialization. Towards meeting the country’s needs for skills for development, successive governments rolled out various initiatives targeting skills development and innovation. These initiatives included the </w:t>
      </w:r>
      <w:r w:rsidR="00666BD1">
        <w:rPr>
          <w:rFonts w:ascii="Times New Roman" w:hAnsi="Times New Roman" w:cs="Times New Roman"/>
          <w:sz w:val="24"/>
          <w:szCs w:val="24"/>
        </w:rPr>
        <w:t xml:space="preserve">Big Four Agenda in the 2013-2022 period, and the Bottom-Up Economic Transformation Agenda (BETA) from 2023 to the present. These initiatives were integrated within the fourth medium-term plan which emphasizes the creation of gainful and meaningful employment opportunities while expanding the pool of a skilled workforce. Kenya </w:t>
      </w:r>
      <w:r w:rsidR="002A36E2">
        <w:rPr>
          <w:rFonts w:ascii="Times New Roman" w:hAnsi="Times New Roman" w:cs="Times New Roman"/>
          <w:sz w:val="24"/>
          <w:szCs w:val="24"/>
        </w:rPr>
        <w:t xml:space="preserve">has </w:t>
      </w:r>
      <w:r w:rsidR="00666BD1">
        <w:rPr>
          <w:rFonts w:ascii="Times New Roman" w:hAnsi="Times New Roman" w:cs="Times New Roman"/>
          <w:sz w:val="24"/>
          <w:szCs w:val="24"/>
        </w:rPr>
        <w:t xml:space="preserve">also invested in talent and skills development via the State Department for Labour and Skills Development. This move was augmented by specific legislations and frameworks including the National Guidelines for Sector Skills Committees and the National Skills Development Policy. </w:t>
      </w:r>
      <w:r w:rsidR="002A36E2">
        <w:rPr>
          <w:rFonts w:ascii="Times New Roman" w:hAnsi="Times New Roman" w:cs="Times New Roman"/>
          <w:sz w:val="24"/>
          <w:szCs w:val="24"/>
        </w:rPr>
        <w:t xml:space="preserve">Both frameworks focus on enhancing the quality of workers, and thereby foster effective labour. </w:t>
      </w:r>
      <w:r w:rsidR="00666BD1">
        <w:rPr>
          <w:rFonts w:ascii="Times New Roman" w:hAnsi="Times New Roman" w:cs="Times New Roman"/>
          <w:sz w:val="24"/>
          <w:szCs w:val="24"/>
        </w:rPr>
        <w:t xml:space="preserve">Despite these initiatives and legislations, </w:t>
      </w:r>
      <w:r w:rsidR="002A36E2">
        <w:rPr>
          <w:rFonts w:ascii="Times New Roman" w:hAnsi="Times New Roman" w:cs="Times New Roman"/>
          <w:sz w:val="24"/>
          <w:szCs w:val="24"/>
        </w:rPr>
        <w:t xml:space="preserve">the country faces a skills deficit with the skills gap being more pronounced in some sectors and regions relative to others. Pronounced skills gaps could derail skills-driven industrialization, thereby rendering Vision 2030 unachievable. </w:t>
      </w:r>
      <w:r w:rsidR="00666BD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045C143" w14:textId="3A018A7F" w:rsidR="00DB6C10" w:rsidRPr="00E03CE0" w:rsidRDefault="002A36E2" w:rsidP="001365F2">
      <w:pPr>
        <w:spacing w:line="240" w:lineRule="auto"/>
        <w:jc w:val="both"/>
        <w:rPr>
          <w:rFonts w:ascii="Times New Roman" w:hAnsi="Times New Roman" w:cs="Times New Roman"/>
          <w:sz w:val="24"/>
          <w:szCs w:val="24"/>
        </w:rPr>
      </w:pPr>
      <w:r>
        <w:rPr>
          <w:rFonts w:ascii="Times New Roman" w:hAnsi="Times New Roman" w:cs="Times New Roman"/>
          <w:sz w:val="24"/>
          <w:szCs w:val="24"/>
        </w:rPr>
        <w:t>The problem of skills deficit</w:t>
      </w:r>
      <w:r w:rsidR="005B70A9">
        <w:rPr>
          <w:rFonts w:ascii="Times New Roman" w:hAnsi="Times New Roman" w:cs="Times New Roman"/>
          <w:sz w:val="24"/>
          <w:szCs w:val="24"/>
        </w:rPr>
        <w:t xml:space="preserve"> and slow industrialization</w:t>
      </w:r>
      <w:r>
        <w:rPr>
          <w:rFonts w:ascii="Times New Roman" w:hAnsi="Times New Roman" w:cs="Times New Roman"/>
          <w:sz w:val="24"/>
          <w:szCs w:val="24"/>
        </w:rPr>
        <w:t xml:space="preserve"> is not unique to Kenya. </w:t>
      </w:r>
      <w:r w:rsidR="00AF4350">
        <w:rPr>
          <w:rFonts w:ascii="Times New Roman" w:hAnsi="Times New Roman" w:cs="Times New Roman"/>
          <w:sz w:val="24"/>
          <w:szCs w:val="24"/>
        </w:rPr>
        <w:t>For instance, i</w:t>
      </w:r>
      <w:r w:rsidR="00155B5C" w:rsidRPr="00E03CE0">
        <w:rPr>
          <w:rFonts w:ascii="Times New Roman" w:hAnsi="Times New Roman" w:cs="Times New Roman"/>
          <w:sz w:val="24"/>
          <w:szCs w:val="24"/>
        </w:rPr>
        <w:t>ndustrialization on the continent is discouragingly low despite Africa’s massive industrial potential</w:t>
      </w:r>
      <w:r w:rsidR="003831F7" w:rsidRPr="00E03CE0">
        <w:rPr>
          <w:rFonts w:ascii="Times New Roman" w:hAnsi="Times New Roman" w:cs="Times New Roman"/>
          <w:sz w:val="24"/>
          <w:szCs w:val="24"/>
        </w:rPr>
        <w:t xml:space="preserve"> (Gelb et al, 2020</w:t>
      </w:r>
      <w:r w:rsidR="00155B5C" w:rsidRPr="00E03CE0">
        <w:rPr>
          <w:rFonts w:ascii="Times New Roman" w:hAnsi="Times New Roman" w:cs="Times New Roman"/>
          <w:sz w:val="24"/>
          <w:szCs w:val="24"/>
        </w:rPr>
        <w:t xml:space="preserve">; </w:t>
      </w:r>
      <w:proofErr w:type="spellStart"/>
      <w:r w:rsidR="00AE5D37" w:rsidRPr="00E03CE0">
        <w:rPr>
          <w:rFonts w:ascii="Times New Roman" w:hAnsi="Times New Roman" w:cs="Times New Roman"/>
          <w:sz w:val="24"/>
          <w:szCs w:val="24"/>
        </w:rPr>
        <w:t>Newfarmer</w:t>
      </w:r>
      <w:proofErr w:type="spellEnd"/>
      <w:r w:rsidR="00AE5D37" w:rsidRPr="00E03CE0">
        <w:rPr>
          <w:rFonts w:ascii="Times New Roman" w:hAnsi="Times New Roman" w:cs="Times New Roman"/>
          <w:sz w:val="24"/>
          <w:szCs w:val="24"/>
        </w:rPr>
        <w:t xml:space="preserve"> et al, eds, 2019)</w:t>
      </w:r>
      <w:r w:rsidR="00BE76B3" w:rsidRPr="00E03CE0">
        <w:rPr>
          <w:rFonts w:ascii="Times New Roman" w:hAnsi="Times New Roman" w:cs="Times New Roman"/>
          <w:sz w:val="24"/>
          <w:szCs w:val="24"/>
        </w:rPr>
        <w:t>.</w:t>
      </w:r>
      <w:r w:rsidR="000253DC" w:rsidRPr="00E03CE0">
        <w:rPr>
          <w:rFonts w:ascii="Times New Roman" w:hAnsi="Times New Roman" w:cs="Times New Roman"/>
          <w:sz w:val="24"/>
          <w:szCs w:val="24"/>
        </w:rPr>
        <w:t xml:space="preserve"> </w:t>
      </w:r>
      <w:r w:rsidR="006708F9" w:rsidRPr="00E03CE0">
        <w:rPr>
          <w:rFonts w:ascii="Times New Roman" w:hAnsi="Times New Roman" w:cs="Times New Roman"/>
          <w:sz w:val="24"/>
          <w:szCs w:val="24"/>
        </w:rPr>
        <w:t>Africa</w:t>
      </w:r>
      <w:r w:rsidR="000253DC" w:rsidRPr="00E03CE0">
        <w:rPr>
          <w:rFonts w:ascii="Times New Roman" w:hAnsi="Times New Roman" w:cs="Times New Roman"/>
          <w:sz w:val="24"/>
          <w:szCs w:val="24"/>
        </w:rPr>
        <w:t xml:space="preserve"> is </w:t>
      </w:r>
      <w:r w:rsidR="00155B5C" w:rsidRPr="00E03CE0">
        <w:rPr>
          <w:rFonts w:ascii="Times New Roman" w:hAnsi="Times New Roman" w:cs="Times New Roman"/>
          <w:sz w:val="24"/>
          <w:szCs w:val="24"/>
        </w:rPr>
        <w:t xml:space="preserve">also </w:t>
      </w:r>
      <w:r w:rsidR="000253DC" w:rsidRPr="00E03CE0">
        <w:rPr>
          <w:rFonts w:ascii="Times New Roman" w:hAnsi="Times New Roman" w:cs="Times New Roman"/>
          <w:sz w:val="24"/>
          <w:szCs w:val="24"/>
        </w:rPr>
        <w:t>argued to de-industrialize prematurely</w:t>
      </w:r>
      <w:r w:rsidR="00155B5C" w:rsidRPr="00E03CE0">
        <w:rPr>
          <w:rFonts w:ascii="Times New Roman" w:hAnsi="Times New Roman" w:cs="Times New Roman"/>
          <w:sz w:val="24"/>
          <w:szCs w:val="24"/>
        </w:rPr>
        <w:t>, thereby driving the destruction of decent industrial jobs</w:t>
      </w:r>
      <w:r w:rsidR="001477D1" w:rsidRPr="00E03CE0">
        <w:rPr>
          <w:rFonts w:ascii="Times New Roman" w:hAnsi="Times New Roman" w:cs="Times New Roman"/>
          <w:sz w:val="24"/>
          <w:szCs w:val="24"/>
        </w:rPr>
        <w:t xml:space="preserve"> (Naudé &amp; Tregenna, 2023</w:t>
      </w:r>
      <w:r w:rsidR="00155B5C" w:rsidRPr="00E03CE0">
        <w:rPr>
          <w:rFonts w:ascii="Times New Roman" w:hAnsi="Times New Roman" w:cs="Times New Roman"/>
          <w:sz w:val="24"/>
          <w:szCs w:val="24"/>
        </w:rPr>
        <w:t xml:space="preserve">; </w:t>
      </w:r>
      <w:r w:rsidR="00245029" w:rsidRPr="00E03CE0">
        <w:rPr>
          <w:rFonts w:ascii="Times New Roman" w:hAnsi="Times New Roman" w:cs="Times New Roman"/>
          <w:sz w:val="24"/>
          <w:szCs w:val="24"/>
        </w:rPr>
        <w:t>Di Berardino et al, 2021</w:t>
      </w:r>
      <w:r w:rsidR="007A7D6F" w:rsidRPr="00E03CE0">
        <w:rPr>
          <w:rFonts w:ascii="Times New Roman" w:hAnsi="Times New Roman" w:cs="Times New Roman"/>
          <w:sz w:val="24"/>
          <w:szCs w:val="24"/>
        </w:rPr>
        <w:t>; Ciccolini, 2023</w:t>
      </w:r>
      <w:r w:rsidR="00245029" w:rsidRPr="00E03CE0">
        <w:rPr>
          <w:rFonts w:ascii="Times New Roman" w:hAnsi="Times New Roman" w:cs="Times New Roman"/>
          <w:sz w:val="24"/>
          <w:szCs w:val="24"/>
        </w:rPr>
        <w:t>)</w:t>
      </w:r>
      <w:r w:rsidR="000253DC" w:rsidRPr="00E03CE0">
        <w:rPr>
          <w:rFonts w:ascii="Times New Roman" w:hAnsi="Times New Roman" w:cs="Times New Roman"/>
          <w:sz w:val="24"/>
          <w:szCs w:val="24"/>
        </w:rPr>
        <w:t>.</w:t>
      </w:r>
      <w:r w:rsidR="00BE76B3" w:rsidRPr="00E03CE0">
        <w:rPr>
          <w:rFonts w:ascii="Times New Roman" w:hAnsi="Times New Roman" w:cs="Times New Roman"/>
          <w:sz w:val="24"/>
          <w:szCs w:val="24"/>
        </w:rPr>
        <w:t xml:space="preserve"> </w:t>
      </w:r>
      <w:r w:rsidR="00155B5C" w:rsidRPr="00E03CE0">
        <w:rPr>
          <w:rFonts w:ascii="Times New Roman" w:hAnsi="Times New Roman" w:cs="Times New Roman"/>
          <w:sz w:val="24"/>
          <w:szCs w:val="24"/>
        </w:rPr>
        <w:t>Related studies</w:t>
      </w:r>
      <w:r w:rsidR="005B70A9">
        <w:rPr>
          <w:rFonts w:ascii="Times New Roman" w:hAnsi="Times New Roman" w:cs="Times New Roman"/>
          <w:sz w:val="24"/>
          <w:szCs w:val="24"/>
        </w:rPr>
        <w:t xml:space="preserve">, including </w:t>
      </w:r>
      <w:r w:rsidR="005B70A9" w:rsidRPr="00E03CE0">
        <w:rPr>
          <w:rFonts w:ascii="Times New Roman" w:hAnsi="Times New Roman" w:cs="Times New Roman"/>
          <w:sz w:val="24"/>
          <w:szCs w:val="24"/>
        </w:rPr>
        <w:t xml:space="preserve">Gillman </w:t>
      </w:r>
      <w:r w:rsidR="005B70A9">
        <w:rPr>
          <w:rFonts w:ascii="Times New Roman" w:hAnsi="Times New Roman" w:cs="Times New Roman"/>
          <w:sz w:val="24"/>
          <w:szCs w:val="24"/>
        </w:rPr>
        <w:t>(</w:t>
      </w:r>
      <w:r w:rsidR="005B70A9" w:rsidRPr="00E03CE0">
        <w:rPr>
          <w:rFonts w:ascii="Times New Roman" w:hAnsi="Times New Roman" w:cs="Times New Roman"/>
          <w:sz w:val="24"/>
          <w:szCs w:val="24"/>
        </w:rPr>
        <w:t>2021</w:t>
      </w:r>
      <w:r w:rsidR="005B70A9">
        <w:rPr>
          <w:rFonts w:ascii="Times New Roman" w:hAnsi="Times New Roman" w:cs="Times New Roman"/>
          <w:sz w:val="24"/>
          <w:szCs w:val="24"/>
        </w:rPr>
        <w:t>),</w:t>
      </w:r>
      <w:r w:rsidR="005B70A9" w:rsidRPr="00E03CE0">
        <w:rPr>
          <w:rFonts w:ascii="Times New Roman" w:hAnsi="Times New Roman" w:cs="Times New Roman"/>
          <w:sz w:val="24"/>
          <w:szCs w:val="24"/>
        </w:rPr>
        <w:t xml:space="preserve"> Brunello &amp; </w:t>
      </w:r>
      <w:proofErr w:type="spellStart"/>
      <w:r w:rsidR="005B70A9" w:rsidRPr="00E03CE0">
        <w:rPr>
          <w:rFonts w:ascii="Times New Roman" w:hAnsi="Times New Roman" w:cs="Times New Roman"/>
          <w:sz w:val="24"/>
          <w:szCs w:val="24"/>
        </w:rPr>
        <w:t>Wruuck</w:t>
      </w:r>
      <w:proofErr w:type="spellEnd"/>
      <w:r w:rsidR="005B70A9">
        <w:rPr>
          <w:rFonts w:ascii="Times New Roman" w:hAnsi="Times New Roman" w:cs="Times New Roman"/>
          <w:sz w:val="24"/>
          <w:szCs w:val="24"/>
        </w:rPr>
        <w:t xml:space="preserve"> (</w:t>
      </w:r>
      <w:r w:rsidR="005B70A9" w:rsidRPr="00E03CE0">
        <w:rPr>
          <w:rFonts w:ascii="Times New Roman" w:hAnsi="Times New Roman" w:cs="Times New Roman"/>
          <w:sz w:val="24"/>
          <w:szCs w:val="24"/>
        </w:rPr>
        <w:t>2021</w:t>
      </w:r>
      <w:r w:rsidR="005B70A9">
        <w:rPr>
          <w:rFonts w:ascii="Times New Roman" w:hAnsi="Times New Roman" w:cs="Times New Roman"/>
          <w:sz w:val="24"/>
          <w:szCs w:val="24"/>
        </w:rPr>
        <w:t>), and</w:t>
      </w:r>
      <w:r w:rsidR="005B70A9" w:rsidRPr="00E03CE0">
        <w:rPr>
          <w:rFonts w:ascii="Times New Roman" w:hAnsi="Times New Roman" w:cs="Times New Roman"/>
          <w:sz w:val="24"/>
          <w:szCs w:val="24"/>
        </w:rPr>
        <w:t xml:space="preserve"> Bandiera et al</w:t>
      </w:r>
      <w:r w:rsidR="005B70A9">
        <w:rPr>
          <w:rFonts w:ascii="Times New Roman" w:hAnsi="Times New Roman" w:cs="Times New Roman"/>
          <w:sz w:val="24"/>
          <w:szCs w:val="24"/>
        </w:rPr>
        <w:t xml:space="preserve"> (</w:t>
      </w:r>
      <w:r w:rsidR="005B70A9" w:rsidRPr="00E03CE0">
        <w:rPr>
          <w:rFonts w:ascii="Times New Roman" w:hAnsi="Times New Roman" w:cs="Times New Roman"/>
          <w:sz w:val="24"/>
          <w:szCs w:val="24"/>
        </w:rPr>
        <w:t>2023</w:t>
      </w:r>
      <w:r w:rsidR="005B70A9">
        <w:rPr>
          <w:rFonts w:ascii="Times New Roman" w:hAnsi="Times New Roman" w:cs="Times New Roman"/>
          <w:sz w:val="24"/>
          <w:szCs w:val="24"/>
        </w:rPr>
        <w:t>)</w:t>
      </w:r>
      <w:r w:rsidR="00AF4350">
        <w:rPr>
          <w:rFonts w:ascii="Times New Roman" w:hAnsi="Times New Roman" w:cs="Times New Roman"/>
          <w:sz w:val="24"/>
          <w:szCs w:val="24"/>
        </w:rPr>
        <w:t>,</w:t>
      </w:r>
      <w:r w:rsidR="00155B5C" w:rsidRPr="00E03CE0">
        <w:rPr>
          <w:rFonts w:ascii="Times New Roman" w:hAnsi="Times New Roman" w:cs="Times New Roman"/>
          <w:sz w:val="24"/>
          <w:szCs w:val="24"/>
        </w:rPr>
        <w:t xml:space="preserve"> indicate that the continent’s poor industrial development arises in part from the underutilization of a limited skilled workforce, widespread skills gap and skills deficits, underinvestment in skills development, and the replacement of skill-intensive jobs with less skill-sensitive jobs</w:t>
      </w:r>
      <w:r w:rsidR="00245029" w:rsidRPr="00E03CE0">
        <w:rPr>
          <w:rStyle w:val="FootnoteReference"/>
          <w:rFonts w:ascii="Times New Roman" w:hAnsi="Times New Roman" w:cs="Times New Roman"/>
          <w:sz w:val="24"/>
          <w:szCs w:val="24"/>
        </w:rPr>
        <w:footnoteReference w:id="4"/>
      </w:r>
      <w:bookmarkStart w:id="5" w:name="_Hlk154407006"/>
      <w:r w:rsidR="00155B5C" w:rsidRPr="00E03CE0">
        <w:rPr>
          <w:rFonts w:ascii="Times New Roman" w:hAnsi="Times New Roman" w:cs="Times New Roman"/>
          <w:sz w:val="24"/>
          <w:szCs w:val="24"/>
        </w:rPr>
        <w:t>.</w:t>
      </w:r>
      <w:r w:rsidR="007922DC" w:rsidRPr="00E03CE0">
        <w:rPr>
          <w:rFonts w:ascii="Times New Roman" w:hAnsi="Times New Roman" w:cs="Times New Roman"/>
          <w:sz w:val="24"/>
          <w:szCs w:val="24"/>
        </w:rPr>
        <w:t xml:space="preserve"> </w:t>
      </w:r>
      <w:r w:rsidR="000F5A8A" w:rsidRPr="00E03CE0">
        <w:rPr>
          <w:rFonts w:ascii="Times New Roman" w:hAnsi="Times New Roman" w:cs="Times New Roman"/>
          <w:sz w:val="24"/>
          <w:szCs w:val="24"/>
        </w:rPr>
        <w:t>Widening skills deficit implies rising costs of labour sourcing and labour training</w:t>
      </w:r>
      <w:r w:rsidR="007922DC" w:rsidRPr="00E03CE0">
        <w:rPr>
          <w:rFonts w:ascii="Times New Roman" w:hAnsi="Times New Roman" w:cs="Times New Roman"/>
          <w:sz w:val="24"/>
          <w:szCs w:val="24"/>
        </w:rPr>
        <w:t xml:space="preserve"> (Gelb et al, 2020)</w:t>
      </w:r>
      <w:r w:rsidR="000F5A8A" w:rsidRPr="00E03CE0">
        <w:rPr>
          <w:rFonts w:ascii="Times New Roman" w:hAnsi="Times New Roman" w:cs="Times New Roman"/>
          <w:sz w:val="24"/>
          <w:szCs w:val="24"/>
        </w:rPr>
        <w:t xml:space="preserve">. </w:t>
      </w:r>
    </w:p>
    <w:p w14:paraId="26D71FE9" w14:textId="217050F8" w:rsidR="00BE76B3" w:rsidRPr="00E03CE0" w:rsidRDefault="000F5A8A" w:rsidP="000F5A8A">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Skills are important for </w:t>
      </w:r>
      <w:r w:rsidR="008C6FB0" w:rsidRPr="00E03CE0">
        <w:rPr>
          <w:rFonts w:ascii="Times New Roman" w:hAnsi="Times New Roman" w:cs="Times New Roman"/>
          <w:sz w:val="24"/>
          <w:szCs w:val="24"/>
        </w:rPr>
        <w:t>various</w:t>
      </w:r>
      <w:r w:rsidRPr="00E03CE0">
        <w:rPr>
          <w:rFonts w:ascii="Times New Roman" w:hAnsi="Times New Roman" w:cs="Times New Roman"/>
          <w:sz w:val="24"/>
          <w:szCs w:val="24"/>
        </w:rPr>
        <w:t xml:space="preserve"> reasons. One, a worker’s skills level is directly related to </w:t>
      </w:r>
      <w:r w:rsidR="00973DD9" w:rsidRPr="00E03CE0">
        <w:rPr>
          <w:rFonts w:ascii="Times New Roman" w:hAnsi="Times New Roman" w:cs="Times New Roman"/>
          <w:sz w:val="24"/>
          <w:szCs w:val="24"/>
        </w:rPr>
        <w:t xml:space="preserve">one’s ability, and the </w:t>
      </w:r>
      <w:r w:rsidRPr="00E03CE0">
        <w:rPr>
          <w:rFonts w:ascii="Times New Roman" w:hAnsi="Times New Roman" w:cs="Times New Roman"/>
          <w:sz w:val="24"/>
          <w:szCs w:val="24"/>
        </w:rPr>
        <w:t>execution of tasks and productivity (</w:t>
      </w:r>
      <w:r w:rsidR="00973DD9" w:rsidRPr="00E03CE0">
        <w:rPr>
          <w:rFonts w:ascii="Times New Roman" w:hAnsi="Times New Roman" w:cs="Times New Roman"/>
          <w:sz w:val="24"/>
          <w:szCs w:val="24"/>
        </w:rPr>
        <w:t xml:space="preserve">Dhillon et al, 2020; </w:t>
      </w:r>
      <w:r w:rsidRPr="00E03CE0">
        <w:rPr>
          <w:rFonts w:ascii="Times New Roman" w:hAnsi="Times New Roman" w:cs="Times New Roman"/>
          <w:sz w:val="24"/>
          <w:szCs w:val="24"/>
        </w:rPr>
        <w:t xml:space="preserve">Morris et al, 2020; Federico et al, 2019; McGuinness &amp; Ortiz, 2016). This has direct implications on vacancy creation, hiring, and worker compensation decisions made by enterprises alongside the observed behavior of sourcing for new employees across firms </w:t>
      </w:r>
      <w:bookmarkStart w:id="6" w:name="_Hlk154407113"/>
      <w:bookmarkEnd w:id="5"/>
      <w:r w:rsidR="006708F9" w:rsidRPr="00E03CE0">
        <w:rPr>
          <w:rFonts w:ascii="Times New Roman" w:hAnsi="Times New Roman" w:cs="Times New Roman"/>
          <w:sz w:val="24"/>
          <w:szCs w:val="24"/>
        </w:rPr>
        <w:t>(Bandiera et al, 2023</w:t>
      </w:r>
      <w:r w:rsidR="00992880" w:rsidRPr="00E03CE0">
        <w:rPr>
          <w:rFonts w:ascii="Times New Roman" w:hAnsi="Times New Roman" w:cs="Times New Roman"/>
          <w:sz w:val="24"/>
          <w:szCs w:val="24"/>
        </w:rPr>
        <w:t>; de Groot et al, 2021</w:t>
      </w:r>
      <w:r w:rsidRPr="00E03CE0">
        <w:rPr>
          <w:rFonts w:ascii="Times New Roman" w:hAnsi="Times New Roman" w:cs="Times New Roman"/>
          <w:sz w:val="24"/>
          <w:szCs w:val="24"/>
        </w:rPr>
        <w:t xml:space="preserve">; </w:t>
      </w:r>
      <w:r w:rsidR="00B16981" w:rsidRPr="00E03CE0">
        <w:rPr>
          <w:rFonts w:ascii="Times New Roman" w:hAnsi="Times New Roman" w:cs="Times New Roman"/>
          <w:sz w:val="24"/>
          <w:szCs w:val="24"/>
        </w:rPr>
        <w:t>Dhillon et al, 2020)</w:t>
      </w:r>
      <w:r w:rsidR="006708F9" w:rsidRPr="00E03CE0">
        <w:rPr>
          <w:rFonts w:ascii="Times New Roman" w:hAnsi="Times New Roman" w:cs="Times New Roman"/>
          <w:sz w:val="24"/>
          <w:szCs w:val="24"/>
        </w:rPr>
        <w:t>.</w:t>
      </w:r>
      <w:r w:rsidR="001335F8" w:rsidRPr="00E03CE0">
        <w:rPr>
          <w:rFonts w:ascii="Times New Roman" w:hAnsi="Times New Roman" w:cs="Times New Roman"/>
          <w:sz w:val="24"/>
          <w:szCs w:val="24"/>
        </w:rPr>
        <w:t xml:space="preserve"> </w:t>
      </w:r>
      <w:r w:rsidR="00973DD9" w:rsidRPr="00E03CE0">
        <w:rPr>
          <w:rFonts w:ascii="Times New Roman" w:hAnsi="Times New Roman" w:cs="Times New Roman"/>
          <w:sz w:val="24"/>
          <w:szCs w:val="24"/>
        </w:rPr>
        <w:t>Two, skills levels of available workers affect the rate at which new tasks and jobs are created, and the nature of these tasks</w:t>
      </w:r>
      <w:r w:rsidR="00085228" w:rsidRPr="00E03CE0">
        <w:rPr>
          <w:rFonts w:ascii="Times New Roman" w:hAnsi="Times New Roman" w:cs="Times New Roman"/>
          <w:sz w:val="24"/>
          <w:szCs w:val="24"/>
        </w:rPr>
        <w:t xml:space="preserve"> </w:t>
      </w:r>
      <w:r w:rsidR="001335F8" w:rsidRPr="00E03CE0">
        <w:rPr>
          <w:rFonts w:ascii="Times New Roman" w:hAnsi="Times New Roman" w:cs="Times New Roman"/>
          <w:sz w:val="24"/>
          <w:szCs w:val="24"/>
        </w:rPr>
        <w:t>(Wolcott, 2021</w:t>
      </w:r>
      <w:r w:rsidR="00973DD9" w:rsidRPr="00E03CE0">
        <w:rPr>
          <w:rFonts w:ascii="Times New Roman" w:hAnsi="Times New Roman" w:cs="Times New Roman"/>
          <w:sz w:val="24"/>
          <w:szCs w:val="24"/>
        </w:rPr>
        <w:t xml:space="preserve">; </w:t>
      </w:r>
      <w:r w:rsidR="00366B1F" w:rsidRPr="00E03CE0">
        <w:rPr>
          <w:rFonts w:ascii="Times New Roman" w:hAnsi="Times New Roman" w:cs="Times New Roman"/>
          <w:sz w:val="24"/>
          <w:szCs w:val="24"/>
        </w:rPr>
        <w:t>McAdams, 2019)</w:t>
      </w:r>
      <w:r w:rsidR="00B16981" w:rsidRPr="00E03CE0">
        <w:rPr>
          <w:rFonts w:ascii="Times New Roman" w:hAnsi="Times New Roman" w:cs="Times New Roman"/>
          <w:sz w:val="24"/>
          <w:szCs w:val="24"/>
        </w:rPr>
        <w:t>.</w:t>
      </w:r>
      <w:r w:rsidR="006708F9" w:rsidRPr="00E03CE0">
        <w:rPr>
          <w:rFonts w:ascii="Times New Roman" w:hAnsi="Times New Roman" w:cs="Times New Roman"/>
          <w:sz w:val="24"/>
          <w:szCs w:val="24"/>
        </w:rPr>
        <w:t xml:space="preserve"> </w:t>
      </w:r>
      <w:r w:rsidR="00973DD9" w:rsidRPr="00E03CE0">
        <w:rPr>
          <w:rFonts w:ascii="Times New Roman" w:hAnsi="Times New Roman" w:cs="Times New Roman"/>
          <w:sz w:val="24"/>
          <w:szCs w:val="24"/>
        </w:rPr>
        <w:t xml:space="preserve">This further affects unemployment across [sub]sectors and regions within an economy, and </w:t>
      </w:r>
      <w:r w:rsidR="00D85110" w:rsidRPr="00E03CE0">
        <w:rPr>
          <w:rFonts w:ascii="Times New Roman" w:hAnsi="Times New Roman" w:cs="Times New Roman"/>
          <w:sz w:val="24"/>
          <w:szCs w:val="24"/>
        </w:rPr>
        <w:t>has the potential of inducing relative demand for specific skills thereby characterizing depreciation of less-demanded skills</w:t>
      </w:r>
      <w:r w:rsidR="00973DD9" w:rsidRPr="00E03CE0">
        <w:rPr>
          <w:rFonts w:ascii="Times New Roman" w:hAnsi="Times New Roman" w:cs="Times New Roman"/>
          <w:sz w:val="24"/>
          <w:szCs w:val="24"/>
        </w:rPr>
        <w:t xml:space="preserve"> </w:t>
      </w:r>
      <w:r w:rsidR="00B32E1B" w:rsidRPr="00E03CE0">
        <w:rPr>
          <w:rFonts w:ascii="Times New Roman" w:hAnsi="Times New Roman" w:cs="Times New Roman"/>
          <w:sz w:val="24"/>
          <w:szCs w:val="24"/>
        </w:rPr>
        <w:t xml:space="preserve">(Brunello &amp; </w:t>
      </w:r>
      <w:proofErr w:type="spellStart"/>
      <w:r w:rsidR="00B32E1B" w:rsidRPr="00E03CE0">
        <w:rPr>
          <w:rFonts w:ascii="Times New Roman" w:hAnsi="Times New Roman" w:cs="Times New Roman"/>
          <w:sz w:val="24"/>
          <w:szCs w:val="24"/>
        </w:rPr>
        <w:t>Wruuck</w:t>
      </w:r>
      <w:proofErr w:type="spellEnd"/>
      <w:r w:rsidR="00B32E1B" w:rsidRPr="00E03CE0">
        <w:rPr>
          <w:rFonts w:ascii="Times New Roman" w:hAnsi="Times New Roman" w:cs="Times New Roman"/>
          <w:sz w:val="24"/>
          <w:szCs w:val="24"/>
        </w:rPr>
        <w:t>, 2021</w:t>
      </w:r>
      <w:r w:rsidR="00973DD9" w:rsidRPr="00E03CE0">
        <w:rPr>
          <w:rFonts w:ascii="Times New Roman" w:hAnsi="Times New Roman" w:cs="Times New Roman"/>
          <w:sz w:val="24"/>
          <w:szCs w:val="24"/>
        </w:rPr>
        <w:t xml:space="preserve">; </w:t>
      </w:r>
      <w:r w:rsidR="00366B1F" w:rsidRPr="00E03CE0">
        <w:rPr>
          <w:rFonts w:ascii="Times New Roman" w:hAnsi="Times New Roman" w:cs="Times New Roman"/>
          <w:sz w:val="24"/>
          <w:szCs w:val="24"/>
        </w:rPr>
        <w:t>Barrios et al, 2020)</w:t>
      </w:r>
      <w:r w:rsidR="005E35EF" w:rsidRPr="00E03CE0">
        <w:rPr>
          <w:rFonts w:ascii="Times New Roman" w:hAnsi="Times New Roman" w:cs="Times New Roman"/>
          <w:sz w:val="24"/>
          <w:szCs w:val="24"/>
        </w:rPr>
        <w:t>.</w:t>
      </w:r>
      <w:bookmarkEnd w:id="6"/>
      <w:r w:rsidR="005E35EF" w:rsidRPr="00E03CE0">
        <w:rPr>
          <w:rFonts w:ascii="Times New Roman" w:hAnsi="Times New Roman" w:cs="Times New Roman"/>
          <w:sz w:val="24"/>
          <w:szCs w:val="24"/>
        </w:rPr>
        <w:t xml:space="preserve"> </w:t>
      </w:r>
    </w:p>
    <w:p w14:paraId="7C6A91BC" w14:textId="752DE6E8" w:rsidR="00E62CFE" w:rsidRPr="00E03CE0" w:rsidRDefault="005B70A9" w:rsidP="001365F2">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973DD9" w:rsidRPr="00E03CE0">
        <w:rPr>
          <w:rFonts w:ascii="Times New Roman" w:hAnsi="Times New Roman" w:cs="Times New Roman"/>
          <w:sz w:val="24"/>
          <w:szCs w:val="24"/>
        </w:rPr>
        <w:t xml:space="preserve">tudies </w:t>
      </w:r>
      <w:r>
        <w:rPr>
          <w:rFonts w:ascii="Times New Roman" w:hAnsi="Times New Roman" w:cs="Times New Roman"/>
          <w:sz w:val="24"/>
          <w:szCs w:val="24"/>
        </w:rPr>
        <w:t xml:space="preserve">including Liu et al (2019) and Chen et al (2023) </w:t>
      </w:r>
      <w:r w:rsidR="00973DD9" w:rsidRPr="00E03CE0">
        <w:rPr>
          <w:rFonts w:ascii="Times New Roman" w:hAnsi="Times New Roman" w:cs="Times New Roman"/>
          <w:sz w:val="24"/>
          <w:szCs w:val="24"/>
        </w:rPr>
        <w:t xml:space="preserve">indicate that enterprises treat </w:t>
      </w:r>
      <w:r w:rsidR="00855A4F" w:rsidRPr="00E03CE0">
        <w:rPr>
          <w:rFonts w:ascii="Times New Roman" w:hAnsi="Times New Roman" w:cs="Times New Roman"/>
          <w:sz w:val="24"/>
          <w:szCs w:val="24"/>
        </w:rPr>
        <w:t>the skills</w:t>
      </w:r>
      <w:r w:rsidR="00973DD9" w:rsidRPr="00E03CE0">
        <w:rPr>
          <w:rFonts w:ascii="Times New Roman" w:hAnsi="Times New Roman" w:cs="Times New Roman"/>
          <w:sz w:val="24"/>
          <w:szCs w:val="24"/>
        </w:rPr>
        <w:t xml:space="preserve"> gap as given. This in turn induces</w:t>
      </w:r>
      <w:r w:rsidR="002D233F" w:rsidRPr="00E03CE0">
        <w:rPr>
          <w:rFonts w:ascii="Times New Roman" w:hAnsi="Times New Roman" w:cs="Times New Roman"/>
          <w:sz w:val="24"/>
          <w:szCs w:val="24"/>
        </w:rPr>
        <w:t xml:space="preserve"> firms </w:t>
      </w:r>
      <w:r w:rsidR="00973DD9" w:rsidRPr="00E03CE0">
        <w:rPr>
          <w:rFonts w:ascii="Times New Roman" w:hAnsi="Times New Roman" w:cs="Times New Roman"/>
          <w:sz w:val="24"/>
          <w:szCs w:val="24"/>
        </w:rPr>
        <w:t xml:space="preserve">to </w:t>
      </w:r>
      <w:r w:rsidR="002D233F" w:rsidRPr="00E03CE0">
        <w:rPr>
          <w:rFonts w:ascii="Times New Roman" w:hAnsi="Times New Roman" w:cs="Times New Roman"/>
          <w:sz w:val="24"/>
          <w:szCs w:val="24"/>
        </w:rPr>
        <w:t xml:space="preserve">learn from each other, </w:t>
      </w:r>
      <w:r w:rsidR="00973DD9" w:rsidRPr="00E03CE0">
        <w:rPr>
          <w:rFonts w:ascii="Times New Roman" w:hAnsi="Times New Roman" w:cs="Times New Roman"/>
          <w:sz w:val="24"/>
          <w:szCs w:val="24"/>
        </w:rPr>
        <w:t>imitate hiring practices of related firms</w:t>
      </w:r>
      <w:r w:rsidR="002D233F" w:rsidRPr="00E03CE0">
        <w:rPr>
          <w:rFonts w:ascii="Times New Roman" w:hAnsi="Times New Roman" w:cs="Times New Roman"/>
          <w:sz w:val="24"/>
          <w:szCs w:val="24"/>
        </w:rPr>
        <w:t>, and adopt sector-specific best practices</w:t>
      </w:r>
      <w:r w:rsidR="00973DD9" w:rsidRPr="00E03CE0">
        <w:rPr>
          <w:rFonts w:ascii="Times New Roman" w:hAnsi="Times New Roman" w:cs="Times New Roman"/>
          <w:sz w:val="24"/>
          <w:szCs w:val="24"/>
        </w:rPr>
        <w:t xml:space="preserve">. Sector-specific best practices could entail investment in customized firm-specific training or industry-educational institutions’ partnerships </w:t>
      </w:r>
      <w:r w:rsidR="00973DD9" w:rsidRPr="00E03CE0">
        <w:rPr>
          <w:rFonts w:ascii="Times New Roman" w:hAnsi="Times New Roman" w:cs="Times New Roman"/>
          <w:sz w:val="24"/>
          <w:szCs w:val="24"/>
        </w:rPr>
        <w:lastRenderedPageBreak/>
        <w:t>focusing on work-integrated learning/ vocational training/ employee training workshops</w:t>
      </w:r>
      <w:r w:rsidR="00836A95" w:rsidRPr="00E03CE0">
        <w:rPr>
          <w:rFonts w:ascii="Times New Roman" w:hAnsi="Times New Roman" w:cs="Times New Roman"/>
          <w:sz w:val="24"/>
          <w:szCs w:val="24"/>
        </w:rPr>
        <w:t xml:space="preserve"> (Bandiera et al, 2023</w:t>
      </w:r>
      <w:r w:rsidR="00D85110" w:rsidRPr="00E03CE0">
        <w:rPr>
          <w:rFonts w:ascii="Times New Roman" w:hAnsi="Times New Roman" w:cs="Times New Roman"/>
          <w:sz w:val="24"/>
          <w:szCs w:val="24"/>
        </w:rPr>
        <w:t xml:space="preserve">; </w:t>
      </w:r>
      <w:r w:rsidR="008E00C7" w:rsidRPr="00E03CE0">
        <w:rPr>
          <w:rFonts w:ascii="Times New Roman" w:hAnsi="Times New Roman" w:cs="Times New Roman"/>
          <w:sz w:val="24"/>
          <w:szCs w:val="24"/>
        </w:rPr>
        <w:t>Lise &amp; Postel-Vinay, 2020)</w:t>
      </w:r>
      <w:r w:rsidR="000D60CA" w:rsidRPr="00E03CE0">
        <w:rPr>
          <w:rFonts w:ascii="Times New Roman" w:hAnsi="Times New Roman" w:cs="Times New Roman"/>
          <w:sz w:val="24"/>
          <w:szCs w:val="24"/>
        </w:rPr>
        <w:t>.</w:t>
      </w:r>
    </w:p>
    <w:p w14:paraId="5C62F03C" w14:textId="2F6C9EC3" w:rsidR="005E3B85" w:rsidRPr="00E03CE0" w:rsidRDefault="00E2776B" w:rsidP="005E21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aforementioned studies offered a description of </w:t>
      </w:r>
      <w:r w:rsidR="005B70A9">
        <w:rPr>
          <w:rFonts w:ascii="Times New Roman" w:hAnsi="Times New Roman" w:cs="Times New Roman"/>
          <w:sz w:val="24"/>
          <w:szCs w:val="24"/>
        </w:rPr>
        <w:t>skills gap</w:t>
      </w:r>
      <w:r>
        <w:rPr>
          <w:rFonts w:ascii="Times New Roman" w:hAnsi="Times New Roman" w:cs="Times New Roman"/>
          <w:sz w:val="24"/>
          <w:szCs w:val="24"/>
        </w:rPr>
        <w:t xml:space="preserve"> – revealing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heterogeneity across sectors and regions—alongside explaining some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drivers. These drivers include differences in</w:t>
      </w:r>
      <w:r w:rsidR="005B70A9">
        <w:rPr>
          <w:rFonts w:ascii="Times New Roman" w:hAnsi="Times New Roman" w:cs="Times New Roman"/>
          <w:sz w:val="24"/>
          <w:szCs w:val="24"/>
        </w:rPr>
        <w:t xml:space="preserve"> educational investment, vocational training,</w:t>
      </w:r>
      <w:r>
        <w:rPr>
          <w:rFonts w:ascii="Times New Roman" w:hAnsi="Times New Roman" w:cs="Times New Roman"/>
          <w:sz w:val="24"/>
          <w:szCs w:val="24"/>
        </w:rPr>
        <w:t xml:space="preserve"> technological disruptions,</w:t>
      </w:r>
      <w:r w:rsidR="005B70A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5B70A9">
        <w:rPr>
          <w:rFonts w:ascii="Times New Roman" w:hAnsi="Times New Roman" w:cs="Times New Roman"/>
          <w:sz w:val="24"/>
          <w:szCs w:val="24"/>
        </w:rPr>
        <w:t>within-firm upskilling of employees.</w:t>
      </w:r>
      <w:r>
        <w:rPr>
          <w:rFonts w:ascii="Times New Roman" w:hAnsi="Times New Roman" w:cs="Times New Roman"/>
          <w:sz w:val="24"/>
          <w:szCs w:val="24"/>
        </w:rPr>
        <w:t xml:space="preserve"> These studies</w:t>
      </w:r>
      <w:r w:rsidR="00AF4350">
        <w:rPr>
          <w:rFonts w:ascii="Times New Roman" w:hAnsi="Times New Roman" w:cs="Times New Roman"/>
          <w:sz w:val="24"/>
          <w:szCs w:val="24"/>
        </w:rPr>
        <w:t xml:space="preserve"> alongside the ones we reviewed in the next section</w:t>
      </w:r>
      <w:r>
        <w:rPr>
          <w:rFonts w:ascii="Times New Roman" w:hAnsi="Times New Roman" w:cs="Times New Roman"/>
          <w:sz w:val="24"/>
          <w:szCs w:val="24"/>
        </w:rPr>
        <w:t xml:space="preserve">, however, considered enterprises as being unresponsive to under-skilling among firms related to them. </w:t>
      </w:r>
      <w:r w:rsidR="005B70A9">
        <w:rPr>
          <w:rFonts w:ascii="Times New Roman" w:hAnsi="Times New Roman" w:cs="Times New Roman"/>
          <w:sz w:val="24"/>
          <w:szCs w:val="24"/>
        </w:rPr>
        <w:t xml:space="preserve"> </w:t>
      </w:r>
      <w:r w:rsidR="00AF4350">
        <w:rPr>
          <w:rFonts w:ascii="Times New Roman" w:hAnsi="Times New Roman" w:cs="Times New Roman"/>
          <w:sz w:val="24"/>
          <w:szCs w:val="24"/>
        </w:rPr>
        <w:t>Against this background, t</w:t>
      </w:r>
      <w:r w:rsidR="005E21EA" w:rsidRPr="00E03CE0">
        <w:rPr>
          <w:rFonts w:ascii="Times New Roman" w:hAnsi="Times New Roman" w:cs="Times New Roman"/>
          <w:sz w:val="24"/>
          <w:szCs w:val="24"/>
        </w:rPr>
        <w:t>his paper</w:t>
      </w:r>
      <w:r>
        <w:rPr>
          <w:rFonts w:ascii="Times New Roman" w:hAnsi="Times New Roman" w:cs="Times New Roman"/>
          <w:sz w:val="24"/>
          <w:szCs w:val="24"/>
        </w:rPr>
        <w:t xml:space="preserve"> </w:t>
      </w:r>
      <w:r w:rsidR="00AF4350">
        <w:rPr>
          <w:rFonts w:ascii="Times New Roman" w:hAnsi="Times New Roman" w:cs="Times New Roman"/>
          <w:sz w:val="24"/>
          <w:szCs w:val="24"/>
        </w:rPr>
        <w:t>offers an analysis of</w:t>
      </w:r>
      <w:r>
        <w:rPr>
          <w:rFonts w:ascii="Times New Roman" w:hAnsi="Times New Roman" w:cs="Times New Roman"/>
          <w:sz w:val="24"/>
          <w:szCs w:val="24"/>
        </w:rPr>
        <w:t xml:space="preserve"> skills gap within focal firms as behavioral responses to under-skilling among enterprises which are related to them. That is, the paper looks at social connections among enterprises, and the extent to which these connections affect skills gap in Kenya</w:t>
      </w:r>
      <w:r w:rsidR="005E21EA" w:rsidRPr="00E03CE0">
        <w:rPr>
          <w:rFonts w:ascii="Times New Roman" w:hAnsi="Times New Roman" w:cs="Times New Roman"/>
          <w:sz w:val="24"/>
          <w:szCs w:val="24"/>
        </w:rPr>
        <w:t xml:space="preserve">. </w:t>
      </w:r>
      <w:r>
        <w:rPr>
          <w:rFonts w:ascii="Times New Roman" w:hAnsi="Times New Roman" w:cs="Times New Roman"/>
          <w:sz w:val="24"/>
          <w:szCs w:val="24"/>
        </w:rPr>
        <w:t>T</w:t>
      </w:r>
      <w:r w:rsidR="00AF4350">
        <w:rPr>
          <w:rFonts w:ascii="Times New Roman" w:hAnsi="Times New Roman" w:cs="Times New Roman"/>
          <w:sz w:val="24"/>
          <w:szCs w:val="24"/>
        </w:rPr>
        <w:t xml:space="preserve">he paper considers </w:t>
      </w:r>
      <w:r>
        <w:rPr>
          <w:rFonts w:ascii="Times New Roman" w:hAnsi="Times New Roman" w:cs="Times New Roman"/>
          <w:sz w:val="24"/>
          <w:szCs w:val="24"/>
        </w:rPr>
        <w:t xml:space="preserve">enterprises </w:t>
      </w:r>
      <w:r w:rsidR="00AF4350">
        <w:rPr>
          <w:rFonts w:ascii="Times New Roman" w:hAnsi="Times New Roman" w:cs="Times New Roman"/>
          <w:sz w:val="24"/>
          <w:szCs w:val="24"/>
        </w:rPr>
        <w:t>as being</w:t>
      </w:r>
      <w:r>
        <w:rPr>
          <w:rFonts w:ascii="Times New Roman" w:hAnsi="Times New Roman" w:cs="Times New Roman"/>
          <w:sz w:val="24"/>
          <w:szCs w:val="24"/>
        </w:rPr>
        <w:t xml:space="preserve"> socially connected or related when they belong to the same subsector and region. </w:t>
      </w:r>
      <w:r w:rsidR="00E60DBB" w:rsidRPr="00E03CE0">
        <w:rPr>
          <w:rFonts w:ascii="Times New Roman" w:hAnsi="Times New Roman" w:cs="Times New Roman"/>
          <w:sz w:val="24"/>
          <w:szCs w:val="24"/>
        </w:rPr>
        <w:t xml:space="preserve">[Sub]sector-region analysis is important because enterprises are not equally exposed to skills-related problems. Enterprises facing similar skills-related challenges also tend to respond differently. One of the behavioral responses entails enterprises diversifying sources for new hires. The 2016 Employer Satisfaction Survey (STEP) reveals that </w:t>
      </w:r>
      <w:r w:rsidR="005E3B85" w:rsidRPr="00E03CE0">
        <w:rPr>
          <w:rFonts w:ascii="Times New Roman" w:hAnsi="Times New Roman" w:cs="Times New Roman"/>
          <w:sz w:val="24"/>
          <w:szCs w:val="24"/>
        </w:rPr>
        <w:t>66</w:t>
      </w:r>
      <w:r w:rsidR="00E60DBB" w:rsidRPr="00E03CE0">
        <w:rPr>
          <w:rFonts w:ascii="Times New Roman" w:hAnsi="Times New Roman" w:cs="Times New Roman"/>
          <w:sz w:val="24"/>
          <w:szCs w:val="24"/>
        </w:rPr>
        <w:t xml:space="preserve">% and </w:t>
      </w:r>
      <w:r w:rsidR="005E3B85" w:rsidRPr="00E03CE0">
        <w:rPr>
          <w:rFonts w:ascii="Times New Roman" w:hAnsi="Times New Roman" w:cs="Times New Roman"/>
          <w:sz w:val="24"/>
          <w:szCs w:val="24"/>
        </w:rPr>
        <w:t>53</w:t>
      </w:r>
      <w:r w:rsidR="00E60DBB" w:rsidRPr="00E03CE0">
        <w:rPr>
          <w:rFonts w:ascii="Times New Roman" w:hAnsi="Times New Roman" w:cs="Times New Roman"/>
          <w:sz w:val="24"/>
          <w:szCs w:val="24"/>
        </w:rPr>
        <w:t xml:space="preserve">% of enterprises within </w:t>
      </w:r>
      <w:r w:rsidR="005E3B85" w:rsidRPr="00E03CE0">
        <w:rPr>
          <w:rFonts w:ascii="Times New Roman" w:hAnsi="Times New Roman" w:cs="Times New Roman"/>
          <w:sz w:val="24"/>
          <w:szCs w:val="24"/>
        </w:rPr>
        <w:t>services and manufacturing sectors, respectively, relied on more than one source for new employees (World Bank, 2016</w:t>
      </w:r>
      <w:r w:rsidR="00B4368A" w:rsidRPr="00E03CE0">
        <w:rPr>
          <w:rFonts w:ascii="Times New Roman" w:hAnsi="Times New Roman" w:cs="Times New Roman"/>
          <w:sz w:val="24"/>
          <w:szCs w:val="24"/>
        </w:rPr>
        <w:t>, 2018</w:t>
      </w:r>
      <w:r w:rsidR="005E3B85" w:rsidRPr="00E03CE0">
        <w:rPr>
          <w:rFonts w:ascii="Times New Roman" w:hAnsi="Times New Roman" w:cs="Times New Roman"/>
          <w:sz w:val="24"/>
          <w:szCs w:val="24"/>
        </w:rPr>
        <w:t xml:space="preserve">). We further treat returns to education as given. This is because an additional year of schooling in Kenya </w:t>
      </w:r>
      <w:r w:rsidR="009F6319" w:rsidRPr="00E03CE0">
        <w:rPr>
          <w:rFonts w:ascii="Times New Roman" w:hAnsi="Times New Roman" w:cs="Times New Roman"/>
          <w:sz w:val="24"/>
          <w:szCs w:val="24"/>
        </w:rPr>
        <w:t>ha</w:t>
      </w:r>
      <w:r w:rsidR="005E3B85" w:rsidRPr="00E03CE0">
        <w:rPr>
          <w:rFonts w:ascii="Times New Roman" w:hAnsi="Times New Roman" w:cs="Times New Roman"/>
          <w:sz w:val="24"/>
          <w:szCs w:val="24"/>
        </w:rPr>
        <w:t>s returns in the range 2-36% depending on the level with returns exceeding 15% for post-primary education (</w:t>
      </w:r>
      <w:proofErr w:type="spellStart"/>
      <w:r w:rsidR="005E3B85" w:rsidRPr="00E03CE0">
        <w:rPr>
          <w:rFonts w:ascii="Times New Roman" w:hAnsi="Times New Roman" w:cs="Times New Roman"/>
          <w:sz w:val="24"/>
          <w:szCs w:val="24"/>
        </w:rPr>
        <w:t>Onsomu</w:t>
      </w:r>
      <w:proofErr w:type="spellEnd"/>
      <w:r w:rsidR="005E3B85" w:rsidRPr="00E03CE0">
        <w:rPr>
          <w:rFonts w:ascii="Times New Roman" w:hAnsi="Times New Roman" w:cs="Times New Roman"/>
          <w:sz w:val="24"/>
          <w:szCs w:val="24"/>
        </w:rPr>
        <w:t xml:space="preserve"> et al, 2006; Manda et al, 2002; </w:t>
      </w:r>
      <w:proofErr w:type="spellStart"/>
      <w:r w:rsidR="005E3B85" w:rsidRPr="00E03CE0">
        <w:rPr>
          <w:rFonts w:ascii="Times New Roman" w:hAnsi="Times New Roman" w:cs="Times New Roman"/>
          <w:sz w:val="24"/>
          <w:szCs w:val="24"/>
        </w:rPr>
        <w:t>Söderbom</w:t>
      </w:r>
      <w:proofErr w:type="spellEnd"/>
      <w:r w:rsidR="005E3B85" w:rsidRPr="00E03CE0">
        <w:rPr>
          <w:rFonts w:ascii="Times New Roman" w:hAnsi="Times New Roman" w:cs="Times New Roman"/>
          <w:sz w:val="24"/>
          <w:szCs w:val="24"/>
        </w:rPr>
        <w:t xml:space="preserve"> et al, 200</w:t>
      </w:r>
      <w:r w:rsidR="00B4368A" w:rsidRPr="00E03CE0">
        <w:rPr>
          <w:rFonts w:ascii="Times New Roman" w:hAnsi="Times New Roman" w:cs="Times New Roman"/>
          <w:sz w:val="24"/>
          <w:szCs w:val="24"/>
        </w:rPr>
        <w:t>6</w:t>
      </w:r>
      <w:r w:rsidR="005E3B85" w:rsidRPr="00E03CE0">
        <w:rPr>
          <w:rFonts w:ascii="Times New Roman" w:hAnsi="Times New Roman" w:cs="Times New Roman"/>
          <w:sz w:val="24"/>
          <w:szCs w:val="24"/>
        </w:rPr>
        <w:t xml:space="preserve">; Gethin, 2023; </w:t>
      </w:r>
      <w:proofErr w:type="spellStart"/>
      <w:r w:rsidR="005E3B85" w:rsidRPr="00E03CE0">
        <w:rPr>
          <w:rFonts w:ascii="Times New Roman" w:hAnsi="Times New Roman" w:cs="Times New Roman"/>
          <w:sz w:val="24"/>
          <w:szCs w:val="24"/>
        </w:rPr>
        <w:t>Psacharopoulos</w:t>
      </w:r>
      <w:proofErr w:type="spellEnd"/>
      <w:r w:rsidR="005E3B85" w:rsidRPr="00E03CE0">
        <w:rPr>
          <w:rFonts w:ascii="Times New Roman" w:hAnsi="Times New Roman" w:cs="Times New Roman"/>
          <w:sz w:val="24"/>
          <w:szCs w:val="24"/>
        </w:rPr>
        <w:t xml:space="preserve"> &amp; Patrinos, 2018)</w:t>
      </w:r>
    </w:p>
    <w:p w14:paraId="4F22B171" w14:textId="77777777" w:rsidR="00C941FE" w:rsidRPr="00E03CE0" w:rsidRDefault="00C941FE" w:rsidP="00D02F9A">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Skills gap is operationalized</w:t>
      </w:r>
      <w:r w:rsidR="006735E3" w:rsidRPr="00E03CE0">
        <w:rPr>
          <w:rFonts w:ascii="Times New Roman" w:hAnsi="Times New Roman" w:cs="Times New Roman"/>
          <w:sz w:val="24"/>
          <w:szCs w:val="24"/>
        </w:rPr>
        <w:t xml:space="preserve"> </w:t>
      </w:r>
      <w:r w:rsidRPr="00E03CE0">
        <w:rPr>
          <w:rFonts w:ascii="Times New Roman" w:hAnsi="Times New Roman" w:cs="Times New Roman"/>
          <w:sz w:val="24"/>
          <w:szCs w:val="24"/>
        </w:rPr>
        <w:t xml:space="preserve">as </w:t>
      </w:r>
      <w:r w:rsidR="006735E3" w:rsidRPr="00E03CE0">
        <w:rPr>
          <w:rFonts w:ascii="Times New Roman" w:hAnsi="Times New Roman" w:cs="Times New Roman"/>
          <w:sz w:val="24"/>
          <w:szCs w:val="24"/>
        </w:rPr>
        <w:t>either</w:t>
      </w:r>
      <w:r w:rsidRPr="00E03CE0">
        <w:rPr>
          <w:rFonts w:ascii="Times New Roman" w:hAnsi="Times New Roman" w:cs="Times New Roman"/>
          <w:sz w:val="24"/>
          <w:szCs w:val="24"/>
        </w:rPr>
        <w:t xml:space="preserve"> </w:t>
      </w:r>
      <w:r w:rsidR="006735E3" w:rsidRPr="00E03CE0">
        <w:rPr>
          <w:rFonts w:ascii="Times New Roman" w:hAnsi="Times New Roman" w:cs="Times New Roman"/>
          <w:sz w:val="24"/>
          <w:szCs w:val="24"/>
        </w:rPr>
        <w:t>relational (</w:t>
      </w:r>
      <w:r w:rsidR="002C712D" w:rsidRPr="00E03CE0">
        <w:rPr>
          <w:rFonts w:ascii="Times New Roman" w:hAnsi="Times New Roman" w:cs="Times New Roman"/>
          <w:sz w:val="24"/>
          <w:szCs w:val="24"/>
        </w:rPr>
        <w:t>Meta</w:t>
      </w:r>
      <w:r w:rsidR="006735E3" w:rsidRPr="00E03CE0">
        <w:rPr>
          <w:rFonts w:ascii="Times New Roman" w:hAnsi="Times New Roman" w:cs="Times New Roman"/>
          <w:sz w:val="24"/>
          <w:szCs w:val="24"/>
        </w:rPr>
        <w:t xml:space="preserve">, </w:t>
      </w:r>
      <w:r w:rsidR="002C712D" w:rsidRPr="00E03CE0">
        <w:rPr>
          <w:rFonts w:ascii="Times New Roman" w:hAnsi="Times New Roman" w:cs="Times New Roman"/>
          <w:sz w:val="24"/>
          <w:szCs w:val="24"/>
        </w:rPr>
        <w:t>2022</w:t>
      </w:r>
      <w:r w:rsidR="006735E3" w:rsidRPr="00E03CE0">
        <w:rPr>
          <w:rFonts w:ascii="Times New Roman" w:hAnsi="Times New Roman" w:cs="Times New Roman"/>
          <w:sz w:val="24"/>
          <w:szCs w:val="24"/>
        </w:rPr>
        <w:t>;</w:t>
      </w:r>
      <w:r w:rsidR="002C712D" w:rsidRPr="00E03CE0">
        <w:rPr>
          <w:rFonts w:ascii="Times New Roman" w:hAnsi="Times New Roman" w:cs="Times New Roman"/>
          <w:sz w:val="24"/>
          <w:szCs w:val="24"/>
        </w:rPr>
        <w:t> Guardia et al</w:t>
      </w:r>
      <w:r w:rsidR="006735E3" w:rsidRPr="00E03CE0">
        <w:rPr>
          <w:rFonts w:ascii="Times New Roman" w:hAnsi="Times New Roman" w:cs="Times New Roman"/>
          <w:sz w:val="24"/>
          <w:szCs w:val="24"/>
        </w:rPr>
        <w:t xml:space="preserve">, </w:t>
      </w:r>
      <w:r w:rsidR="002C712D" w:rsidRPr="00E03CE0">
        <w:rPr>
          <w:rFonts w:ascii="Times New Roman" w:hAnsi="Times New Roman" w:cs="Times New Roman"/>
          <w:sz w:val="24"/>
          <w:szCs w:val="24"/>
        </w:rPr>
        <w:t>2021</w:t>
      </w:r>
      <w:r w:rsidR="006735E3" w:rsidRPr="00E03CE0">
        <w:rPr>
          <w:rFonts w:ascii="Times New Roman" w:hAnsi="Times New Roman" w:cs="Times New Roman"/>
          <w:sz w:val="24"/>
          <w:szCs w:val="24"/>
        </w:rPr>
        <w:t>;</w:t>
      </w:r>
      <w:r w:rsidR="002C712D" w:rsidRPr="00E03CE0">
        <w:rPr>
          <w:rFonts w:ascii="Times New Roman" w:hAnsi="Times New Roman" w:cs="Times New Roman"/>
          <w:sz w:val="24"/>
          <w:szCs w:val="24"/>
        </w:rPr>
        <w:t xml:space="preserve"> Munene</w:t>
      </w:r>
      <w:r w:rsidR="006735E3" w:rsidRPr="00E03CE0">
        <w:rPr>
          <w:rFonts w:ascii="Times New Roman" w:hAnsi="Times New Roman" w:cs="Times New Roman"/>
          <w:sz w:val="24"/>
          <w:szCs w:val="24"/>
        </w:rPr>
        <w:t xml:space="preserve">, </w:t>
      </w:r>
      <w:r w:rsidR="002C712D" w:rsidRPr="00E03CE0">
        <w:rPr>
          <w:rFonts w:ascii="Times New Roman" w:hAnsi="Times New Roman" w:cs="Times New Roman"/>
          <w:sz w:val="24"/>
          <w:szCs w:val="24"/>
        </w:rPr>
        <w:t xml:space="preserve">2021) </w:t>
      </w:r>
      <w:r w:rsidR="006735E3" w:rsidRPr="00E03CE0">
        <w:rPr>
          <w:rFonts w:ascii="Times New Roman" w:hAnsi="Times New Roman" w:cs="Times New Roman"/>
          <w:sz w:val="24"/>
          <w:szCs w:val="24"/>
        </w:rPr>
        <w:t xml:space="preserve">or relative to a benchmark level desired by employers/ firms </w:t>
      </w:r>
      <w:r w:rsidR="002C712D" w:rsidRPr="00E03CE0">
        <w:rPr>
          <w:rFonts w:ascii="Times New Roman" w:hAnsi="Times New Roman" w:cs="Times New Roman"/>
          <w:sz w:val="24"/>
          <w:szCs w:val="24"/>
        </w:rPr>
        <w:t>(de Groot et al, 2021</w:t>
      </w:r>
      <w:r w:rsidR="006735E3" w:rsidRPr="00E03CE0">
        <w:rPr>
          <w:rFonts w:ascii="Times New Roman" w:hAnsi="Times New Roman" w:cs="Times New Roman"/>
          <w:sz w:val="24"/>
          <w:szCs w:val="24"/>
        </w:rPr>
        <w:t xml:space="preserve">; </w:t>
      </w:r>
      <w:r w:rsidR="002C712D" w:rsidRPr="00E03CE0">
        <w:rPr>
          <w:rFonts w:ascii="Times New Roman" w:hAnsi="Times New Roman" w:cs="Times New Roman"/>
          <w:sz w:val="24"/>
          <w:szCs w:val="24"/>
        </w:rPr>
        <w:t xml:space="preserve">Carranza &amp; McKenzie, 2024). </w:t>
      </w:r>
      <w:r w:rsidR="006735E3" w:rsidRPr="00E03CE0">
        <w:rPr>
          <w:rFonts w:ascii="Times New Roman" w:hAnsi="Times New Roman" w:cs="Times New Roman"/>
          <w:sz w:val="24"/>
          <w:szCs w:val="24"/>
        </w:rPr>
        <w:t xml:space="preserve">Skills gap </w:t>
      </w:r>
      <w:r w:rsidR="008C6FB0" w:rsidRPr="00E03CE0">
        <w:rPr>
          <w:rFonts w:ascii="Times New Roman" w:hAnsi="Times New Roman" w:cs="Times New Roman"/>
          <w:sz w:val="24"/>
          <w:szCs w:val="24"/>
        </w:rPr>
        <w:t>is</w:t>
      </w:r>
      <w:r w:rsidR="006735E3" w:rsidRPr="00E03CE0">
        <w:rPr>
          <w:rFonts w:ascii="Times New Roman" w:hAnsi="Times New Roman" w:cs="Times New Roman"/>
          <w:sz w:val="24"/>
          <w:szCs w:val="24"/>
        </w:rPr>
        <w:t xml:space="preserve"> relational when existing tasks within a firm require a skillset which differs from skills embodied by employees. The gap is relative when </w:t>
      </w:r>
      <w:r w:rsidR="00987C53" w:rsidRPr="00E03CE0">
        <w:rPr>
          <w:rFonts w:ascii="Times New Roman" w:hAnsi="Times New Roman" w:cs="Times New Roman"/>
          <w:sz w:val="24"/>
          <w:szCs w:val="24"/>
        </w:rPr>
        <w:t>workers’ skills level either exceeds or falls below the threshold set by the firm for the execution of specific tasks or jobs.</w:t>
      </w:r>
      <w:r w:rsidR="002C712D" w:rsidRPr="00E03CE0">
        <w:rPr>
          <w:rFonts w:ascii="Times New Roman" w:hAnsi="Times New Roman" w:cs="Times New Roman"/>
          <w:sz w:val="24"/>
          <w:szCs w:val="24"/>
        </w:rPr>
        <w:t xml:space="preserve"> </w:t>
      </w:r>
    </w:p>
    <w:p w14:paraId="62209A8C" w14:textId="4917D7F3" w:rsidR="00B1441A" w:rsidRPr="00E03CE0" w:rsidRDefault="00B1441A" w:rsidP="00514D5C">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Subsequent sections contextualize this paper within the relevant literature, discuss the analytical approach, and present empirical analyses for Kenya alongside a discussion, and conclusion.</w:t>
      </w:r>
    </w:p>
    <w:p w14:paraId="55776F8F" w14:textId="3069A7AD" w:rsidR="00525E97" w:rsidRPr="00E03CE0" w:rsidRDefault="00243530" w:rsidP="001365F2">
      <w:pPr>
        <w:pStyle w:val="Heading1"/>
        <w:jc w:val="both"/>
        <w:rPr>
          <w:rFonts w:ascii="Times New Roman" w:hAnsi="Times New Roman" w:cs="Times New Roman"/>
          <w:b/>
          <w:bCs/>
          <w:color w:val="auto"/>
          <w:sz w:val="24"/>
          <w:szCs w:val="24"/>
        </w:rPr>
      </w:pPr>
      <w:bookmarkStart w:id="7" w:name="_Toc162614811"/>
      <w:bookmarkStart w:id="8" w:name="_Hlk154408364"/>
      <w:r w:rsidRPr="00E03CE0">
        <w:rPr>
          <w:rFonts w:ascii="Times New Roman" w:hAnsi="Times New Roman" w:cs="Times New Roman"/>
          <w:b/>
          <w:bCs/>
          <w:color w:val="auto"/>
          <w:sz w:val="24"/>
          <w:szCs w:val="24"/>
        </w:rPr>
        <w:t>RELATED</w:t>
      </w:r>
      <w:r w:rsidR="00406D26" w:rsidRPr="00E03CE0">
        <w:rPr>
          <w:rFonts w:ascii="Times New Roman" w:hAnsi="Times New Roman" w:cs="Times New Roman"/>
          <w:b/>
          <w:bCs/>
          <w:color w:val="auto"/>
          <w:sz w:val="24"/>
          <w:szCs w:val="24"/>
        </w:rPr>
        <w:t xml:space="preserve"> LITERATURE</w:t>
      </w:r>
      <w:bookmarkEnd w:id="7"/>
    </w:p>
    <w:p w14:paraId="5AC4F341" w14:textId="3D2D0A5C" w:rsidR="00AA7FE9" w:rsidRPr="00E03CE0" w:rsidRDefault="00AA7FE9" w:rsidP="001365F2">
      <w:pPr>
        <w:pStyle w:val="Heading2"/>
        <w:jc w:val="both"/>
        <w:rPr>
          <w:rFonts w:ascii="Times New Roman" w:hAnsi="Times New Roman" w:cs="Times New Roman"/>
          <w:b/>
          <w:bCs/>
          <w:color w:val="auto"/>
          <w:sz w:val="24"/>
          <w:szCs w:val="24"/>
        </w:rPr>
      </w:pPr>
      <w:bookmarkStart w:id="9" w:name="_Toc162614812"/>
      <w:r w:rsidRPr="00E03CE0">
        <w:rPr>
          <w:rFonts w:ascii="Times New Roman" w:hAnsi="Times New Roman" w:cs="Times New Roman"/>
          <w:b/>
          <w:bCs/>
          <w:color w:val="auto"/>
          <w:sz w:val="24"/>
          <w:szCs w:val="24"/>
        </w:rPr>
        <w:t>THEOR</w:t>
      </w:r>
      <w:bookmarkEnd w:id="9"/>
      <w:r w:rsidR="007A3437" w:rsidRPr="00E03CE0">
        <w:rPr>
          <w:rFonts w:ascii="Times New Roman" w:hAnsi="Times New Roman" w:cs="Times New Roman"/>
          <w:b/>
          <w:bCs/>
          <w:color w:val="auto"/>
          <w:sz w:val="24"/>
          <w:szCs w:val="24"/>
        </w:rPr>
        <w:t>ETICAL FRAMING</w:t>
      </w:r>
    </w:p>
    <w:p w14:paraId="114858F3" w14:textId="24DB014F" w:rsidR="00492335" w:rsidRPr="00E03CE0" w:rsidRDefault="007A3437"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Th</w:t>
      </w:r>
      <w:r w:rsidR="00ED0DD8" w:rsidRPr="00E03CE0">
        <w:rPr>
          <w:rFonts w:ascii="Times New Roman" w:hAnsi="Times New Roman" w:cs="Times New Roman"/>
          <w:sz w:val="24"/>
          <w:szCs w:val="24"/>
        </w:rPr>
        <w:t>e underlying theory is</w:t>
      </w:r>
      <w:r w:rsidR="00492335" w:rsidRPr="00E03CE0">
        <w:rPr>
          <w:rFonts w:ascii="Times New Roman" w:hAnsi="Times New Roman" w:cs="Times New Roman"/>
          <w:sz w:val="24"/>
          <w:szCs w:val="24"/>
        </w:rPr>
        <w:t xml:space="preserve"> the Diamond-Mortensen-</w:t>
      </w:r>
      <w:proofErr w:type="spellStart"/>
      <w:r w:rsidR="00492335" w:rsidRPr="00E03CE0">
        <w:rPr>
          <w:rFonts w:ascii="Times New Roman" w:hAnsi="Times New Roman" w:cs="Times New Roman"/>
          <w:sz w:val="24"/>
          <w:szCs w:val="24"/>
        </w:rPr>
        <w:t>Pissarides</w:t>
      </w:r>
      <w:proofErr w:type="spellEnd"/>
      <w:r w:rsidR="00ED0DD8" w:rsidRPr="00E03CE0">
        <w:rPr>
          <w:rFonts w:ascii="Times New Roman" w:hAnsi="Times New Roman" w:cs="Times New Roman"/>
          <w:sz w:val="24"/>
          <w:szCs w:val="24"/>
        </w:rPr>
        <w:t xml:space="preserve"> search and matching model</w:t>
      </w:r>
      <w:r w:rsidR="00492335" w:rsidRPr="00E03CE0">
        <w:rPr>
          <w:rFonts w:ascii="Times New Roman" w:hAnsi="Times New Roman" w:cs="Times New Roman"/>
          <w:sz w:val="24"/>
          <w:szCs w:val="24"/>
        </w:rPr>
        <w:t xml:space="preserve"> (</w:t>
      </w:r>
      <w:proofErr w:type="spellStart"/>
      <w:r w:rsidR="00A70054" w:rsidRPr="00E03CE0">
        <w:rPr>
          <w:rFonts w:ascii="Times New Roman" w:hAnsi="Times New Roman" w:cs="Times New Roman"/>
          <w:sz w:val="24"/>
          <w:szCs w:val="24"/>
        </w:rPr>
        <w:t>Pissarides</w:t>
      </w:r>
      <w:proofErr w:type="spellEnd"/>
      <w:r w:rsidR="00A70054" w:rsidRPr="00E03CE0">
        <w:rPr>
          <w:rFonts w:ascii="Times New Roman" w:hAnsi="Times New Roman" w:cs="Times New Roman"/>
          <w:sz w:val="24"/>
          <w:szCs w:val="24"/>
        </w:rPr>
        <w:t xml:space="preserve">, 2000; Mortensen &amp; </w:t>
      </w:r>
      <w:proofErr w:type="spellStart"/>
      <w:r w:rsidR="00A70054" w:rsidRPr="00E03CE0">
        <w:rPr>
          <w:rFonts w:ascii="Times New Roman" w:hAnsi="Times New Roman" w:cs="Times New Roman"/>
          <w:sz w:val="24"/>
          <w:szCs w:val="24"/>
        </w:rPr>
        <w:t>Pissarides</w:t>
      </w:r>
      <w:proofErr w:type="spellEnd"/>
      <w:r w:rsidR="00A70054" w:rsidRPr="00E03CE0">
        <w:rPr>
          <w:rFonts w:ascii="Times New Roman" w:hAnsi="Times New Roman" w:cs="Times New Roman"/>
          <w:sz w:val="24"/>
          <w:szCs w:val="24"/>
        </w:rPr>
        <w:t>, 1994; Diamond, 1982</w:t>
      </w:r>
      <w:r w:rsidR="00492335" w:rsidRPr="00E03CE0">
        <w:rPr>
          <w:rFonts w:ascii="Times New Roman" w:hAnsi="Times New Roman" w:cs="Times New Roman"/>
          <w:sz w:val="24"/>
          <w:szCs w:val="24"/>
        </w:rPr>
        <w:t>)</w:t>
      </w:r>
      <w:r w:rsidR="00ED0DD8" w:rsidRPr="00E03CE0">
        <w:rPr>
          <w:rFonts w:ascii="Times New Roman" w:hAnsi="Times New Roman" w:cs="Times New Roman"/>
          <w:sz w:val="24"/>
          <w:szCs w:val="24"/>
        </w:rPr>
        <w:t>. Th</w:t>
      </w:r>
      <w:r w:rsidR="00492335" w:rsidRPr="00E03CE0">
        <w:rPr>
          <w:rFonts w:ascii="Times New Roman" w:hAnsi="Times New Roman" w:cs="Times New Roman"/>
          <w:sz w:val="24"/>
          <w:szCs w:val="24"/>
        </w:rPr>
        <w:t>is</w:t>
      </w:r>
      <w:r w:rsidR="00ED0DD8" w:rsidRPr="00E03CE0">
        <w:rPr>
          <w:rFonts w:ascii="Times New Roman" w:hAnsi="Times New Roman" w:cs="Times New Roman"/>
          <w:sz w:val="24"/>
          <w:szCs w:val="24"/>
        </w:rPr>
        <w:t xml:space="preserve"> model indicate</w:t>
      </w:r>
      <w:r w:rsidR="00492335" w:rsidRPr="00E03CE0">
        <w:rPr>
          <w:rFonts w:ascii="Times New Roman" w:hAnsi="Times New Roman" w:cs="Times New Roman"/>
          <w:sz w:val="24"/>
          <w:szCs w:val="24"/>
        </w:rPr>
        <w:t>s</w:t>
      </w:r>
      <w:r w:rsidR="00ED0DD8" w:rsidRPr="00E03CE0">
        <w:rPr>
          <w:rFonts w:ascii="Times New Roman" w:hAnsi="Times New Roman" w:cs="Times New Roman"/>
          <w:sz w:val="24"/>
          <w:szCs w:val="24"/>
        </w:rPr>
        <w:t xml:space="preserve"> that it is always beneficial to both jobseekers and hiring enterprises agreeing on job offers whenever the two parties meet. </w:t>
      </w:r>
      <w:r w:rsidR="005E0515" w:rsidRPr="00E03CE0">
        <w:rPr>
          <w:rFonts w:ascii="Times New Roman" w:hAnsi="Times New Roman" w:cs="Times New Roman"/>
          <w:sz w:val="24"/>
          <w:szCs w:val="24"/>
        </w:rPr>
        <w:t xml:space="preserve">An implication of it is that when an enterprise in need of skilled workers meets unskilled or skill-mismatched job seekers, the former incurs additional costs in its failure to hire unskilled job seekers. These costs arise from maintenance expenses related to a vacancy created within the firm, and foregone output when a firm has to keep searching for workers. Similarly, a firm incurs expenses related to </w:t>
      </w:r>
      <w:r w:rsidR="00492335" w:rsidRPr="00E03CE0">
        <w:rPr>
          <w:rFonts w:ascii="Times New Roman" w:hAnsi="Times New Roman" w:cs="Times New Roman"/>
          <w:sz w:val="24"/>
          <w:szCs w:val="24"/>
        </w:rPr>
        <w:t>filling a vacancy requiring skilled workers with unskilled workers. These expenses include within-firm training, re-skilling, and upskilling new employees. Although searching models assume that vacancies are created and destroyed without a cost, there are many barriers to job</w:t>
      </w:r>
      <w:r w:rsidR="00A70054" w:rsidRPr="00E03CE0">
        <w:rPr>
          <w:rFonts w:ascii="Times New Roman" w:hAnsi="Times New Roman" w:cs="Times New Roman"/>
          <w:sz w:val="24"/>
          <w:szCs w:val="24"/>
        </w:rPr>
        <w:t xml:space="preserve"> creation and</w:t>
      </w:r>
      <w:r w:rsidR="00492335" w:rsidRPr="00E03CE0">
        <w:rPr>
          <w:rFonts w:ascii="Times New Roman" w:hAnsi="Times New Roman" w:cs="Times New Roman"/>
          <w:sz w:val="24"/>
          <w:szCs w:val="24"/>
        </w:rPr>
        <w:t xml:space="preserve"> destruction in practice—including legal suits over unfair employee </w:t>
      </w:r>
      <w:r w:rsidR="00492335" w:rsidRPr="00E03CE0">
        <w:rPr>
          <w:rFonts w:ascii="Times New Roman" w:hAnsi="Times New Roman" w:cs="Times New Roman"/>
          <w:sz w:val="24"/>
          <w:szCs w:val="24"/>
        </w:rPr>
        <w:lastRenderedPageBreak/>
        <w:t>dismissal, and legislative provisions mandating the compensation of workers whose jobs have been destroyed</w:t>
      </w:r>
      <w:r w:rsidR="00A70054" w:rsidRPr="00E03CE0">
        <w:rPr>
          <w:rStyle w:val="FootnoteReference"/>
          <w:rFonts w:ascii="Times New Roman" w:hAnsi="Times New Roman" w:cs="Times New Roman"/>
          <w:sz w:val="24"/>
          <w:szCs w:val="24"/>
        </w:rPr>
        <w:footnoteReference w:id="5"/>
      </w:r>
      <w:r w:rsidR="00492335" w:rsidRPr="00E03CE0">
        <w:rPr>
          <w:rFonts w:ascii="Times New Roman" w:hAnsi="Times New Roman" w:cs="Times New Roman"/>
          <w:sz w:val="24"/>
          <w:szCs w:val="24"/>
        </w:rPr>
        <w:t xml:space="preserve">. </w:t>
      </w:r>
    </w:p>
    <w:p w14:paraId="4C6B0739" w14:textId="1719CDEF" w:rsidR="007C0873" w:rsidRPr="00E03CE0" w:rsidRDefault="00492335" w:rsidP="00496A97">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It is these costs associated with upskilling unskilled workers, costly continuous search for skilled workers when such workers are hard to come by, and costly legal suits which incentivize enterprises to rely on referrals</w:t>
      </w:r>
      <w:r w:rsidR="003E4377" w:rsidRPr="00E03CE0">
        <w:rPr>
          <w:rFonts w:ascii="Times New Roman" w:hAnsi="Times New Roman" w:cs="Times New Roman"/>
          <w:sz w:val="24"/>
          <w:szCs w:val="24"/>
        </w:rPr>
        <w:t xml:space="preserve">, </w:t>
      </w:r>
      <w:r w:rsidRPr="00E03CE0">
        <w:rPr>
          <w:rFonts w:ascii="Times New Roman" w:hAnsi="Times New Roman" w:cs="Times New Roman"/>
          <w:sz w:val="24"/>
          <w:szCs w:val="24"/>
        </w:rPr>
        <w:t>networks</w:t>
      </w:r>
      <w:r w:rsidR="003E4377" w:rsidRPr="00E03CE0">
        <w:rPr>
          <w:rFonts w:ascii="Times New Roman" w:hAnsi="Times New Roman" w:cs="Times New Roman"/>
          <w:sz w:val="24"/>
          <w:szCs w:val="24"/>
        </w:rPr>
        <w:t>, and poaching skilled employees from other firms</w:t>
      </w:r>
      <w:r w:rsidR="00A70054" w:rsidRPr="00E03CE0">
        <w:rPr>
          <w:rFonts w:ascii="Times New Roman" w:hAnsi="Times New Roman" w:cs="Times New Roman"/>
          <w:sz w:val="24"/>
          <w:szCs w:val="24"/>
        </w:rPr>
        <w:t xml:space="preserve"> (</w:t>
      </w:r>
      <w:proofErr w:type="spellStart"/>
      <w:r w:rsidR="00A70054" w:rsidRPr="00E03CE0">
        <w:rPr>
          <w:rFonts w:ascii="Times New Roman" w:hAnsi="Times New Roman" w:cs="Times New Roman"/>
          <w:spacing w:val="-5"/>
        </w:rPr>
        <w:t>Calvó</w:t>
      </w:r>
      <w:proofErr w:type="spellEnd"/>
      <w:r w:rsidR="00A70054" w:rsidRPr="00E03CE0">
        <w:rPr>
          <w:rFonts w:ascii="Times New Roman" w:hAnsi="Times New Roman" w:cs="Times New Roman"/>
          <w:spacing w:val="-5"/>
        </w:rPr>
        <w:t>-Armengol &amp; Jackson, 2004</w:t>
      </w:r>
      <w:r w:rsidR="003E4377" w:rsidRPr="00E03CE0">
        <w:rPr>
          <w:rFonts w:ascii="Times New Roman" w:hAnsi="Times New Roman" w:cs="Times New Roman"/>
          <w:spacing w:val="-5"/>
        </w:rPr>
        <w:t xml:space="preserve">; </w:t>
      </w:r>
      <w:proofErr w:type="spellStart"/>
      <w:r w:rsidR="003E4377" w:rsidRPr="00E03CE0">
        <w:rPr>
          <w:rFonts w:ascii="Times New Roman" w:hAnsi="Times New Roman" w:cs="Times New Roman"/>
          <w:spacing w:val="-5"/>
        </w:rPr>
        <w:t>Faberman</w:t>
      </w:r>
      <w:proofErr w:type="spellEnd"/>
      <w:r w:rsidR="003E4377" w:rsidRPr="00E03CE0">
        <w:rPr>
          <w:rFonts w:ascii="Times New Roman" w:hAnsi="Times New Roman" w:cs="Times New Roman"/>
          <w:spacing w:val="-5"/>
        </w:rPr>
        <w:t xml:space="preserve"> et al, 2022; de Groot et al, 2021; Glitz &amp; Vejlin, 2021</w:t>
      </w:r>
      <w:r w:rsidR="00A70054" w:rsidRPr="00E03CE0">
        <w:rPr>
          <w:rFonts w:ascii="Times New Roman" w:hAnsi="Times New Roman" w:cs="Times New Roman"/>
          <w:spacing w:val="-5"/>
        </w:rPr>
        <w:t>)</w:t>
      </w:r>
      <w:r w:rsidRPr="00E03CE0">
        <w:rPr>
          <w:rFonts w:ascii="Times New Roman" w:hAnsi="Times New Roman" w:cs="Times New Roman"/>
          <w:sz w:val="24"/>
          <w:szCs w:val="24"/>
        </w:rPr>
        <w:t>.</w:t>
      </w:r>
      <w:r w:rsidR="003E4377" w:rsidRPr="00E03CE0">
        <w:rPr>
          <w:rFonts w:ascii="Times New Roman" w:hAnsi="Times New Roman" w:cs="Times New Roman"/>
          <w:sz w:val="24"/>
          <w:szCs w:val="24"/>
        </w:rPr>
        <w:t xml:space="preserve"> Beaman &amp; Magruder (2010), Pieper et al (2019), </w:t>
      </w:r>
      <w:proofErr w:type="spellStart"/>
      <w:r w:rsidR="003E4377" w:rsidRPr="00E03CE0">
        <w:rPr>
          <w:rFonts w:ascii="Times New Roman" w:hAnsi="Times New Roman" w:cs="Times New Roman"/>
          <w:sz w:val="24"/>
          <w:szCs w:val="24"/>
        </w:rPr>
        <w:t>Faberman</w:t>
      </w:r>
      <w:proofErr w:type="spellEnd"/>
      <w:r w:rsidR="003E4377" w:rsidRPr="00E03CE0">
        <w:rPr>
          <w:rFonts w:ascii="Times New Roman" w:hAnsi="Times New Roman" w:cs="Times New Roman"/>
          <w:sz w:val="24"/>
          <w:szCs w:val="24"/>
        </w:rPr>
        <w:t xml:space="preserve"> et al (2022), and Glitz &amp; Vejlin (2021) indicate that between one-third and one-half of new vacancies are filled via referrals. This is driven by noise and signal distortion on external hiring markets which interfere with the efficient matching of workers to enterprises across a skills profile. Theory, therefore, predicts that networks and referrals grease the job matching function, and both explain part of the reported skills gap across enterprises.</w:t>
      </w:r>
      <w:bookmarkEnd w:id="8"/>
    </w:p>
    <w:p w14:paraId="40E43A15" w14:textId="44D6E0B5" w:rsidR="00AB21EF" w:rsidRPr="00E03CE0" w:rsidRDefault="005D35C2" w:rsidP="005D35C2">
      <w:pPr>
        <w:pStyle w:val="Heading2"/>
        <w:spacing w:line="240" w:lineRule="auto"/>
        <w:jc w:val="both"/>
        <w:rPr>
          <w:rFonts w:ascii="Times New Roman" w:hAnsi="Times New Roman" w:cs="Times New Roman"/>
          <w:b/>
          <w:bCs/>
          <w:color w:val="auto"/>
          <w:sz w:val="24"/>
          <w:szCs w:val="24"/>
        </w:rPr>
      </w:pPr>
      <w:r w:rsidRPr="00E03CE0">
        <w:rPr>
          <w:rFonts w:ascii="Times New Roman" w:hAnsi="Times New Roman" w:cs="Times New Roman"/>
          <w:b/>
          <w:bCs/>
          <w:color w:val="auto"/>
          <w:sz w:val="24"/>
          <w:szCs w:val="24"/>
        </w:rPr>
        <w:t>EMPIRICAL STUDIES</w:t>
      </w:r>
    </w:p>
    <w:p w14:paraId="07ECF642" w14:textId="70B15202" w:rsidR="00E858E7" w:rsidRPr="00E03CE0" w:rsidRDefault="006F670D"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Studies on skills gap and networks focus almost exclusively on referrals</w:t>
      </w:r>
      <w:r w:rsidR="004376C2" w:rsidRPr="00E03CE0">
        <w:rPr>
          <w:rFonts w:ascii="Times New Roman" w:hAnsi="Times New Roman" w:cs="Times New Roman"/>
          <w:sz w:val="24"/>
          <w:szCs w:val="24"/>
        </w:rPr>
        <w:t>, poaching, or collaborations</w:t>
      </w:r>
      <w:r w:rsidRPr="00E03CE0">
        <w:rPr>
          <w:rFonts w:ascii="Times New Roman" w:hAnsi="Times New Roman" w:cs="Times New Roman"/>
          <w:sz w:val="24"/>
          <w:szCs w:val="24"/>
        </w:rPr>
        <w:t xml:space="preserve"> (Beaman &amp; Magruder, 2010; Glitz &amp; Vejlin, 2021;</w:t>
      </w:r>
      <w:r w:rsidR="004376C2" w:rsidRPr="00E03CE0">
        <w:rPr>
          <w:rFonts w:ascii="Times New Roman" w:hAnsi="Times New Roman" w:cs="Times New Roman"/>
          <w:sz w:val="24"/>
          <w:szCs w:val="24"/>
        </w:rPr>
        <w:t xml:space="preserve"> </w:t>
      </w:r>
      <w:proofErr w:type="spellStart"/>
      <w:r w:rsidR="004376C2" w:rsidRPr="00E03CE0">
        <w:rPr>
          <w:rFonts w:ascii="Times New Roman" w:hAnsi="Times New Roman" w:cs="Times New Roman"/>
          <w:sz w:val="24"/>
          <w:szCs w:val="24"/>
        </w:rPr>
        <w:t>Braunerhjelm</w:t>
      </w:r>
      <w:proofErr w:type="spellEnd"/>
      <w:r w:rsidR="004376C2" w:rsidRPr="00E03CE0">
        <w:rPr>
          <w:rFonts w:ascii="Times New Roman" w:hAnsi="Times New Roman" w:cs="Times New Roman"/>
          <w:sz w:val="24"/>
          <w:szCs w:val="24"/>
        </w:rPr>
        <w:t xml:space="preserve"> et al, 2020;</w:t>
      </w:r>
      <w:r w:rsidRPr="00E03CE0">
        <w:rPr>
          <w:rFonts w:ascii="Times New Roman" w:hAnsi="Times New Roman" w:cs="Times New Roman"/>
          <w:sz w:val="24"/>
          <w:szCs w:val="24"/>
        </w:rPr>
        <w:t xml:space="preserve"> Goel &amp; Lang, 2019</w:t>
      </w:r>
      <w:r w:rsidR="00461E53" w:rsidRPr="00E03CE0">
        <w:rPr>
          <w:rFonts w:ascii="Times New Roman" w:hAnsi="Times New Roman" w:cs="Times New Roman"/>
          <w:sz w:val="24"/>
          <w:szCs w:val="24"/>
        </w:rPr>
        <w:t>; Andreoni et al, 2021</w:t>
      </w:r>
      <w:r w:rsidR="004376C2" w:rsidRPr="00E03CE0">
        <w:rPr>
          <w:rFonts w:ascii="Times New Roman" w:hAnsi="Times New Roman" w:cs="Times New Roman"/>
          <w:sz w:val="24"/>
          <w:szCs w:val="24"/>
        </w:rPr>
        <w:t xml:space="preserve">; </w:t>
      </w:r>
      <w:proofErr w:type="spellStart"/>
      <w:r w:rsidR="004376C2" w:rsidRPr="00E03CE0">
        <w:rPr>
          <w:rFonts w:ascii="Times New Roman" w:hAnsi="Times New Roman" w:cs="Times New Roman"/>
          <w:sz w:val="24"/>
          <w:szCs w:val="24"/>
        </w:rPr>
        <w:t>Shingou</w:t>
      </w:r>
      <w:proofErr w:type="spellEnd"/>
      <w:r w:rsidR="004376C2" w:rsidRPr="00E03CE0">
        <w:rPr>
          <w:rFonts w:ascii="Times New Roman" w:hAnsi="Times New Roman" w:cs="Times New Roman"/>
          <w:sz w:val="24"/>
          <w:szCs w:val="24"/>
        </w:rPr>
        <w:t xml:space="preserve"> et al, 2022; </w:t>
      </w:r>
      <w:proofErr w:type="spellStart"/>
      <w:r w:rsidR="004376C2" w:rsidRPr="00E03CE0">
        <w:rPr>
          <w:rFonts w:ascii="Times New Roman" w:hAnsi="Times New Roman" w:cs="Times New Roman"/>
          <w:sz w:val="24"/>
          <w:szCs w:val="24"/>
        </w:rPr>
        <w:t>Audretsch</w:t>
      </w:r>
      <w:proofErr w:type="spellEnd"/>
      <w:r w:rsidR="004376C2" w:rsidRPr="00E03CE0">
        <w:rPr>
          <w:rFonts w:ascii="Times New Roman" w:hAnsi="Times New Roman" w:cs="Times New Roman"/>
          <w:sz w:val="24"/>
          <w:szCs w:val="24"/>
        </w:rPr>
        <w:t xml:space="preserve"> et al, 2023</w:t>
      </w:r>
      <w:r w:rsidRPr="00E03CE0">
        <w:rPr>
          <w:rFonts w:ascii="Times New Roman" w:hAnsi="Times New Roman" w:cs="Times New Roman"/>
          <w:sz w:val="24"/>
          <w:szCs w:val="24"/>
        </w:rPr>
        <w:t>). These referrals are largely drawn from coworkers</w:t>
      </w:r>
      <w:r w:rsidR="00461E53" w:rsidRPr="00E03CE0">
        <w:rPr>
          <w:rFonts w:ascii="Times New Roman" w:hAnsi="Times New Roman" w:cs="Times New Roman"/>
          <w:sz w:val="24"/>
          <w:szCs w:val="24"/>
        </w:rPr>
        <w:t>,</w:t>
      </w:r>
      <w:r w:rsidRPr="00E03CE0">
        <w:rPr>
          <w:rFonts w:ascii="Times New Roman" w:hAnsi="Times New Roman" w:cs="Times New Roman"/>
          <w:sz w:val="24"/>
          <w:szCs w:val="24"/>
        </w:rPr>
        <w:t xml:space="preserve"> social ne</w:t>
      </w:r>
      <w:r w:rsidR="00E858E7" w:rsidRPr="00E03CE0">
        <w:rPr>
          <w:rFonts w:ascii="Times New Roman" w:hAnsi="Times New Roman" w:cs="Times New Roman"/>
          <w:sz w:val="24"/>
          <w:szCs w:val="24"/>
        </w:rPr>
        <w:t>tw</w:t>
      </w:r>
      <w:r w:rsidRPr="00E03CE0">
        <w:rPr>
          <w:rFonts w:ascii="Times New Roman" w:hAnsi="Times New Roman" w:cs="Times New Roman"/>
          <w:sz w:val="24"/>
          <w:szCs w:val="24"/>
        </w:rPr>
        <w:t>orks</w:t>
      </w:r>
      <w:r w:rsidR="00E858E7" w:rsidRPr="00E03CE0">
        <w:rPr>
          <w:rFonts w:ascii="Times New Roman" w:hAnsi="Times New Roman" w:cs="Times New Roman"/>
          <w:sz w:val="24"/>
          <w:szCs w:val="24"/>
        </w:rPr>
        <w:t xml:space="preserve">, </w:t>
      </w:r>
      <w:r w:rsidR="00461E53" w:rsidRPr="00E03CE0">
        <w:rPr>
          <w:rFonts w:ascii="Times New Roman" w:hAnsi="Times New Roman" w:cs="Times New Roman"/>
          <w:sz w:val="24"/>
          <w:szCs w:val="24"/>
        </w:rPr>
        <w:t xml:space="preserve">and inter-firm linkages, </w:t>
      </w:r>
      <w:r w:rsidR="00E858E7" w:rsidRPr="00E03CE0">
        <w:rPr>
          <w:rFonts w:ascii="Times New Roman" w:hAnsi="Times New Roman" w:cs="Times New Roman"/>
          <w:sz w:val="24"/>
          <w:szCs w:val="24"/>
        </w:rPr>
        <w:t>with the consensus being that referrals reduce the costs of screening new employees</w:t>
      </w:r>
      <w:r w:rsidR="004376C2" w:rsidRPr="00E03CE0">
        <w:rPr>
          <w:rFonts w:ascii="Times New Roman" w:hAnsi="Times New Roman" w:cs="Times New Roman"/>
          <w:sz w:val="24"/>
          <w:szCs w:val="24"/>
        </w:rPr>
        <w:t>, and reduce the need for on-the-job training</w:t>
      </w:r>
      <w:r w:rsidRPr="00E03CE0">
        <w:rPr>
          <w:rFonts w:ascii="Times New Roman" w:hAnsi="Times New Roman" w:cs="Times New Roman"/>
          <w:sz w:val="24"/>
          <w:szCs w:val="24"/>
        </w:rPr>
        <w:t>.</w:t>
      </w:r>
      <w:r w:rsidR="00E858E7" w:rsidRPr="00E03CE0">
        <w:rPr>
          <w:rFonts w:ascii="Times New Roman" w:hAnsi="Times New Roman" w:cs="Times New Roman"/>
          <w:sz w:val="24"/>
          <w:szCs w:val="24"/>
        </w:rPr>
        <w:t xml:space="preserve"> Some studies offer a job-matching context of skills gap by matching beneficiaries of study programs to available jobs (Bandiera et al, 2023). Other studies, and which we leave out, consider skills gap without linking them to networks. These latter studies indicate that skills gaps arise from sectoral reallocation of unskilled and skilled workers during the process of structural transformation</w:t>
      </w:r>
      <w:r w:rsidR="007B045D" w:rsidRPr="00E03CE0">
        <w:rPr>
          <w:rFonts w:ascii="Times New Roman" w:hAnsi="Times New Roman" w:cs="Times New Roman"/>
          <w:sz w:val="24"/>
          <w:szCs w:val="24"/>
        </w:rPr>
        <w:t xml:space="preserve"> or exposure to technological shocks</w:t>
      </w:r>
      <w:r w:rsidR="00E858E7" w:rsidRPr="00E03CE0">
        <w:rPr>
          <w:rFonts w:ascii="Times New Roman" w:hAnsi="Times New Roman" w:cs="Times New Roman"/>
          <w:sz w:val="24"/>
          <w:szCs w:val="24"/>
        </w:rPr>
        <w:t xml:space="preserve"> (</w:t>
      </w:r>
      <w:r w:rsidR="007B045D" w:rsidRPr="00E03CE0">
        <w:rPr>
          <w:rFonts w:ascii="Times New Roman" w:hAnsi="Times New Roman" w:cs="Times New Roman"/>
          <w:sz w:val="24"/>
          <w:szCs w:val="24"/>
        </w:rPr>
        <w:t xml:space="preserve">Acemoglu et al, 2022; </w:t>
      </w:r>
      <w:r w:rsidR="004376C2" w:rsidRPr="00E03CE0">
        <w:rPr>
          <w:rFonts w:ascii="Times New Roman" w:hAnsi="Times New Roman" w:cs="Times New Roman"/>
          <w:sz w:val="24"/>
          <w:szCs w:val="24"/>
        </w:rPr>
        <w:t xml:space="preserve">Diao et al, 2021; </w:t>
      </w:r>
      <w:r w:rsidR="00E858E7" w:rsidRPr="00E03CE0">
        <w:rPr>
          <w:rFonts w:ascii="Times New Roman" w:hAnsi="Times New Roman" w:cs="Times New Roman"/>
          <w:sz w:val="24"/>
          <w:szCs w:val="24"/>
        </w:rPr>
        <w:t>Bustos et al, 2022</w:t>
      </w:r>
      <w:r w:rsidR="00461E53" w:rsidRPr="00E03CE0">
        <w:rPr>
          <w:rFonts w:ascii="Times New Roman" w:hAnsi="Times New Roman" w:cs="Times New Roman"/>
          <w:sz w:val="24"/>
          <w:szCs w:val="24"/>
        </w:rPr>
        <w:t>; Federico et al, 2019; Halim et al, 2019</w:t>
      </w:r>
      <w:r w:rsidR="00E858E7" w:rsidRPr="00E03CE0">
        <w:rPr>
          <w:rFonts w:ascii="Times New Roman" w:hAnsi="Times New Roman" w:cs="Times New Roman"/>
          <w:sz w:val="24"/>
          <w:szCs w:val="24"/>
        </w:rPr>
        <w:t>)</w:t>
      </w:r>
      <w:r w:rsidR="00461E53" w:rsidRPr="00E03CE0">
        <w:rPr>
          <w:rFonts w:ascii="Times New Roman" w:hAnsi="Times New Roman" w:cs="Times New Roman"/>
          <w:sz w:val="24"/>
          <w:szCs w:val="24"/>
        </w:rPr>
        <w:t xml:space="preserve">; </w:t>
      </w:r>
      <w:r w:rsidR="004376C2" w:rsidRPr="00E03CE0">
        <w:rPr>
          <w:rFonts w:ascii="Times New Roman" w:hAnsi="Times New Roman" w:cs="Times New Roman"/>
          <w:sz w:val="24"/>
          <w:szCs w:val="24"/>
        </w:rPr>
        <w:t xml:space="preserve">relative importance of certain skills (Getahun &amp; Mersha, 2020; Fink, 2023; </w:t>
      </w:r>
      <w:proofErr w:type="spellStart"/>
      <w:r w:rsidR="004376C2" w:rsidRPr="00E03CE0">
        <w:rPr>
          <w:rFonts w:ascii="Times New Roman" w:hAnsi="Times New Roman" w:cs="Times New Roman"/>
          <w:sz w:val="24"/>
          <w:szCs w:val="24"/>
        </w:rPr>
        <w:t>Shingou</w:t>
      </w:r>
      <w:proofErr w:type="spellEnd"/>
      <w:r w:rsidR="004376C2" w:rsidRPr="00E03CE0">
        <w:rPr>
          <w:rFonts w:ascii="Times New Roman" w:hAnsi="Times New Roman" w:cs="Times New Roman"/>
          <w:sz w:val="24"/>
          <w:szCs w:val="24"/>
        </w:rPr>
        <w:t xml:space="preserve"> et al, 2022); </w:t>
      </w:r>
      <w:r w:rsidR="00461E53" w:rsidRPr="00E03CE0">
        <w:rPr>
          <w:rFonts w:ascii="Times New Roman" w:hAnsi="Times New Roman" w:cs="Times New Roman"/>
          <w:sz w:val="24"/>
          <w:szCs w:val="24"/>
        </w:rPr>
        <w:t>and limited interactions among employees in a firm (</w:t>
      </w:r>
      <w:proofErr w:type="spellStart"/>
      <w:r w:rsidR="00461E53" w:rsidRPr="00E03CE0">
        <w:rPr>
          <w:rFonts w:ascii="Times New Roman" w:hAnsi="Times New Roman" w:cs="Times New Roman"/>
          <w:sz w:val="24"/>
          <w:szCs w:val="24"/>
        </w:rPr>
        <w:t>Wuni</w:t>
      </w:r>
      <w:proofErr w:type="spellEnd"/>
      <w:r w:rsidR="00461E53" w:rsidRPr="00E03CE0">
        <w:rPr>
          <w:rFonts w:ascii="Times New Roman" w:hAnsi="Times New Roman" w:cs="Times New Roman"/>
          <w:sz w:val="24"/>
          <w:szCs w:val="24"/>
        </w:rPr>
        <w:t xml:space="preserve"> et al, 202</w:t>
      </w:r>
      <w:r w:rsidR="00017442" w:rsidRPr="00E03CE0">
        <w:rPr>
          <w:rFonts w:ascii="Times New Roman" w:hAnsi="Times New Roman" w:cs="Times New Roman"/>
          <w:sz w:val="24"/>
          <w:szCs w:val="24"/>
        </w:rPr>
        <w:t>1</w:t>
      </w:r>
      <w:r w:rsidR="00461E53" w:rsidRPr="00E03CE0">
        <w:rPr>
          <w:rFonts w:ascii="Times New Roman" w:hAnsi="Times New Roman" w:cs="Times New Roman"/>
          <w:sz w:val="24"/>
          <w:szCs w:val="24"/>
        </w:rPr>
        <w:t>; Gregersen, 2022). We also omit studies focusing on the nexus between curriculum development, coverage of syllabus, fields of study, and skills shortage (</w:t>
      </w:r>
      <w:r w:rsidR="004376C2" w:rsidRPr="00E03CE0">
        <w:rPr>
          <w:rFonts w:ascii="Times New Roman" w:hAnsi="Times New Roman" w:cs="Times New Roman"/>
          <w:sz w:val="24"/>
          <w:szCs w:val="24"/>
        </w:rPr>
        <w:t xml:space="preserve">Tomar-Mishra et al, 2019; </w:t>
      </w:r>
      <w:proofErr w:type="spellStart"/>
      <w:r w:rsidR="007B045D" w:rsidRPr="00E03CE0">
        <w:rPr>
          <w:rFonts w:ascii="Times New Roman" w:hAnsi="Times New Roman" w:cs="Times New Roman"/>
          <w:sz w:val="24"/>
          <w:szCs w:val="24"/>
        </w:rPr>
        <w:t>Amutabi</w:t>
      </w:r>
      <w:proofErr w:type="spellEnd"/>
      <w:r w:rsidR="007B045D" w:rsidRPr="00E03CE0">
        <w:rPr>
          <w:rFonts w:ascii="Times New Roman" w:hAnsi="Times New Roman" w:cs="Times New Roman"/>
          <w:sz w:val="24"/>
          <w:szCs w:val="24"/>
        </w:rPr>
        <w:t xml:space="preserve"> &amp; Wambugu, 2020; </w:t>
      </w:r>
      <w:r w:rsidR="00461E53" w:rsidRPr="00E03CE0">
        <w:rPr>
          <w:rFonts w:ascii="Times New Roman" w:hAnsi="Times New Roman" w:cs="Times New Roman"/>
          <w:sz w:val="24"/>
          <w:szCs w:val="24"/>
        </w:rPr>
        <w:t xml:space="preserve">John et al, 2020; </w:t>
      </w:r>
      <w:proofErr w:type="spellStart"/>
      <w:r w:rsidR="00461E53" w:rsidRPr="00E03CE0">
        <w:rPr>
          <w:rFonts w:ascii="Times New Roman" w:hAnsi="Times New Roman" w:cs="Times New Roman"/>
          <w:sz w:val="24"/>
          <w:szCs w:val="24"/>
        </w:rPr>
        <w:t>Zervoudi</w:t>
      </w:r>
      <w:proofErr w:type="spellEnd"/>
      <w:r w:rsidR="00461E53" w:rsidRPr="00E03CE0">
        <w:rPr>
          <w:rFonts w:ascii="Times New Roman" w:hAnsi="Times New Roman" w:cs="Times New Roman"/>
          <w:sz w:val="24"/>
          <w:szCs w:val="24"/>
        </w:rPr>
        <w:t xml:space="preserve">, 2020; Costan et al, 2021; </w:t>
      </w:r>
      <w:r w:rsidR="007B045D" w:rsidRPr="00E03CE0">
        <w:rPr>
          <w:rFonts w:ascii="Times New Roman" w:hAnsi="Times New Roman" w:cs="Times New Roman"/>
          <w:sz w:val="24"/>
          <w:szCs w:val="24"/>
        </w:rPr>
        <w:t xml:space="preserve">Wolcott, 2021; </w:t>
      </w:r>
      <w:r w:rsidR="004376C2" w:rsidRPr="00E03CE0">
        <w:rPr>
          <w:rFonts w:ascii="Times New Roman" w:hAnsi="Times New Roman" w:cs="Times New Roman"/>
          <w:sz w:val="24"/>
          <w:szCs w:val="24"/>
        </w:rPr>
        <w:t xml:space="preserve">Munga et al, 2021; </w:t>
      </w:r>
      <w:proofErr w:type="spellStart"/>
      <w:r w:rsidR="00461E53" w:rsidRPr="00E03CE0">
        <w:rPr>
          <w:rFonts w:ascii="Times New Roman" w:hAnsi="Times New Roman" w:cs="Times New Roman"/>
          <w:sz w:val="24"/>
          <w:szCs w:val="24"/>
        </w:rPr>
        <w:t>Ngware</w:t>
      </w:r>
      <w:proofErr w:type="spellEnd"/>
      <w:r w:rsidR="00461E53" w:rsidRPr="00E03CE0">
        <w:rPr>
          <w:rFonts w:ascii="Times New Roman" w:hAnsi="Times New Roman" w:cs="Times New Roman"/>
          <w:sz w:val="24"/>
          <w:szCs w:val="24"/>
        </w:rPr>
        <w:t xml:space="preserve"> et al, 2022; Muchira et al, 2023; Conzelman et al, 2023)</w:t>
      </w:r>
      <w:r w:rsidR="00E858E7" w:rsidRPr="00E03CE0">
        <w:rPr>
          <w:rFonts w:ascii="Times New Roman" w:hAnsi="Times New Roman" w:cs="Times New Roman"/>
          <w:sz w:val="24"/>
          <w:szCs w:val="24"/>
        </w:rPr>
        <w:t xml:space="preserve"> </w:t>
      </w:r>
      <w:r w:rsidRPr="00E03CE0">
        <w:rPr>
          <w:rFonts w:ascii="Times New Roman" w:hAnsi="Times New Roman" w:cs="Times New Roman"/>
          <w:sz w:val="24"/>
          <w:szCs w:val="24"/>
        </w:rPr>
        <w:t xml:space="preserve"> </w:t>
      </w:r>
    </w:p>
    <w:p w14:paraId="7733CA90" w14:textId="297EFE42" w:rsidR="00EC37B8" w:rsidRPr="00E03CE0" w:rsidRDefault="007C0873"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Beaman &amp; Magruder (2010)</w:t>
      </w:r>
      <w:r w:rsidR="00AF2B66" w:rsidRPr="00E03CE0">
        <w:rPr>
          <w:rFonts w:ascii="Times New Roman" w:hAnsi="Times New Roman" w:cs="Times New Roman"/>
          <w:sz w:val="24"/>
          <w:szCs w:val="24"/>
        </w:rPr>
        <w:t xml:space="preserve"> analyze referral to jobs based on social networks and worker ability in India’s Kolkata. In a</w:t>
      </w:r>
      <w:r w:rsidR="00D245AF" w:rsidRPr="00E03CE0">
        <w:rPr>
          <w:rFonts w:ascii="Times New Roman" w:hAnsi="Times New Roman" w:cs="Times New Roman"/>
          <w:sz w:val="24"/>
          <w:szCs w:val="24"/>
        </w:rPr>
        <w:t xml:space="preserve"> multi-round</w:t>
      </w:r>
      <w:r w:rsidR="00AF2B66" w:rsidRPr="00E03CE0">
        <w:rPr>
          <w:rFonts w:ascii="Times New Roman" w:hAnsi="Times New Roman" w:cs="Times New Roman"/>
          <w:sz w:val="24"/>
          <w:szCs w:val="24"/>
        </w:rPr>
        <w:t xml:space="preserve"> laboratory experiment involving 18-65-year-old men, the authors introduce performance pay as an incentive. Worker ability was given by performance on a cognitive test that assessed speed and accuracy.</w:t>
      </w:r>
      <w:r w:rsidR="00D245AF" w:rsidRPr="00E03CE0">
        <w:rPr>
          <w:rFonts w:ascii="Times New Roman" w:hAnsi="Times New Roman" w:cs="Times New Roman"/>
          <w:sz w:val="24"/>
          <w:szCs w:val="24"/>
        </w:rPr>
        <w:t xml:space="preserve"> Employing the Heckman model, the authors</w:t>
      </w:r>
      <w:r w:rsidRPr="00E03CE0">
        <w:rPr>
          <w:rFonts w:ascii="Times New Roman" w:hAnsi="Times New Roman" w:cs="Times New Roman"/>
          <w:sz w:val="24"/>
          <w:szCs w:val="24"/>
        </w:rPr>
        <w:t xml:space="preserve"> indicate high-ability individuals being referred by high-ability original participants given strong incentives.</w:t>
      </w:r>
      <w:r w:rsidR="00D245AF" w:rsidRPr="00E03CE0">
        <w:rPr>
          <w:rFonts w:ascii="Times New Roman" w:hAnsi="Times New Roman" w:cs="Times New Roman"/>
          <w:sz w:val="24"/>
          <w:szCs w:val="24"/>
        </w:rPr>
        <w:t xml:space="preserve"> Referr</w:t>
      </w:r>
      <w:r w:rsidR="006B413F" w:rsidRPr="00E03CE0">
        <w:rPr>
          <w:rFonts w:ascii="Times New Roman" w:hAnsi="Times New Roman" w:cs="Times New Roman"/>
          <w:sz w:val="24"/>
          <w:szCs w:val="24"/>
        </w:rPr>
        <w:t>ers</w:t>
      </w:r>
      <w:r w:rsidR="00D245AF" w:rsidRPr="00E03CE0">
        <w:rPr>
          <w:rFonts w:ascii="Times New Roman" w:hAnsi="Times New Roman" w:cs="Times New Roman"/>
          <w:sz w:val="24"/>
          <w:szCs w:val="24"/>
        </w:rPr>
        <w:t xml:space="preserve"> were less likely to recruit low-ability family members compared to co-workers. </w:t>
      </w:r>
      <w:r w:rsidR="00DD537B" w:rsidRPr="00E03CE0">
        <w:rPr>
          <w:rFonts w:ascii="Times New Roman" w:hAnsi="Times New Roman" w:cs="Times New Roman"/>
          <w:sz w:val="24"/>
          <w:szCs w:val="24"/>
        </w:rPr>
        <w:t xml:space="preserve">The findings further suggest that network members were effectively screened by high-ability original participants. </w:t>
      </w:r>
      <w:r w:rsidR="00D245AF" w:rsidRPr="00E03CE0">
        <w:rPr>
          <w:rFonts w:ascii="Times New Roman" w:hAnsi="Times New Roman" w:cs="Times New Roman"/>
          <w:sz w:val="24"/>
          <w:szCs w:val="24"/>
        </w:rPr>
        <w:t>According to the authors, the preference for high-ability co-workers over low-ability relatives was driven by performance pay. This implies that it never paid referrers to recruit low-ability relatives when payment stakes were high.</w:t>
      </w:r>
      <w:r w:rsidR="00DD537B" w:rsidRPr="00E03CE0">
        <w:rPr>
          <w:rFonts w:ascii="Times New Roman" w:hAnsi="Times New Roman" w:cs="Times New Roman"/>
          <w:sz w:val="24"/>
          <w:szCs w:val="24"/>
        </w:rPr>
        <w:t xml:space="preserve"> A shortcoming in the study is that rainfall was a weak instrument for </w:t>
      </w:r>
      <w:r w:rsidR="00C055D6" w:rsidRPr="00E03CE0">
        <w:rPr>
          <w:rFonts w:ascii="Times New Roman" w:hAnsi="Times New Roman" w:cs="Times New Roman"/>
          <w:sz w:val="24"/>
          <w:szCs w:val="24"/>
        </w:rPr>
        <w:t>attending the interview when low-ability referrals were considered.</w:t>
      </w:r>
      <w:r w:rsidR="006B413F" w:rsidRPr="00E03CE0">
        <w:rPr>
          <w:rFonts w:ascii="Times New Roman" w:hAnsi="Times New Roman" w:cs="Times New Roman"/>
          <w:sz w:val="24"/>
          <w:szCs w:val="24"/>
        </w:rPr>
        <w:t xml:space="preserve"> That is, a low-ability referral may opt not to show up in any case. </w:t>
      </w:r>
      <w:r w:rsidR="00C055D6" w:rsidRPr="00E03CE0">
        <w:rPr>
          <w:rFonts w:ascii="Times New Roman" w:hAnsi="Times New Roman" w:cs="Times New Roman"/>
          <w:sz w:val="24"/>
          <w:szCs w:val="24"/>
        </w:rPr>
        <w:t xml:space="preserve"> </w:t>
      </w:r>
      <w:r w:rsidR="00D245AF" w:rsidRPr="00E03CE0">
        <w:rPr>
          <w:rFonts w:ascii="Times New Roman" w:hAnsi="Times New Roman" w:cs="Times New Roman"/>
          <w:sz w:val="24"/>
          <w:szCs w:val="24"/>
        </w:rPr>
        <w:t xml:space="preserve"> </w:t>
      </w:r>
      <w:r w:rsidRPr="00E03CE0">
        <w:rPr>
          <w:rFonts w:ascii="Times New Roman" w:hAnsi="Times New Roman" w:cs="Times New Roman"/>
          <w:sz w:val="24"/>
          <w:szCs w:val="24"/>
        </w:rPr>
        <w:t xml:space="preserve"> </w:t>
      </w:r>
    </w:p>
    <w:p w14:paraId="5F684603" w14:textId="66FD1E29" w:rsidR="00C055D6" w:rsidRPr="00E03CE0" w:rsidRDefault="00D656FB"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lastRenderedPageBreak/>
        <w:t xml:space="preserve">Glitz &amp; Vejlin (2021) </w:t>
      </w:r>
      <w:r w:rsidR="00C055D6" w:rsidRPr="00E03CE0">
        <w:rPr>
          <w:rFonts w:ascii="Times New Roman" w:hAnsi="Times New Roman" w:cs="Times New Roman"/>
          <w:sz w:val="24"/>
          <w:szCs w:val="24"/>
        </w:rPr>
        <w:t>analyze coworker referrals</w:t>
      </w:r>
      <w:r w:rsidR="00C97759" w:rsidRPr="00E03CE0">
        <w:rPr>
          <w:rFonts w:ascii="Times New Roman" w:hAnsi="Times New Roman" w:cs="Times New Roman"/>
          <w:sz w:val="24"/>
          <w:szCs w:val="24"/>
        </w:rPr>
        <w:t xml:space="preserve"> and match quality based on administrative data among 25-54-year-olds </w:t>
      </w:r>
      <w:r w:rsidR="00C055D6" w:rsidRPr="00E03CE0">
        <w:rPr>
          <w:rFonts w:ascii="Times New Roman" w:hAnsi="Times New Roman" w:cs="Times New Roman"/>
          <w:sz w:val="24"/>
          <w:szCs w:val="24"/>
        </w:rPr>
        <w:t>from 1980 to 2005 in Denmark.</w:t>
      </w:r>
      <w:r w:rsidR="00C97759" w:rsidRPr="00E03CE0">
        <w:rPr>
          <w:rFonts w:ascii="Times New Roman" w:hAnsi="Times New Roman" w:cs="Times New Roman"/>
          <w:sz w:val="24"/>
          <w:szCs w:val="24"/>
        </w:rPr>
        <w:t xml:space="preserve"> Referrals were proxied by whether or not an individual worked in the same firm with a former coworker.</w:t>
      </w:r>
      <w:r w:rsidR="00243161" w:rsidRPr="00E03CE0">
        <w:rPr>
          <w:rFonts w:ascii="Times New Roman" w:hAnsi="Times New Roman" w:cs="Times New Roman"/>
          <w:sz w:val="24"/>
          <w:szCs w:val="24"/>
        </w:rPr>
        <w:t xml:space="preserve"> In the regressions, the authors control for overexposure proxied by the network size—number of coworkers in the previous ten years.</w:t>
      </w:r>
      <w:r w:rsidRPr="00E03CE0">
        <w:rPr>
          <w:rFonts w:ascii="Times New Roman" w:hAnsi="Times New Roman" w:cs="Times New Roman"/>
          <w:sz w:val="24"/>
          <w:szCs w:val="24"/>
        </w:rPr>
        <w:t xml:space="preserve"> </w:t>
      </w:r>
      <w:r w:rsidR="00243161" w:rsidRPr="00E03CE0">
        <w:rPr>
          <w:rFonts w:ascii="Times New Roman" w:hAnsi="Times New Roman" w:cs="Times New Roman"/>
          <w:sz w:val="24"/>
          <w:szCs w:val="24"/>
        </w:rPr>
        <w:t xml:space="preserve">The results suggest that workers received significantly higher wages, and were less likely to exit </w:t>
      </w:r>
      <w:r w:rsidRPr="00E03CE0">
        <w:rPr>
          <w:rFonts w:ascii="Times New Roman" w:hAnsi="Times New Roman" w:cs="Times New Roman"/>
          <w:sz w:val="24"/>
          <w:szCs w:val="24"/>
        </w:rPr>
        <w:t>at the beginning of tenure in a new establishment</w:t>
      </w:r>
      <w:r w:rsidR="00243161" w:rsidRPr="00E03CE0">
        <w:rPr>
          <w:rFonts w:ascii="Times New Roman" w:hAnsi="Times New Roman" w:cs="Times New Roman"/>
          <w:sz w:val="24"/>
          <w:szCs w:val="24"/>
        </w:rPr>
        <w:t xml:space="preserve"> when a coworker was present compared to when absent</w:t>
      </w:r>
      <w:r w:rsidRPr="00E03CE0">
        <w:rPr>
          <w:rFonts w:ascii="Times New Roman" w:hAnsi="Times New Roman" w:cs="Times New Roman"/>
          <w:sz w:val="24"/>
          <w:szCs w:val="24"/>
        </w:rPr>
        <w:t xml:space="preserve">. The authors </w:t>
      </w:r>
      <w:r w:rsidR="00370845" w:rsidRPr="00E03CE0">
        <w:rPr>
          <w:rFonts w:ascii="Times New Roman" w:hAnsi="Times New Roman" w:cs="Times New Roman"/>
          <w:sz w:val="24"/>
          <w:szCs w:val="24"/>
        </w:rPr>
        <w:t>further</w:t>
      </w:r>
      <w:r w:rsidRPr="00E03CE0">
        <w:rPr>
          <w:rFonts w:ascii="Times New Roman" w:hAnsi="Times New Roman" w:cs="Times New Roman"/>
          <w:sz w:val="24"/>
          <w:szCs w:val="24"/>
        </w:rPr>
        <w:t xml:space="preserve"> reveal much lower distortions of a worker’s productivity signals in the referral market relative to external markets.</w:t>
      </w:r>
      <w:r w:rsidR="006721D6" w:rsidRPr="00E03CE0">
        <w:rPr>
          <w:rFonts w:ascii="Times New Roman" w:hAnsi="Times New Roman" w:cs="Times New Roman"/>
          <w:sz w:val="24"/>
          <w:szCs w:val="24"/>
        </w:rPr>
        <w:t xml:space="preserve"> This was attributed to much longer contact durations, and shorter separation durations between the referral, and the coworker.</w:t>
      </w:r>
      <w:r w:rsidRPr="00E03CE0">
        <w:rPr>
          <w:rFonts w:ascii="Times New Roman" w:hAnsi="Times New Roman" w:cs="Times New Roman"/>
          <w:sz w:val="24"/>
          <w:szCs w:val="24"/>
        </w:rPr>
        <w:t xml:space="preserve"> </w:t>
      </w:r>
      <w:r w:rsidR="00F62FD8" w:rsidRPr="00E03CE0">
        <w:rPr>
          <w:rFonts w:ascii="Times New Roman" w:hAnsi="Times New Roman" w:cs="Times New Roman"/>
          <w:sz w:val="24"/>
          <w:szCs w:val="24"/>
        </w:rPr>
        <w:t>In the long-run, turnover probability and wages received converge for workers hired from the external market and those referred.</w:t>
      </w:r>
      <w:r w:rsidR="006721D6" w:rsidRPr="00E03CE0">
        <w:rPr>
          <w:rFonts w:ascii="Times New Roman" w:hAnsi="Times New Roman" w:cs="Times New Roman"/>
          <w:sz w:val="24"/>
          <w:szCs w:val="24"/>
        </w:rPr>
        <w:t xml:space="preserve"> The convergence in wages was attributed to externally-hired workers that formed bad matches being weeded out. </w:t>
      </w:r>
      <w:r w:rsidR="00F62FD8" w:rsidRPr="00E03CE0">
        <w:rPr>
          <w:rFonts w:ascii="Times New Roman" w:hAnsi="Times New Roman" w:cs="Times New Roman"/>
          <w:sz w:val="24"/>
          <w:szCs w:val="24"/>
        </w:rPr>
        <w:t xml:space="preserve"> </w:t>
      </w:r>
    </w:p>
    <w:p w14:paraId="33D81C43" w14:textId="2BE7D717" w:rsidR="00370845" w:rsidRPr="00E03CE0" w:rsidRDefault="00D1787C"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Bandiera et al (2023) analyze job matching and vocational training in Uganda. </w:t>
      </w:r>
      <w:r w:rsidR="003139B6" w:rsidRPr="00E03CE0">
        <w:rPr>
          <w:rFonts w:ascii="Times New Roman" w:hAnsi="Times New Roman" w:cs="Times New Roman"/>
          <w:sz w:val="24"/>
          <w:szCs w:val="24"/>
        </w:rPr>
        <w:t xml:space="preserve">In the intent-to-treat model, offer of a job match was deployed as an intervention. Job match entailed linking vocational trainees to job offers. </w:t>
      </w:r>
      <w:r w:rsidRPr="00E03CE0">
        <w:rPr>
          <w:rFonts w:ascii="Times New Roman" w:hAnsi="Times New Roman" w:cs="Times New Roman"/>
          <w:sz w:val="24"/>
          <w:szCs w:val="24"/>
        </w:rPr>
        <w:t xml:space="preserve">The authors indicate vocational training raising sector-specific skills among the trained relative to untrained counterparts. Skills accumulation </w:t>
      </w:r>
      <w:r w:rsidR="003139B6" w:rsidRPr="00E03CE0">
        <w:rPr>
          <w:rFonts w:ascii="Times New Roman" w:hAnsi="Times New Roman" w:cs="Times New Roman"/>
          <w:sz w:val="24"/>
          <w:szCs w:val="24"/>
        </w:rPr>
        <w:t>rose</w:t>
      </w:r>
      <w:r w:rsidRPr="00E03CE0">
        <w:rPr>
          <w:rFonts w:ascii="Times New Roman" w:hAnsi="Times New Roman" w:cs="Times New Roman"/>
          <w:sz w:val="24"/>
          <w:szCs w:val="24"/>
        </w:rPr>
        <w:t xml:space="preserve"> insignificantly </w:t>
      </w:r>
      <w:r w:rsidR="003139B6" w:rsidRPr="00E03CE0">
        <w:rPr>
          <w:rFonts w:ascii="Times New Roman" w:hAnsi="Times New Roman" w:cs="Times New Roman"/>
          <w:sz w:val="24"/>
          <w:szCs w:val="24"/>
        </w:rPr>
        <w:t>in</w:t>
      </w:r>
      <w:r w:rsidRPr="00E03CE0">
        <w:rPr>
          <w:rFonts w:ascii="Times New Roman" w:hAnsi="Times New Roman" w:cs="Times New Roman"/>
          <w:sz w:val="24"/>
          <w:szCs w:val="24"/>
        </w:rPr>
        <w:t xml:space="preserve"> job matching regardless of training.</w:t>
      </w:r>
      <w:r w:rsidR="000E5BE7" w:rsidRPr="00E03CE0">
        <w:rPr>
          <w:rFonts w:ascii="Times New Roman" w:hAnsi="Times New Roman" w:cs="Times New Roman"/>
          <w:sz w:val="24"/>
          <w:szCs w:val="24"/>
        </w:rPr>
        <w:t xml:space="preserve"> In terms of long-run outcomes, unskilled youth experienced long unemployment spells (lasting 14 months) relative to vocational trainees (1-2 months after graduation). </w:t>
      </w:r>
      <w:r w:rsidR="00947B42" w:rsidRPr="00E03CE0">
        <w:rPr>
          <w:rFonts w:ascii="Times New Roman" w:hAnsi="Times New Roman" w:cs="Times New Roman"/>
          <w:sz w:val="24"/>
          <w:szCs w:val="24"/>
        </w:rPr>
        <w:t xml:space="preserve">This was attributed to differences in search behaviors, and expectations, between the vocational trained and the untrained youth. </w:t>
      </w:r>
    </w:p>
    <w:p w14:paraId="09C880F0" w14:textId="0573319D" w:rsidR="009F6AE6" w:rsidRPr="00E03CE0" w:rsidRDefault="00344035"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Goel &amp; Lang (2019) </w:t>
      </w:r>
      <w:r w:rsidR="0022489D" w:rsidRPr="00E03CE0">
        <w:rPr>
          <w:rFonts w:ascii="Times New Roman" w:hAnsi="Times New Roman" w:cs="Times New Roman"/>
          <w:sz w:val="24"/>
          <w:szCs w:val="24"/>
        </w:rPr>
        <w:t xml:space="preserve">consider </w:t>
      </w:r>
      <w:r w:rsidRPr="00E03CE0">
        <w:rPr>
          <w:rFonts w:ascii="Times New Roman" w:hAnsi="Times New Roman" w:cs="Times New Roman"/>
          <w:sz w:val="24"/>
          <w:szCs w:val="24"/>
        </w:rPr>
        <w:t>social networks among</w:t>
      </w:r>
      <w:r w:rsidR="004C2BF3" w:rsidRPr="00E03CE0">
        <w:rPr>
          <w:rFonts w:ascii="Times New Roman" w:hAnsi="Times New Roman" w:cs="Times New Roman"/>
          <w:sz w:val="24"/>
          <w:szCs w:val="24"/>
        </w:rPr>
        <w:t xml:space="preserve"> 6524 15-64-year-old</w:t>
      </w:r>
      <w:r w:rsidRPr="00E03CE0">
        <w:rPr>
          <w:rFonts w:ascii="Times New Roman" w:hAnsi="Times New Roman" w:cs="Times New Roman"/>
          <w:sz w:val="24"/>
          <w:szCs w:val="24"/>
        </w:rPr>
        <w:t xml:space="preserve"> immigrants</w:t>
      </w:r>
      <w:r w:rsidR="004C2BF3" w:rsidRPr="00E03CE0">
        <w:rPr>
          <w:rFonts w:ascii="Times New Roman" w:hAnsi="Times New Roman" w:cs="Times New Roman"/>
          <w:sz w:val="24"/>
          <w:szCs w:val="24"/>
        </w:rPr>
        <w:t xml:space="preserve"> within Canada’s twenty-three metropolis</w:t>
      </w:r>
      <w:r w:rsidRPr="00E03CE0">
        <w:rPr>
          <w:rFonts w:ascii="Times New Roman" w:hAnsi="Times New Roman" w:cs="Times New Roman"/>
          <w:sz w:val="24"/>
          <w:szCs w:val="24"/>
        </w:rPr>
        <w:t xml:space="preserve">. </w:t>
      </w:r>
      <w:r w:rsidR="0022489D" w:rsidRPr="00E03CE0">
        <w:rPr>
          <w:rFonts w:ascii="Times New Roman" w:hAnsi="Times New Roman" w:cs="Times New Roman"/>
          <w:sz w:val="24"/>
          <w:szCs w:val="24"/>
        </w:rPr>
        <w:t>N</w:t>
      </w:r>
      <w:r w:rsidR="00A97401" w:rsidRPr="00E03CE0">
        <w:rPr>
          <w:rFonts w:ascii="Times New Roman" w:hAnsi="Times New Roman" w:cs="Times New Roman"/>
          <w:sz w:val="24"/>
          <w:szCs w:val="24"/>
        </w:rPr>
        <w:t>etwork strength was given by presence of a friend or relative in Canada during entry. Employing the difference-in-differences model, t</w:t>
      </w:r>
      <w:r w:rsidRPr="00E03CE0">
        <w:rPr>
          <w:rFonts w:ascii="Times New Roman" w:hAnsi="Times New Roman" w:cs="Times New Roman"/>
          <w:sz w:val="24"/>
          <w:szCs w:val="24"/>
        </w:rPr>
        <w:t xml:space="preserve">he </w:t>
      </w:r>
      <w:r w:rsidR="00847585" w:rsidRPr="00E03CE0">
        <w:rPr>
          <w:rFonts w:ascii="Times New Roman" w:hAnsi="Times New Roman" w:cs="Times New Roman"/>
          <w:sz w:val="24"/>
          <w:szCs w:val="24"/>
        </w:rPr>
        <w:t xml:space="preserve">authors indicate significant job creation within </w:t>
      </w:r>
      <w:r w:rsidR="00A97401" w:rsidRPr="00E03CE0">
        <w:rPr>
          <w:rFonts w:ascii="Times New Roman" w:hAnsi="Times New Roman" w:cs="Times New Roman"/>
          <w:sz w:val="24"/>
          <w:szCs w:val="24"/>
        </w:rPr>
        <w:t>strong</w:t>
      </w:r>
      <w:r w:rsidR="00847585" w:rsidRPr="00E03CE0">
        <w:rPr>
          <w:rFonts w:ascii="Times New Roman" w:hAnsi="Times New Roman" w:cs="Times New Roman"/>
          <w:sz w:val="24"/>
          <w:szCs w:val="24"/>
        </w:rPr>
        <w:t xml:space="preserve"> network</w:t>
      </w:r>
      <w:r w:rsidR="00A97401" w:rsidRPr="00E03CE0">
        <w:rPr>
          <w:rFonts w:ascii="Times New Roman" w:hAnsi="Times New Roman" w:cs="Times New Roman"/>
          <w:sz w:val="24"/>
          <w:szCs w:val="24"/>
        </w:rPr>
        <w:t>s</w:t>
      </w:r>
      <w:r w:rsidR="00847585" w:rsidRPr="00E03CE0">
        <w:rPr>
          <w:rFonts w:ascii="Times New Roman" w:hAnsi="Times New Roman" w:cs="Times New Roman"/>
          <w:sz w:val="24"/>
          <w:szCs w:val="24"/>
        </w:rPr>
        <w:t xml:space="preserve"> for immigrants</w:t>
      </w:r>
      <w:r w:rsidR="00A97401" w:rsidRPr="00E03CE0">
        <w:rPr>
          <w:rFonts w:ascii="Times New Roman" w:hAnsi="Times New Roman" w:cs="Times New Roman"/>
          <w:sz w:val="24"/>
          <w:szCs w:val="24"/>
        </w:rPr>
        <w:t>.</w:t>
      </w:r>
      <w:r w:rsidR="00DF64FF" w:rsidRPr="00E03CE0">
        <w:rPr>
          <w:rFonts w:ascii="Times New Roman" w:hAnsi="Times New Roman" w:cs="Times New Roman"/>
          <w:sz w:val="24"/>
          <w:szCs w:val="24"/>
        </w:rPr>
        <w:t xml:space="preserve"> The results further suggest negligible skills bias such that immigrant wages were insignificantly affected by observed skills. This was true with the exception of the third decile</w:t>
      </w:r>
      <w:r w:rsidR="00C06368" w:rsidRPr="00E03CE0">
        <w:rPr>
          <w:rFonts w:ascii="Times New Roman" w:hAnsi="Times New Roman" w:cs="Times New Roman"/>
          <w:sz w:val="24"/>
          <w:szCs w:val="24"/>
        </w:rPr>
        <w:t xml:space="preserve">. Within the third decile, immigrants with network jobs were less likely to have language skills (fluency in French or English), </w:t>
      </w:r>
      <w:r w:rsidR="00392DE0" w:rsidRPr="00E03CE0">
        <w:rPr>
          <w:rFonts w:ascii="Times New Roman" w:hAnsi="Times New Roman" w:cs="Times New Roman"/>
          <w:sz w:val="24"/>
          <w:szCs w:val="24"/>
        </w:rPr>
        <w:t xml:space="preserve">or </w:t>
      </w:r>
      <w:r w:rsidR="00C06368" w:rsidRPr="00E03CE0">
        <w:rPr>
          <w:rFonts w:ascii="Times New Roman" w:hAnsi="Times New Roman" w:cs="Times New Roman"/>
          <w:sz w:val="24"/>
          <w:szCs w:val="24"/>
        </w:rPr>
        <w:t>to have worked before migrating, and were likely to have lower educational attainment.</w:t>
      </w:r>
      <w:r w:rsidR="00D3346B" w:rsidRPr="00E03CE0">
        <w:rPr>
          <w:rFonts w:ascii="Times New Roman" w:hAnsi="Times New Roman" w:cs="Times New Roman"/>
          <w:sz w:val="24"/>
          <w:szCs w:val="24"/>
        </w:rPr>
        <w:t xml:space="preserve"> The authors argue that networks increased the number of jobs without dictating the type of offer received. </w:t>
      </w:r>
      <w:r w:rsidR="00C06368" w:rsidRPr="00E03CE0">
        <w:rPr>
          <w:rFonts w:ascii="Times New Roman" w:hAnsi="Times New Roman" w:cs="Times New Roman"/>
          <w:sz w:val="24"/>
          <w:szCs w:val="24"/>
        </w:rPr>
        <w:t xml:space="preserve"> </w:t>
      </w:r>
      <w:r w:rsidR="00DF64FF" w:rsidRPr="00E03CE0">
        <w:rPr>
          <w:rFonts w:ascii="Times New Roman" w:hAnsi="Times New Roman" w:cs="Times New Roman"/>
          <w:sz w:val="24"/>
          <w:szCs w:val="24"/>
        </w:rPr>
        <w:t xml:space="preserve"> </w:t>
      </w:r>
      <w:r w:rsidR="00A97401" w:rsidRPr="00E03CE0">
        <w:rPr>
          <w:rFonts w:ascii="Times New Roman" w:hAnsi="Times New Roman" w:cs="Times New Roman"/>
          <w:sz w:val="24"/>
          <w:szCs w:val="24"/>
        </w:rPr>
        <w:t xml:space="preserve"> </w:t>
      </w:r>
      <w:bookmarkEnd w:id="4"/>
    </w:p>
    <w:p w14:paraId="12C99F59" w14:textId="6D8F24B6" w:rsidR="002A62AA" w:rsidRPr="00E03CE0" w:rsidRDefault="004B798E"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Morris et al (2019) link productivity of firms within the United Kingdom</w:t>
      </w:r>
      <w:r w:rsidR="006C698A" w:rsidRPr="00E03CE0">
        <w:rPr>
          <w:rFonts w:ascii="Times New Roman" w:hAnsi="Times New Roman" w:cs="Times New Roman"/>
          <w:sz w:val="24"/>
          <w:szCs w:val="24"/>
        </w:rPr>
        <w:t xml:space="preserve"> (UK)</w:t>
      </w:r>
      <w:r w:rsidRPr="00E03CE0">
        <w:rPr>
          <w:rFonts w:ascii="Times New Roman" w:hAnsi="Times New Roman" w:cs="Times New Roman"/>
          <w:sz w:val="24"/>
          <w:szCs w:val="24"/>
        </w:rPr>
        <w:t xml:space="preserve"> to skill shortage and skills gap.</w:t>
      </w:r>
      <w:r w:rsidR="00774904" w:rsidRPr="00E03CE0">
        <w:rPr>
          <w:rFonts w:ascii="Times New Roman" w:hAnsi="Times New Roman" w:cs="Times New Roman"/>
          <w:sz w:val="24"/>
          <w:szCs w:val="24"/>
        </w:rPr>
        <w:t xml:space="preserve"> Skills gap within a firm was given by the share of employees facing below-required level job proficiency. </w:t>
      </w:r>
      <w:r w:rsidR="00D15463" w:rsidRPr="00E03CE0">
        <w:rPr>
          <w:rFonts w:ascii="Times New Roman" w:hAnsi="Times New Roman" w:cs="Times New Roman"/>
          <w:sz w:val="24"/>
          <w:szCs w:val="24"/>
        </w:rPr>
        <w:t xml:space="preserve">Skills gaps were then averaged across industries and regions to yield a region-industry skill </w:t>
      </w:r>
      <w:r w:rsidR="002A62AA" w:rsidRPr="00E03CE0">
        <w:rPr>
          <w:rFonts w:ascii="Times New Roman" w:hAnsi="Times New Roman" w:cs="Times New Roman"/>
          <w:sz w:val="24"/>
          <w:szCs w:val="24"/>
        </w:rPr>
        <w:t>shortage share.</w:t>
      </w:r>
      <w:r w:rsidR="00D42FCD" w:rsidRPr="00E03CE0">
        <w:rPr>
          <w:rFonts w:ascii="Times New Roman" w:hAnsi="Times New Roman" w:cs="Times New Roman"/>
          <w:sz w:val="24"/>
          <w:szCs w:val="24"/>
        </w:rPr>
        <w:t xml:space="preserve"> Productivity was proxied by gross value addition, and total factor productivity.</w:t>
      </w:r>
      <w:r w:rsidR="002A62AA" w:rsidRPr="00E03CE0">
        <w:rPr>
          <w:rFonts w:ascii="Times New Roman" w:hAnsi="Times New Roman" w:cs="Times New Roman"/>
          <w:sz w:val="24"/>
          <w:szCs w:val="24"/>
        </w:rPr>
        <w:t xml:space="preserve"> In a fixed effects model, the authors indicate that regional firm productivity differences in the 2008-2014 period were driven by skill shortage at the industry-region level. This was attributed to operational issues and loss of requisite knowledge that aggravated skill shortage. </w:t>
      </w:r>
      <w:r w:rsidR="00774904" w:rsidRPr="00E03CE0">
        <w:rPr>
          <w:rFonts w:ascii="Times New Roman" w:hAnsi="Times New Roman" w:cs="Times New Roman"/>
          <w:sz w:val="24"/>
          <w:szCs w:val="24"/>
        </w:rPr>
        <w:t xml:space="preserve"> </w:t>
      </w:r>
    </w:p>
    <w:p w14:paraId="6DD4B3E4" w14:textId="59B2849A" w:rsidR="009075A7" w:rsidRPr="00E03CE0" w:rsidRDefault="009F6AE6" w:rsidP="004376C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Andreoni et al (2021) analyze skills development within South Africa’s industrialization and digitalization context. </w:t>
      </w:r>
      <w:r w:rsidR="0022489D" w:rsidRPr="00E03CE0">
        <w:rPr>
          <w:rFonts w:ascii="Times New Roman" w:hAnsi="Times New Roman" w:cs="Times New Roman"/>
          <w:sz w:val="24"/>
          <w:szCs w:val="24"/>
        </w:rPr>
        <w:t>The authors argue that</w:t>
      </w:r>
      <w:r w:rsidR="006C6112" w:rsidRPr="00E03CE0">
        <w:rPr>
          <w:rFonts w:ascii="Times New Roman" w:hAnsi="Times New Roman" w:cs="Times New Roman"/>
          <w:sz w:val="24"/>
          <w:szCs w:val="24"/>
        </w:rPr>
        <w:t xml:space="preserve"> interactions among enterprises enhance skills acquisition via institutional learning. Inter-firm interactions also catapult joint capacity building ventures, collaborative </w:t>
      </w:r>
      <w:r w:rsidR="0022489D" w:rsidRPr="00E03CE0">
        <w:rPr>
          <w:rFonts w:ascii="Times New Roman" w:hAnsi="Times New Roman" w:cs="Times New Roman"/>
          <w:sz w:val="24"/>
          <w:szCs w:val="24"/>
        </w:rPr>
        <w:t>research and development (R &amp; D)</w:t>
      </w:r>
      <w:r w:rsidR="006C6112" w:rsidRPr="00E03CE0">
        <w:rPr>
          <w:rFonts w:ascii="Times New Roman" w:hAnsi="Times New Roman" w:cs="Times New Roman"/>
          <w:sz w:val="24"/>
          <w:szCs w:val="24"/>
        </w:rPr>
        <w:t xml:space="preserve">, and process innovation. </w:t>
      </w:r>
    </w:p>
    <w:p w14:paraId="7265F3EA" w14:textId="57C01C6B" w:rsidR="00C14C39" w:rsidRPr="00E03CE0" w:rsidRDefault="00C14C39" w:rsidP="001365F2">
      <w:pPr>
        <w:spacing w:line="240" w:lineRule="auto"/>
        <w:jc w:val="both"/>
        <w:rPr>
          <w:rFonts w:ascii="Times New Roman" w:hAnsi="Times New Roman" w:cs="Times New Roman"/>
          <w:sz w:val="24"/>
          <w:szCs w:val="24"/>
        </w:rPr>
      </w:pPr>
      <w:proofErr w:type="spellStart"/>
      <w:r w:rsidRPr="00E03CE0">
        <w:rPr>
          <w:rFonts w:ascii="Times New Roman" w:hAnsi="Times New Roman" w:cs="Times New Roman"/>
          <w:sz w:val="24"/>
          <w:szCs w:val="24"/>
        </w:rPr>
        <w:t>Braunerhjelm</w:t>
      </w:r>
      <w:proofErr w:type="spellEnd"/>
      <w:r w:rsidRPr="00E03CE0">
        <w:rPr>
          <w:rFonts w:ascii="Times New Roman" w:hAnsi="Times New Roman" w:cs="Times New Roman"/>
          <w:sz w:val="24"/>
          <w:szCs w:val="24"/>
        </w:rPr>
        <w:t xml:space="preserve"> et al (2020) </w:t>
      </w:r>
      <w:r w:rsidR="0022489D" w:rsidRPr="00E03CE0">
        <w:rPr>
          <w:rFonts w:ascii="Times New Roman" w:hAnsi="Times New Roman" w:cs="Times New Roman"/>
          <w:sz w:val="24"/>
          <w:szCs w:val="24"/>
        </w:rPr>
        <w:t xml:space="preserve">look at </w:t>
      </w:r>
      <w:r w:rsidRPr="00E03CE0">
        <w:rPr>
          <w:rFonts w:ascii="Times New Roman" w:hAnsi="Times New Roman" w:cs="Times New Roman"/>
          <w:sz w:val="24"/>
          <w:szCs w:val="24"/>
        </w:rPr>
        <w:t xml:space="preserve">innovation, knowledge diffusion, and mobility of highly-educated individuals on the Swedish labor market. The analysis was based on a dataset </w:t>
      </w:r>
      <w:r w:rsidR="00D212FC" w:rsidRPr="00E03CE0">
        <w:rPr>
          <w:rFonts w:ascii="Times New Roman" w:hAnsi="Times New Roman" w:cs="Times New Roman"/>
          <w:sz w:val="24"/>
          <w:szCs w:val="24"/>
        </w:rPr>
        <w:t xml:space="preserve">drawn from the Statistics Sweden’s Business Register containing 91688 employee-employer observations across 21662 firms from 1987 to 2008. Firms without an R &amp; D worker were excluded from the </w:t>
      </w:r>
      <w:r w:rsidR="00D212FC" w:rsidRPr="00E03CE0">
        <w:rPr>
          <w:rFonts w:ascii="Times New Roman" w:hAnsi="Times New Roman" w:cs="Times New Roman"/>
          <w:sz w:val="24"/>
          <w:szCs w:val="24"/>
        </w:rPr>
        <w:lastRenderedPageBreak/>
        <w:t>sample.</w:t>
      </w:r>
      <w:r w:rsidRPr="00E03CE0">
        <w:rPr>
          <w:rFonts w:ascii="Times New Roman" w:hAnsi="Times New Roman" w:cs="Times New Roman"/>
          <w:sz w:val="24"/>
          <w:szCs w:val="24"/>
        </w:rPr>
        <w:t xml:space="preserve"> </w:t>
      </w:r>
      <w:r w:rsidR="0022489D" w:rsidRPr="00E03CE0">
        <w:rPr>
          <w:rFonts w:ascii="Times New Roman" w:hAnsi="Times New Roman" w:cs="Times New Roman"/>
          <w:sz w:val="24"/>
          <w:szCs w:val="24"/>
        </w:rPr>
        <w:t>W</w:t>
      </w:r>
      <w:r w:rsidRPr="00E03CE0">
        <w:rPr>
          <w:rFonts w:ascii="Times New Roman" w:hAnsi="Times New Roman" w:cs="Times New Roman"/>
          <w:sz w:val="24"/>
          <w:szCs w:val="24"/>
        </w:rPr>
        <w:t>orkers poached from other firms and retained employees were categorized as experienced. Fresh university graduates that joined enterprises were considered inexperienced workers.</w:t>
      </w:r>
      <w:r w:rsidR="00D212FC" w:rsidRPr="00E03CE0">
        <w:rPr>
          <w:rFonts w:ascii="Times New Roman" w:hAnsi="Times New Roman" w:cs="Times New Roman"/>
          <w:sz w:val="24"/>
          <w:szCs w:val="24"/>
        </w:rPr>
        <w:t xml:space="preserve"> Innovation was proxied by patent applications in the 2001-2008 period.</w:t>
      </w:r>
      <w:r w:rsidRPr="00E03CE0">
        <w:rPr>
          <w:rFonts w:ascii="Times New Roman" w:hAnsi="Times New Roman" w:cs="Times New Roman"/>
          <w:sz w:val="24"/>
          <w:szCs w:val="24"/>
        </w:rPr>
        <w:t xml:space="preserve"> In a negative binomial regression,</w:t>
      </w:r>
      <w:r w:rsidR="00D212FC" w:rsidRPr="00E03CE0">
        <w:rPr>
          <w:rFonts w:ascii="Times New Roman" w:hAnsi="Times New Roman" w:cs="Times New Roman"/>
          <w:sz w:val="24"/>
          <w:szCs w:val="24"/>
        </w:rPr>
        <w:t xml:space="preserve"> the authors indicate significant increments in patent applications as joiners increased relative to stayers. This effect was large when new R &amp; D hires came from firms that were already patenting compared to non-patenting counterparts.</w:t>
      </w:r>
      <w:r w:rsidR="00441F98" w:rsidRPr="00E03CE0">
        <w:rPr>
          <w:rFonts w:ascii="Times New Roman" w:hAnsi="Times New Roman" w:cs="Times New Roman"/>
          <w:sz w:val="24"/>
          <w:szCs w:val="24"/>
        </w:rPr>
        <w:t xml:space="preserve"> The authors argue that superior absorptive capacity among recipient firms for new hires enabled them to raise patent applications.</w:t>
      </w:r>
      <w:r w:rsidR="0039175B" w:rsidRPr="00E03CE0">
        <w:rPr>
          <w:rFonts w:ascii="Times New Roman" w:hAnsi="Times New Roman" w:cs="Times New Roman"/>
          <w:sz w:val="24"/>
          <w:szCs w:val="24"/>
        </w:rPr>
        <w:t xml:space="preserve"> In addition, patent applications significantly rose in the size of R &amp; D workforce, and firm’s stock of capital.</w:t>
      </w:r>
      <w:r w:rsidR="00441F98" w:rsidRPr="00E03CE0">
        <w:rPr>
          <w:rFonts w:ascii="Times New Roman" w:hAnsi="Times New Roman" w:cs="Times New Roman"/>
          <w:sz w:val="24"/>
          <w:szCs w:val="24"/>
        </w:rPr>
        <w:t xml:space="preserve"> Patent applications were insignificantly affected by university graduates that were inexperienced as well as by leavers regardless of the firm.</w:t>
      </w:r>
      <w:r w:rsidR="0039175B" w:rsidRPr="00E03CE0">
        <w:rPr>
          <w:rFonts w:ascii="Times New Roman" w:hAnsi="Times New Roman" w:cs="Times New Roman"/>
          <w:sz w:val="24"/>
          <w:szCs w:val="24"/>
        </w:rPr>
        <w:t xml:space="preserve"> Similarly, patent applications insignificantly declined in the number of associate professionals and technicians; i.e., less-skilled R &amp; D workers.</w:t>
      </w:r>
      <w:r w:rsidR="00441F98" w:rsidRPr="00E03CE0">
        <w:rPr>
          <w:rFonts w:ascii="Times New Roman" w:hAnsi="Times New Roman" w:cs="Times New Roman"/>
          <w:sz w:val="24"/>
          <w:szCs w:val="24"/>
        </w:rPr>
        <w:t xml:space="preserve">  </w:t>
      </w:r>
      <w:r w:rsidR="00D212FC" w:rsidRPr="00E03CE0">
        <w:rPr>
          <w:rFonts w:ascii="Times New Roman" w:hAnsi="Times New Roman" w:cs="Times New Roman"/>
          <w:sz w:val="24"/>
          <w:szCs w:val="24"/>
        </w:rPr>
        <w:t xml:space="preserve"> </w:t>
      </w:r>
      <w:r w:rsidRPr="00E03CE0">
        <w:rPr>
          <w:rFonts w:ascii="Times New Roman" w:hAnsi="Times New Roman" w:cs="Times New Roman"/>
          <w:sz w:val="24"/>
          <w:szCs w:val="24"/>
        </w:rPr>
        <w:t xml:space="preserve"> </w:t>
      </w:r>
    </w:p>
    <w:p w14:paraId="2F912247" w14:textId="568479A1" w:rsidR="007B045D" w:rsidRPr="00E03CE0" w:rsidRDefault="00136901" w:rsidP="00BD150A">
      <w:pPr>
        <w:spacing w:line="240" w:lineRule="auto"/>
        <w:jc w:val="both"/>
        <w:rPr>
          <w:rFonts w:ascii="Times New Roman" w:hAnsi="Times New Roman" w:cs="Times New Roman"/>
          <w:sz w:val="24"/>
          <w:szCs w:val="24"/>
        </w:rPr>
      </w:pPr>
      <w:proofErr w:type="spellStart"/>
      <w:r w:rsidRPr="00E03CE0">
        <w:rPr>
          <w:rFonts w:ascii="Times New Roman" w:hAnsi="Times New Roman" w:cs="Times New Roman"/>
          <w:sz w:val="24"/>
          <w:szCs w:val="24"/>
        </w:rPr>
        <w:t>Audretsch</w:t>
      </w:r>
      <w:proofErr w:type="spellEnd"/>
      <w:r w:rsidRPr="00E03CE0">
        <w:rPr>
          <w:rFonts w:ascii="Times New Roman" w:hAnsi="Times New Roman" w:cs="Times New Roman"/>
          <w:sz w:val="24"/>
          <w:szCs w:val="24"/>
        </w:rPr>
        <w:t xml:space="preserve"> et al </w:t>
      </w:r>
      <w:r w:rsidR="00894DBC" w:rsidRPr="00E03CE0">
        <w:rPr>
          <w:rFonts w:ascii="Times New Roman" w:hAnsi="Times New Roman" w:cs="Times New Roman"/>
          <w:sz w:val="24"/>
          <w:szCs w:val="24"/>
        </w:rPr>
        <w:t xml:space="preserve">(2023) </w:t>
      </w:r>
      <w:r w:rsidR="006C698A" w:rsidRPr="00E03CE0">
        <w:rPr>
          <w:rFonts w:ascii="Times New Roman" w:hAnsi="Times New Roman" w:cs="Times New Roman"/>
          <w:sz w:val="24"/>
          <w:szCs w:val="24"/>
        </w:rPr>
        <w:t xml:space="preserve">focus on </w:t>
      </w:r>
      <w:r w:rsidR="009F3671" w:rsidRPr="00E03CE0">
        <w:rPr>
          <w:rFonts w:ascii="Times New Roman" w:hAnsi="Times New Roman" w:cs="Times New Roman"/>
          <w:sz w:val="24"/>
          <w:szCs w:val="24"/>
        </w:rPr>
        <w:t>product innovation</w:t>
      </w:r>
      <w:r w:rsidR="00894DBC" w:rsidRPr="00E03CE0">
        <w:rPr>
          <w:rFonts w:ascii="Times New Roman" w:hAnsi="Times New Roman" w:cs="Times New Roman"/>
          <w:sz w:val="24"/>
          <w:szCs w:val="24"/>
        </w:rPr>
        <w:t xml:space="preserve"> among SMEs and the co-generation of knowledge in the UK. The analysis was based on six waves of the UK Innovation Survey (UKIS) covering 9213 SMEs from 2002 to 2014. UKIS was matched to Business Enterprise Research and Development Survey, and the Business Registry datasets</w:t>
      </w:r>
      <w:r w:rsidR="006C698A" w:rsidRPr="00E03CE0">
        <w:rPr>
          <w:rFonts w:ascii="Times New Roman" w:hAnsi="Times New Roman" w:cs="Times New Roman"/>
          <w:sz w:val="24"/>
          <w:szCs w:val="24"/>
        </w:rPr>
        <w:t>, both</w:t>
      </w:r>
      <w:r w:rsidR="00894DBC" w:rsidRPr="00E03CE0">
        <w:rPr>
          <w:rFonts w:ascii="Times New Roman" w:hAnsi="Times New Roman" w:cs="Times New Roman"/>
          <w:sz w:val="24"/>
          <w:szCs w:val="24"/>
        </w:rPr>
        <w:t xml:space="preserve"> compiled biannually. </w:t>
      </w:r>
      <w:r w:rsidR="009F3671" w:rsidRPr="00E03CE0">
        <w:rPr>
          <w:rFonts w:ascii="Times New Roman" w:hAnsi="Times New Roman" w:cs="Times New Roman"/>
          <w:sz w:val="24"/>
          <w:szCs w:val="24"/>
        </w:rPr>
        <w:t xml:space="preserve">Product innovation was given by the turnover arising from introduction of new commodities to the market as a share of total turnover to the firm. In </w:t>
      </w:r>
      <w:r w:rsidR="002B5F60" w:rsidRPr="00E03CE0">
        <w:rPr>
          <w:rFonts w:ascii="Times New Roman" w:hAnsi="Times New Roman" w:cs="Times New Roman"/>
          <w:sz w:val="24"/>
          <w:szCs w:val="24"/>
        </w:rPr>
        <w:t>both instrumental variable Tobit, and</w:t>
      </w:r>
      <w:r w:rsidR="009F3671" w:rsidRPr="00E03CE0">
        <w:rPr>
          <w:rFonts w:ascii="Times New Roman" w:hAnsi="Times New Roman" w:cs="Times New Roman"/>
          <w:sz w:val="24"/>
          <w:szCs w:val="24"/>
        </w:rPr>
        <w:t xml:space="preserve"> random-effects Tobit model</w:t>
      </w:r>
      <w:r w:rsidR="002B5F60" w:rsidRPr="00E03CE0">
        <w:rPr>
          <w:rFonts w:ascii="Times New Roman" w:hAnsi="Times New Roman" w:cs="Times New Roman"/>
          <w:sz w:val="24"/>
          <w:szCs w:val="24"/>
        </w:rPr>
        <w:t>s</w:t>
      </w:r>
      <w:r w:rsidR="009F3671" w:rsidRPr="00E03CE0">
        <w:rPr>
          <w:rFonts w:ascii="Times New Roman" w:hAnsi="Times New Roman" w:cs="Times New Roman"/>
          <w:sz w:val="24"/>
          <w:szCs w:val="24"/>
        </w:rPr>
        <w:t xml:space="preserve">, knowledge collaboration </w:t>
      </w:r>
      <w:r w:rsidR="002B5F60" w:rsidRPr="00E03CE0">
        <w:rPr>
          <w:rFonts w:ascii="Times New Roman" w:hAnsi="Times New Roman" w:cs="Times New Roman"/>
          <w:sz w:val="24"/>
          <w:szCs w:val="24"/>
        </w:rPr>
        <w:t xml:space="preserve">between SMEs and universities and customers significantly </w:t>
      </w:r>
      <w:r w:rsidR="006C698A" w:rsidRPr="00E03CE0">
        <w:rPr>
          <w:rFonts w:ascii="Times New Roman" w:hAnsi="Times New Roman" w:cs="Times New Roman"/>
          <w:sz w:val="24"/>
          <w:szCs w:val="24"/>
        </w:rPr>
        <w:t xml:space="preserve">raised </w:t>
      </w:r>
      <w:r w:rsidR="002B5F60" w:rsidRPr="00E03CE0">
        <w:rPr>
          <w:rFonts w:ascii="Times New Roman" w:hAnsi="Times New Roman" w:cs="Times New Roman"/>
          <w:sz w:val="24"/>
          <w:szCs w:val="24"/>
        </w:rPr>
        <w:t xml:space="preserve">product innovation. This was attributed to integration of high-quality knowledge, international diversity, and sticky knowledge </w:t>
      </w:r>
      <w:r w:rsidR="006C698A" w:rsidRPr="00E03CE0">
        <w:rPr>
          <w:rFonts w:ascii="Times New Roman" w:hAnsi="Times New Roman" w:cs="Times New Roman"/>
          <w:sz w:val="24"/>
          <w:szCs w:val="24"/>
        </w:rPr>
        <w:t xml:space="preserve">which </w:t>
      </w:r>
      <w:r w:rsidR="002B5F60" w:rsidRPr="00E03CE0">
        <w:rPr>
          <w:rFonts w:ascii="Times New Roman" w:hAnsi="Times New Roman" w:cs="Times New Roman"/>
          <w:sz w:val="24"/>
          <w:szCs w:val="24"/>
        </w:rPr>
        <w:t xml:space="preserve">is embedded locally. </w:t>
      </w:r>
      <w:r w:rsidR="006C698A" w:rsidRPr="00E03CE0">
        <w:rPr>
          <w:rFonts w:ascii="Times New Roman" w:hAnsi="Times New Roman" w:cs="Times New Roman"/>
          <w:sz w:val="24"/>
          <w:szCs w:val="24"/>
        </w:rPr>
        <w:t>K</w:t>
      </w:r>
      <w:r w:rsidR="002B5F60" w:rsidRPr="00E03CE0">
        <w:rPr>
          <w:rFonts w:ascii="Times New Roman" w:hAnsi="Times New Roman" w:cs="Times New Roman"/>
          <w:sz w:val="24"/>
          <w:szCs w:val="24"/>
        </w:rPr>
        <w:t xml:space="preserve">nowledge collaboration with other UK-based enterprises significantly </w:t>
      </w:r>
      <w:r w:rsidR="006C698A" w:rsidRPr="00E03CE0">
        <w:rPr>
          <w:rFonts w:ascii="Times New Roman" w:hAnsi="Times New Roman" w:cs="Times New Roman"/>
          <w:sz w:val="24"/>
          <w:szCs w:val="24"/>
        </w:rPr>
        <w:t xml:space="preserve">raised </w:t>
      </w:r>
      <w:r w:rsidR="002B5F60" w:rsidRPr="00E03CE0">
        <w:rPr>
          <w:rFonts w:ascii="Times New Roman" w:hAnsi="Times New Roman" w:cs="Times New Roman"/>
          <w:sz w:val="24"/>
          <w:szCs w:val="24"/>
        </w:rPr>
        <w:t xml:space="preserve">product innovation. This effect withered away when collaboration was extended to enterprises within Europe or other countries globally.  </w:t>
      </w:r>
      <w:r w:rsidR="009F3671" w:rsidRPr="00E03CE0">
        <w:rPr>
          <w:rFonts w:ascii="Times New Roman" w:hAnsi="Times New Roman" w:cs="Times New Roman"/>
          <w:sz w:val="24"/>
          <w:szCs w:val="24"/>
        </w:rPr>
        <w:t xml:space="preserve"> </w:t>
      </w:r>
      <w:r w:rsidR="00FF68E2" w:rsidRPr="00E03CE0">
        <w:rPr>
          <w:rFonts w:ascii="Times New Roman" w:hAnsi="Times New Roman" w:cs="Times New Roman"/>
          <w:sz w:val="24"/>
          <w:szCs w:val="24"/>
        </w:rPr>
        <w:t xml:space="preserve">  </w:t>
      </w:r>
    </w:p>
    <w:p w14:paraId="0BBB931F" w14:textId="622CAEB3" w:rsidR="006924A7" w:rsidRPr="00E03CE0" w:rsidRDefault="007B045D" w:rsidP="007B045D">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Among the reviewed studies, </w:t>
      </w:r>
      <w:proofErr w:type="spellStart"/>
      <w:r w:rsidRPr="00E03CE0">
        <w:rPr>
          <w:rFonts w:ascii="Times New Roman" w:hAnsi="Times New Roman" w:cs="Times New Roman"/>
          <w:sz w:val="24"/>
          <w:szCs w:val="24"/>
        </w:rPr>
        <w:t>Audretsch</w:t>
      </w:r>
      <w:proofErr w:type="spellEnd"/>
      <w:r w:rsidRPr="00E03CE0">
        <w:rPr>
          <w:rFonts w:ascii="Times New Roman" w:hAnsi="Times New Roman" w:cs="Times New Roman"/>
          <w:sz w:val="24"/>
          <w:szCs w:val="24"/>
        </w:rPr>
        <w:t xml:space="preserve"> et al (2023) and Morries et al (2019) are the closest to this paper. The former considers geographical proximity of enterprises to partners in understanding skills shortage. The latter analyzes region-sector skills shortage and productivity. These studies, however, shed no light on enterprises’ responsiveness to skills shortage across firms related to them.</w:t>
      </w:r>
      <w:r w:rsidR="006C698A" w:rsidRPr="00E03CE0">
        <w:rPr>
          <w:rFonts w:ascii="Times New Roman" w:hAnsi="Times New Roman" w:cs="Times New Roman"/>
          <w:sz w:val="24"/>
          <w:szCs w:val="24"/>
        </w:rPr>
        <w:t xml:space="preserve"> In particular, Morris et al (2019) considers a general region-industry skills gap average which masks skills evolution across individual, although related, enterprises.</w:t>
      </w:r>
      <w:r w:rsidR="00AF4350">
        <w:rPr>
          <w:rFonts w:ascii="Times New Roman" w:hAnsi="Times New Roman" w:cs="Times New Roman"/>
          <w:sz w:val="24"/>
          <w:szCs w:val="24"/>
        </w:rPr>
        <w:t xml:space="preserve"> A major gap across the reviewed literature is that skills gap within enterprises was treated as being unresponsive to skills gap among other enterprises which are related to them. This paper bridges this gap by looking at skills gap as a behavioral response to under-skilling among related firms with a focus on enterprises within the manufacturing and services sectors in Kenya. </w:t>
      </w:r>
      <w:r w:rsidR="006C698A" w:rsidRPr="00E03CE0">
        <w:rPr>
          <w:rFonts w:ascii="Times New Roman" w:hAnsi="Times New Roman" w:cs="Times New Roman"/>
          <w:sz w:val="24"/>
          <w:szCs w:val="24"/>
        </w:rPr>
        <w:t xml:space="preserve"> </w:t>
      </w:r>
      <w:r w:rsidRPr="00E03CE0">
        <w:rPr>
          <w:rFonts w:ascii="Times New Roman" w:hAnsi="Times New Roman" w:cs="Times New Roman"/>
          <w:sz w:val="24"/>
          <w:szCs w:val="24"/>
        </w:rPr>
        <w:t xml:space="preserve"> </w:t>
      </w:r>
      <w:r w:rsidR="00BD150A" w:rsidRPr="00E03CE0">
        <w:rPr>
          <w:rFonts w:ascii="Times New Roman" w:hAnsi="Times New Roman" w:cs="Times New Roman"/>
          <w:sz w:val="24"/>
          <w:szCs w:val="24"/>
        </w:rPr>
        <w:t xml:space="preserve"> </w:t>
      </w:r>
    </w:p>
    <w:p w14:paraId="78279E25" w14:textId="7BB548E9" w:rsidR="008E304F" w:rsidRPr="00E03CE0" w:rsidRDefault="009075A7" w:rsidP="001365F2">
      <w:pPr>
        <w:pStyle w:val="Heading1"/>
        <w:spacing w:line="240" w:lineRule="auto"/>
        <w:jc w:val="both"/>
        <w:rPr>
          <w:rFonts w:ascii="Times New Roman" w:hAnsi="Times New Roman" w:cs="Times New Roman"/>
          <w:b/>
          <w:bCs/>
          <w:color w:val="auto"/>
          <w:sz w:val="24"/>
          <w:szCs w:val="24"/>
        </w:rPr>
      </w:pPr>
      <w:bookmarkStart w:id="10" w:name="_Hlk154410407"/>
      <w:bookmarkStart w:id="11" w:name="_Toc162614815"/>
      <w:r w:rsidRPr="00E03CE0">
        <w:rPr>
          <w:rFonts w:ascii="Times New Roman" w:hAnsi="Times New Roman" w:cs="Times New Roman"/>
          <w:b/>
          <w:bCs/>
          <w:color w:val="auto"/>
          <w:sz w:val="24"/>
          <w:szCs w:val="24"/>
        </w:rPr>
        <w:t>METHODOLOGY</w:t>
      </w:r>
      <w:bookmarkEnd w:id="10"/>
      <w:bookmarkEnd w:id="11"/>
      <w:r w:rsidR="005C6789" w:rsidRPr="00E03CE0">
        <w:rPr>
          <w:rFonts w:ascii="Times New Roman" w:hAnsi="Times New Roman" w:cs="Times New Roman"/>
          <w:b/>
          <w:bCs/>
          <w:color w:val="auto"/>
          <w:sz w:val="24"/>
          <w:szCs w:val="24"/>
        </w:rPr>
        <w:t xml:space="preserve">  </w:t>
      </w:r>
    </w:p>
    <w:p w14:paraId="287BEE41" w14:textId="4E6151C4" w:rsidR="00092299" w:rsidRPr="00E03CE0" w:rsidRDefault="00AF4350" w:rsidP="001365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Skills gaps exist, and </w:t>
      </w:r>
      <w:r w:rsidR="00FF1A19" w:rsidRPr="00E03CE0">
        <w:rPr>
          <w:rFonts w:ascii="Times New Roman" w:hAnsi="Times New Roman" w:cs="Times New Roman"/>
          <w:sz w:val="24"/>
          <w:szCs w:val="24"/>
        </w:rPr>
        <w:t>are given irrespective of a worker’s educational attainment</w:t>
      </w:r>
      <w:r w:rsidR="005D35C2" w:rsidRPr="00E03CE0">
        <w:rPr>
          <w:rFonts w:ascii="Times New Roman" w:hAnsi="Times New Roman" w:cs="Times New Roman"/>
          <w:sz w:val="24"/>
          <w:szCs w:val="24"/>
        </w:rPr>
        <w:t xml:space="preserve"> </w:t>
      </w:r>
      <w:r w:rsidR="00AF7FA7" w:rsidRPr="00E03CE0">
        <w:rPr>
          <w:rFonts w:ascii="Times New Roman" w:hAnsi="Times New Roman" w:cs="Times New Roman"/>
          <w:sz w:val="24"/>
          <w:szCs w:val="24"/>
        </w:rPr>
        <w:t>(</w:t>
      </w:r>
      <w:r w:rsidR="00092299" w:rsidRPr="00E03CE0">
        <w:rPr>
          <w:rFonts w:ascii="Times New Roman" w:hAnsi="Times New Roman" w:cs="Times New Roman"/>
          <w:sz w:val="24"/>
          <w:szCs w:val="24"/>
        </w:rPr>
        <w:t xml:space="preserve">Morris et al, 2020; </w:t>
      </w:r>
      <w:r w:rsidR="00AF7FA7" w:rsidRPr="00E03CE0">
        <w:rPr>
          <w:rFonts w:ascii="Times New Roman" w:hAnsi="Times New Roman" w:cs="Times New Roman"/>
          <w:sz w:val="24"/>
          <w:szCs w:val="24"/>
        </w:rPr>
        <w:t>de Groot et al, 2021</w:t>
      </w:r>
      <w:r w:rsidR="00FF5810" w:rsidRPr="00E03CE0">
        <w:rPr>
          <w:rFonts w:ascii="Times New Roman" w:hAnsi="Times New Roman" w:cs="Times New Roman"/>
          <w:sz w:val="24"/>
          <w:szCs w:val="24"/>
        </w:rPr>
        <w:t>; Glitz &amp; Vejlin, 2021</w:t>
      </w:r>
      <w:r w:rsidR="00FF1A19" w:rsidRPr="00E03CE0">
        <w:rPr>
          <w:rFonts w:ascii="Times New Roman" w:hAnsi="Times New Roman" w:cs="Times New Roman"/>
          <w:sz w:val="24"/>
          <w:szCs w:val="24"/>
        </w:rPr>
        <w:t xml:space="preserve">; </w:t>
      </w:r>
      <w:r w:rsidR="00AF7FA7" w:rsidRPr="00E03CE0">
        <w:rPr>
          <w:rFonts w:ascii="Times New Roman" w:hAnsi="Times New Roman" w:cs="Times New Roman"/>
          <w:sz w:val="24"/>
          <w:szCs w:val="24"/>
        </w:rPr>
        <w:t>Bandiera et al, 2023</w:t>
      </w:r>
      <w:r w:rsidR="00E47C4D" w:rsidRPr="00E03CE0">
        <w:rPr>
          <w:rFonts w:ascii="Times New Roman" w:hAnsi="Times New Roman" w:cs="Times New Roman"/>
          <w:sz w:val="24"/>
          <w:szCs w:val="24"/>
        </w:rPr>
        <w:t>; McGuinness &amp; Ortiz, 2016</w:t>
      </w:r>
      <w:r w:rsidR="00AF7FA7" w:rsidRPr="00E03CE0">
        <w:rPr>
          <w:rFonts w:ascii="Times New Roman" w:hAnsi="Times New Roman" w:cs="Times New Roman"/>
          <w:sz w:val="24"/>
          <w:szCs w:val="24"/>
        </w:rPr>
        <w:t>)</w:t>
      </w:r>
      <w:r w:rsidR="009F4643" w:rsidRPr="00E03CE0">
        <w:rPr>
          <w:rFonts w:ascii="Times New Roman" w:hAnsi="Times New Roman" w:cs="Times New Roman"/>
          <w:sz w:val="24"/>
          <w:szCs w:val="24"/>
        </w:rPr>
        <w:t xml:space="preserve">. </w:t>
      </w:r>
      <w:r w:rsidR="00FF1A19" w:rsidRPr="00E03CE0">
        <w:rPr>
          <w:rFonts w:ascii="Times New Roman" w:hAnsi="Times New Roman" w:cs="Times New Roman"/>
          <w:sz w:val="24"/>
          <w:szCs w:val="24"/>
        </w:rPr>
        <w:t xml:space="preserve">Firms in turn </w:t>
      </w:r>
      <w:r w:rsidR="009F4643" w:rsidRPr="00E03CE0">
        <w:rPr>
          <w:rFonts w:ascii="Times New Roman" w:hAnsi="Times New Roman" w:cs="Times New Roman"/>
          <w:sz w:val="24"/>
          <w:szCs w:val="24"/>
        </w:rPr>
        <w:t>search for prospective employees with minimal skills gap</w:t>
      </w:r>
      <w:r w:rsidR="00FF1A19" w:rsidRPr="00E03CE0">
        <w:rPr>
          <w:rFonts w:ascii="Times New Roman" w:hAnsi="Times New Roman" w:cs="Times New Roman"/>
          <w:sz w:val="24"/>
          <w:szCs w:val="24"/>
        </w:rPr>
        <w:t xml:space="preserve"> in order to slash down costs of worker training and leapfrog others</w:t>
      </w:r>
      <w:r w:rsidR="00595F31" w:rsidRPr="00E03CE0">
        <w:rPr>
          <w:rFonts w:ascii="Times New Roman" w:hAnsi="Times New Roman" w:cs="Times New Roman"/>
          <w:sz w:val="24"/>
          <w:szCs w:val="24"/>
        </w:rPr>
        <w:t xml:space="preserve"> (Brunello &amp; </w:t>
      </w:r>
      <w:proofErr w:type="spellStart"/>
      <w:r w:rsidR="00595F31" w:rsidRPr="00E03CE0">
        <w:rPr>
          <w:rFonts w:ascii="Times New Roman" w:hAnsi="Times New Roman" w:cs="Times New Roman"/>
          <w:sz w:val="24"/>
          <w:szCs w:val="24"/>
        </w:rPr>
        <w:t>Wruuck</w:t>
      </w:r>
      <w:proofErr w:type="spellEnd"/>
      <w:r w:rsidR="00595F31" w:rsidRPr="00E03CE0">
        <w:rPr>
          <w:rFonts w:ascii="Times New Roman" w:hAnsi="Times New Roman" w:cs="Times New Roman"/>
          <w:sz w:val="24"/>
          <w:szCs w:val="24"/>
        </w:rPr>
        <w:t>, 2021)</w:t>
      </w:r>
      <w:r w:rsidR="00FF1A19" w:rsidRPr="00E03CE0">
        <w:rPr>
          <w:rFonts w:ascii="Times New Roman" w:hAnsi="Times New Roman" w:cs="Times New Roman"/>
          <w:sz w:val="24"/>
          <w:szCs w:val="24"/>
        </w:rPr>
        <w:t>. We further assume that enterprises are not penalized for poaching employees, and that firms learn from the errors of others</w:t>
      </w:r>
      <w:r w:rsidR="00213755" w:rsidRPr="00E03CE0">
        <w:rPr>
          <w:rFonts w:ascii="Times New Roman" w:hAnsi="Times New Roman" w:cs="Times New Roman"/>
          <w:sz w:val="24"/>
          <w:szCs w:val="24"/>
        </w:rPr>
        <w:t xml:space="preserve"> (Morris et al, 2020</w:t>
      </w:r>
      <w:r w:rsidR="00FF1A19" w:rsidRPr="00E03CE0">
        <w:rPr>
          <w:rFonts w:ascii="Times New Roman" w:hAnsi="Times New Roman" w:cs="Times New Roman"/>
          <w:sz w:val="24"/>
          <w:szCs w:val="24"/>
        </w:rPr>
        <w:t xml:space="preserve">; </w:t>
      </w:r>
      <w:r w:rsidR="00595F31" w:rsidRPr="00E03CE0">
        <w:rPr>
          <w:rFonts w:ascii="Times New Roman" w:hAnsi="Times New Roman" w:cs="Times New Roman"/>
          <w:sz w:val="24"/>
          <w:szCs w:val="24"/>
        </w:rPr>
        <w:t>Liu et al, 2019)</w:t>
      </w:r>
      <w:r w:rsidR="008504A8" w:rsidRPr="00E03CE0">
        <w:rPr>
          <w:rFonts w:ascii="Times New Roman" w:hAnsi="Times New Roman" w:cs="Times New Roman"/>
          <w:sz w:val="24"/>
          <w:szCs w:val="24"/>
        </w:rPr>
        <w:t xml:space="preserve">. </w:t>
      </w:r>
      <w:r w:rsidR="00FF1A19" w:rsidRPr="00E03CE0">
        <w:rPr>
          <w:rFonts w:ascii="Times New Roman" w:hAnsi="Times New Roman" w:cs="Times New Roman"/>
          <w:sz w:val="24"/>
          <w:szCs w:val="24"/>
        </w:rPr>
        <w:t xml:space="preserve">Whereas skills gap is given, it is not homogenous across sectors and regions </w:t>
      </w:r>
      <w:r w:rsidR="00213755" w:rsidRPr="00E03CE0">
        <w:rPr>
          <w:rFonts w:ascii="Times New Roman" w:hAnsi="Times New Roman" w:cs="Times New Roman"/>
          <w:sz w:val="24"/>
          <w:szCs w:val="24"/>
        </w:rPr>
        <w:t>(Morris et al, 2020</w:t>
      </w:r>
      <w:r w:rsidR="009358D1" w:rsidRPr="00E03CE0">
        <w:rPr>
          <w:rFonts w:ascii="Times New Roman" w:hAnsi="Times New Roman" w:cs="Times New Roman"/>
          <w:sz w:val="24"/>
          <w:szCs w:val="24"/>
        </w:rPr>
        <w:t xml:space="preserve">; </w:t>
      </w:r>
      <w:proofErr w:type="spellStart"/>
      <w:r w:rsidR="009358D1" w:rsidRPr="00E03CE0">
        <w:rPr>
          <w:rFonts w:ascii="Times New Roman" w:hAnsi="Times New Roman" w:cs="Times New Roman"/>
          <w:sz w:val="24"/>
          <w:szCs w:val="24"/>
        </w:rPr>
        <w:t>Marcolin</w:t>
      </w:r>
      <w:proofErr w:type="spellEnd"/>
      <w:r w:rsidR="009358D1" w:rsidRPr="00E03CE0">
        <w:rPr>
          <w:rFonts w:ascii="Times New Roman" w:hAnsi="Times New Roman" w:cs="Times New Roman"/>
          <w:sz w:val="24"/>
          <w:szCs w:val="24"/>
        </w:rPr>
        <w:t xml:space="preserve"> &amp; </w:t>
      </w:r>
      <w:proofErr w:type="spellStart"/>
      <w:r w:rsidR="009358D1" w:rsidRPr="00E03CE0">
        <w:rPr>
          <w:rFonts w:ascii="Times New Roman" w:hAnsi="Times New Roman" w:cs="Times New Roman"/>
          <w:sz w:val="24"/>
          <w:szCs w:val="24"/>
        </w:rPr>
        <w:t>Quintini</w:t>
      </w:r>
      <w:proofErr w:type="spellEnd"/>
      <w:r w:rsidR="009358D1" w:rsidRPr="00E03CE0">
        <w:rPr>
          <w:rFonts w:ascii="Times New Roman" w:hAnsi="Times New Roman" w:cs="Times New Roman"/>
          <w:sz w:val="24"/>
          <w:szCs w:val="24"/>
        </w:rPr>
        <w:t>, 2023</w:t>
      </w:r>
      <w:r w:rsidR="00213755" w:rsidRPr="00E03CE0">
        <w:rPr>
          <w:rFonts w:ascii="Times New Roman" w:hAnsi="Times New Roman" w:cs="Times New Roman"/>
          <w:sz w:val="24"/>
          <w:szCs w:val="24"/>
        </w:rPr>
        <w:t>)</w:t>
      </w:r>
      <w:r w:rsidR="00817F68" w:rsidRPr="00E03CE0">
        <w:rPr>
          <w:rFonts w:ascii="Times New Roman" w:hAnsi="Times New Roman" w:cs="Times New Roman"/>
          <w:sz w:val="24"/>
          <w:szCs w:val="24"/>
        </w:rPr>
        <w:t>.</w:t>
      </w:r>
    </w:p>
    <w:p w14:paraId="2E04BEDD" w14:textId="610F3ED4" w:rsidR="005E2C73" w:rsidRPr="00E03CE0" w:rsidRDefault="00FF1A19"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Similarly, employees differ in the level of skills depending on </w:t>
      </w:r>
      <w:r w:rsidR="00092299" w:rsidRPr="00E03CE0">
        <w:rPr>
          <w:rFonts w:ascii="Times New Roman" w:hAnsi="Times New Roman" w:cs="Times New Roman"/>
          <w:sz w:val="24"/>
          <w:szCs w:val="24"/>
        </w:rPr>
        <w:t xml:space="preserve">their type. For simplicity, we associate a white-collar (type-A) worker with high skills, and a blue-collar (type-B) worker with </w:t>
      </w:r>
      <w:r w:rsidR="00092299" w:rsidRPr="00E03CE0">
        <w:rPr>
          <w:rFonts w:ascii="Times New Roman" w:hAnsi="Times New Roman" w:cs="Times New Roman"/>
          <w:sz w:val="24"/>
          <w:szCs w:val="24"/>
        </w:rPr>
        <w:lastRenderedPageBreak/>
        <w:t>low skills (Wolcott, 2021). Both worker types prefer enterprises with a larger share of Type-A workers or the pattern of skills gap between the types is unrelated (</w:t>
      </w:r>
      <w:proofErr w:type="spellStart"/>
      <w:r w:rsidR="00092299" w:rsidRPr="00E03CE0">
        <w:rPr>
          <w:rFonts w:ascii="Times New Roman" w:hAnsi="Times New Roman" w:cs="Times New Roman"/>
          <w:sz w:val="24"/>
          <w:szCs w:val="24"/>
        </w:rPr>
        <w:t>Marcolin</w:t>
      </w:r>
      <w:proofErr w:type="spellEnd"/>
      <w:r w:rsidR="00092299" w:rsidRPr="00E03CE0">
        <w:rPr>
          <w:rFonts w:ascii="Times New Roman" w:hAnsi="Times New Roman" w:cs="Times New Roman"/>
          <w:sz w:val="24"/>
          <w:szCs w:val="24"/>
        </w:rPr>
        <w:t xml:space="preserve"> &amp; </w:t>
      </w:r>
      <w:proofErr w:type="spellStart"/>
      <w:r w:rsidR="00092299" w:rsidRPr="00E03CE0">
        <w:rPr>
          <w:rFonts w:ascii="Times New Roman" w:hAnsi="Times New Roman" w:cs="Times New Roman"/>
          <w:sz w:val="24"/>
          <w:szCs w:val="24"/>
        </w:rPr>
        <w:t>Quintini</w:t>
      </w:r>
      <w:proofErr w:type="spellEnd"/>
      <w:r w:rsidR="00092299" w:rsidRPr="00E03CE0">
        <w:rPr>
          <w:rFonts w:ascii="Times New Roman" w:hAnsi="Times New Roman" w:cs="Times New Roman"/>
          <w:sz w:val="24"/>
          <w:szCs w:val="24"/>
        </w:rPr>
        <w:t>, 2023). Lastly, we assume that skills gap in a focal firm is declining when the share of related enterprises facing skills shortage is rising. The focal firm realizes this via either contacting educational institutions directly, poaching skilled and experienced workers, or investing in costly on-the-job training</w:t>
      </w:r>
      <w:r w:rsidR="005D35C2" w:rsidRPr="00E03CE0">
        <w:rPr>
          <w:rFonts w:ascii="Times New Roman" w:hAnsi="Times New Roman" w:cs="Times New Roman"/>
          <w:sz w:val="24"/>
          <w:szCs w:val="24"/>
        </w:rPr>
        <w:t xml:space="preserve"> </w:t>
      </w:r>
      <w:r w:rsidR="00213755" w:rsidRPr="00E03CE0">
        <w:rPr>
          <w:rFonts w:ascii="Times New Roman" w:hAnsi="Times New Roman" w:cs="Times New Roman"/>
          <w:sz w:val="24"/>
          <w:szCs w:val="24"/>
        </w:rPr>
        <w:t>(Morris et al, 2020</w:t>
      </w:r>
      <w:r w:rsidR="00092299" w:rsidRPr="00E03CE0">
        <w:rPr>
          <w:rFonts w:ascii="Times New Roman" w:hAnsi="Times New Roman" w:cs="Times New Roman"/>
          <w:sz w:val="24"/>
          <w:szCs w:val="24"/>
        </w:rPr>
        <w:t xml:space="preserve">; </w:t>
      </w:r>
      <w:r w:rsidR="00E47C4D" w:rsidRPr="00E03CE0">
        <w:rPr>
          <w:rFonts w:ascii="Times New Roman" w:hAnsi="Times New Roman" w:cs="Times New Roman"/>
          <w:sz w:val="24"/>
          <w:szCs w:val="24"/>
        </w:rPr>
        <w:t>McGuinness &amp; Ortiz, 2016)</w:t>
      </w:r>
      <w:r w:rsidR="005E2C73" w:rsidRPr="00E03CE0">
        <w:rPr>
          <w:rFonts w:ascii="Times New Roman" w:hAnsi="Times New Roman" w:cs="Times New Roman"/>
          <w:sz w:val="24"/>
          <w:szCs w:val="24"/>
        </w:rPr>
        <w:t xml:space="preserve">. Skills gap then assumes the theoretical functional form with the specification: </w:t>
      </w:r>
    </w:p>
    <w:p w14:paraId="6A56A7D4" w14:textId="10972C8F" w:rsidR="005E2C73" w:rsidRPr="00E03CE0" w:rsidRDefault="00000000" w:rsidP="001365F2">
      <w:pPr>
        <w:spacing w:line="240" w:lineRule="auto"/>
        <w:jc w:val="both"/>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G</m:t>
              </m:r>
            </m:e>
            <m:sub>
              <m:r>
                <w:rPr>
                  <w:rFonts w:ascii="Cambria Math" w:hAnsi="Cambria Math" w:cs="Times New Roman"/>
                  <w:sz w:val="24"/>
                  <w:szCs w:val="24"/>
                </w:rPr>
                <m:t>f</m:t>
              </m:r>
            </m:sub>
            <m:sup>
              <m:r>
                <w:rPr>
                  <w:rFonts w:ascii="Cambria Math" w:hAnsi="Cambria Math" w:cs="Times New Roman"/>
                  <w:sz w:val="24"/>
                  <w:szCs w:val="24"/>
                </w:rPr>
                <m:t>b</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f</m:t>
              </m:r>
            </m:sub>
          </m:sSub>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G</m:t>
                  </m:r>
                </m:e>
                <m:sub>
                  <m:r>
                    <w:rPr>
                      <w:rFonts w:ascii="Cambria Math" w:hAnsi="Cambria Math" w:cs="Times New Roman"/>
                      <w:sz w:val="24"/>
                      <w:szCs w:val="24"/>
                    </w:rPr>
                    <m:t>j</m:t>
                  </m:r>
                </m:sub>
                <m:sup>
                  <m:r>
                    <w:rPr>
                      <w:rFonts w:ascii="Cambria Math" w:hAnsi="Cambria Math" w:cs="Times New Roman"/>
                      <w:sz w:val="24"/>
                      <w:szCs w:val="24"/>
                    </w:rPr>
                    <m:t>b</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f</m:t>
                  </m:r>
                </m:sub>
                <m:sup>
                  <m:r>
                    <w:rPr>
                      <w:rFonts w:ascii="Cambria Math" w:hAnsi="Cambria Math" w:cs="Times New Roman"/>
                      <w:sz w:val="24"/>
                      <w:szCs w:val="24"/>
                    </w:rPr>
                    <m:t>b</m:t>
                  </m:r>
                </m:sup>
              </m:sSubSup>
            </m:e>
          </m:d>
        </m:oMath>
      </m:oMathPara>
    </w:p>
    <w:p w14:paraId="76CEC580" w14:textId="226E5C6C" w:rsidR="00B52A0A" w:rsidRPr="00E03CE0" w:rsidRDefault="005E2C73" w:rsidP="00514D5C">
      <w:pPr>
        <w:spacing w:line="240" w:lineRule="auto"/>
        <w:jc w:val="both"/>
        <w:rPr>
          <w:rFonts w:ascii="Times New Roman" w:hAnsi="Times New Roman" w:cs="Times New Roman"/>
          <w:b/>
          <w:bCs/>
        </w:rPr>
      </w:pPr>
      <w:r w:rsidRPr="00E03CE0">
        <w:rPr>
          <w:rFonts w:ascii="Times New Roman" w:hAnsi="Times New Roman" w:cs="Times New Roman"/>
          <w:sz w:val="24"/>
          <w:szCs w:val="24"/>
        </w:rPr>
        <w:t>Where firm f’s skills gap G</w:t>
      </w:r>
      <w:r w:rsidR="00817F68" w:rsidRPr="00E03CE0">
        <w:rPr>
          <w:rFonts w:ascii="Times New Roman" w:hAnsi="Times New Roman" w:cs="Times New Roman"/>
          <w:sz w:val="24"/>
          <w:szCs w:val="24"/>
        </w:rPr>
        <w:t xml:space="preserve"> for worker type b</w:t>
      </w:r>
      <w:r w:rsidRPr="00E03CE0">
        <w:rPr>
          <w:rFonts w:ascii="Times New Roman" w:hAnsi="Times New Roman" w:cs="Times New Roman"/>
          <w:sz w:val="24"/>
          <w:szCs w:val="24"/>
        </w:rPr>
        <w:t xml:space="preserve"> depends on skills gap in related firms j, and other factors, Q. These other factors include:</w:t>
      </w:r>
      <w:r w:rsidR="00817F68" w:rsidRPr="00E03CE0">
        <w:rPr>
          <w:rFonts w:ascii="Times New Roman" w:hAnsi="Times New Roman" w:cs="Times New Roman"/>
          <w:sz w:val="24"/>
          <w:szCs w:val="24"/>
        </w:rPr>
        <w:t xml:space="preserve"> s</w:t>
      </w:r>
      <w:r w:rsidR="006C698A" w:rsidRPr="00E03CE0">
        <w:rPr>
          <w:rFonts w:ascii="Times New Roman" w:hAnsi="Times New Roman" w:cs="Times New Roman"/>
          <w:sz w:val="24"/>
          <w:szCs w:val="24"/>
        </w:rPr>
        <w:t>kills gap share across related enterprises</w:t>
      </w:r>
      <w:r w:rsidR="00817F68" w:rsidRPr="00E03CE0">
        <w:rPr>
          <w:rFonts w:ascii="Times New Roman" w:hAnsi="Times New Roman" w:cs="Times New Roman"/>
          <w:sz w:val="24"/>
          <w:szCs w:val="24"/>
        </w:rPr>
        <w:t xml:space="preserve">, firm size, within-firm training, contact with educational institutions, </w:t>
      </w:r>
      <w:r w:rsidR="006C698A" w:rsidRPr="00E03CE0">
        <w:rPr>
          <w:rFonts w:ascii="Times New Roman" w:hAnsi="Times New Roman" w:cs="Times New Roman"/>
          <w:sz w:val="24"/>
          <w:szCs w:val="24"/>
        </w:rPr>
        <w:t>sector</w:t>
      </w:r>
      <w:r w:rsidR="00817F68" w:rsidRPr="00E03CE0">
        <w:rPr>
          <w:rFonts w:ascii="Times New Roman" w:hAnsi="Times New Roman" w:cs="Times New Roman"/>
          <w:sz w:val="24"/>
          <w:szCs w:val="24"/>
        </w:rPr>
        <w:t>, wage bill</w:t>
      </w:r>
      <w:r w:rsidR="00AA45EC" w:rsidRPr="00E03CE0">
        <w:rPr>
          <w:rFonts w:ascii="Times New Roman" w:hAnsi="Times New Roman" w:cs="Times New Roman"/>
          <w:sz w:val="24"/>
          <w:szCs w:val="24"/>
        </w:rPr>
        <w:t>, and number of occupational positions for which vacancies were available</w:t>
      </w:r>
      <w:r w:rsidR="00817F68" w:rsidRPr="00E03CE0">
        <w:rPr>
          <w:rFonts w:ascii="Times New Roman" w:hAnsi="Times New Roman" w:cs="Times New Roman"/>
          <w:sz w:val="24"/>
          <w:szCs w:val="24"/>
        </w:rPr>
        <w:t>.</w:t>
      </w:r>
      <w:r w:rsidRPr="00E03CE0">
        <w:rPr>
          <w:rFonts w:ascii="Times New Roman" w:hAnsi="Times New Roman" w:cs="Times New Roman"/>
          <w:sz w:val="24"/>
          <w:szCs w:val="24"/>
        </w:rPr>
        <w:t xml:space="preserve">  </w:t>
      </w:r>
      <w:r w:rsidR="008504A8" w:rsidRPr="00E03CE0">
        <w:rPr>
          <w:rFonts w:ascii="Times New Roman" w:hAnsi="Times New Roman" w:cs="Times New Roman"/>
          <w:sz w:val="24"/>
          <w:szCs w:val="24"/>
        </w:rPr>
        <w:t xml:space="preserve"> </w:t>
      </w:r>
      <w:r w:rsidR="009F4643" w:rsidRPr="00E03CE0">
        <w:rPr>
          <w:rFonts w:ascii="Times New Roman" w:hAnsi="Times New Roman" w:cs="Times New Roman"/>
          <w:sz w:val="24"/>
          <w:szCs w:val="24"/>
        </w:rPr>
        <w:t xml:space="preserve">  </w:t>
      </w:r>
      <w:r w:rsidR="0053234E" w:rsidRPr="00E03CE0">
        <w:rPr>
          <w:rFonts w:ascii="Times New Roman" w:hAnsi="Times New Roman" w:cs="Times New Roman"/>
          <w:sz w:val="24"/>
          <w:szCs w:val="24"/>
        </w:rPr>
        <w:t xml:space="preserve">  </w:t>
      </w:r>
      <w:r w:rsidR="00E171A0" w:rsidRPr="00E03CE0">
        <w:rPr>
          <w:rFonts w:ascii="Times New Roman" w:hAnsi="Times New Roman" w:cs="Times New Roman"/>
          <w:sz w:val="24"/>
          <w:szCs w:val="24"/>
        </w:rPr>
        <w:t xml:space="preserve">  </w:t>
      </w:r>
    </w:p>
    <w:p w14:paraId="200283AF" w14:textId="44252BD4" w:rsidR="00830CFE" w:rsidRPr="00E03CE0" w:rsidRDefault="00B52A0A"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We</w:t>
      </w:r>
      <w:r w:rsidR="00192B39" w:rsidRPr="00E03CE0">
        <w:rPr>
          <w:rFonts w:ascii="Times New Roman" w:hAnsi="Times New Roman" w:cs="Times New Roman"/>
          <w:sz w:val="24"/>
          <w:szCs w:val="24"/>
        </w:rPr>
        <w:t xml:space="preserve"> estimat</w:t>
      </w:r>
      <w:r w:rsidR="005D35C2" w:rsidRPr="00E03CE0">
        <w:rPr>
          <w:rFonts w:ascii="Times New Roman" w:hAnsi="Times New Roman" w:cs="Times New Roman"/>
          <w:sz w:val="24"/>
          <w:szCs w:val="24"/>
        </w:rPr>
        <w:t>e</w:t>
      </w:r>
      <w:r w:rsidR="00192B39" w:rsidRPr="00E03CE0">
        <w:rPr>
          <w:rFonts w:ascii="Times New Roman" w:hAnsi="Times New Roman" w:cs="Times New Roman"/>
          <w:sz w:val="24"/>
          <w:szCs w:val="24"/>
        </w:rPr>
        <w:t xml:space="preserve"> </w:t>
      </w:r>
      <w:r w:rsidRPr="00E03CE0">
        <w:rPr>
          <w:rFonts w:ascii="Times New Roman" w:hAnsi="Times New Roman" w:cs="Times New Roman"/>
          <w:sz w:val="24"/>
          <w:szCs w:val="24"/>
        </w:rPr>
        <w:t>skills gap probability in a robust linear-in-means regression discontinuity design (RD)</w:t>
      </w:r>
      <w:r w:rsidR="00277DC5" w:rsidRPr="00E03CE0">
        <w:rPr>
          <w:rStyle w:val="FootnoteReference"/>
          <w:rFonts w:ascii="Times New Roman" w:hAnsi="Times New Roman" w:cs="Times New Roman"/>
          <w:sz w:val="24"/>
          <w:szCs w:val="24"/>
        </w:rPr>
        <w:footnoteReference w:id="6"/>
      </w:r>
      <w:r w:rsidRPr="00E03CE0">
        <w:rPr>
          <w:rFonts w:ascii="Times New Roman" w:hAnsi="Times New Roman" w:cs="Times New Roman"/>
          <w:sz w:val="24"/>
          <w:szCs w:val="24"/>
        </w:rPr>
        <w:t>. The explained variable</w:t>
      </w:r>
      <w:r w:rsidR="00225D1B" w:rsidRPr="00E03CE0">
        <w:rPr>
          <w:rFonts w:ascii="Times New Roman" w:hAnsi="Times New Roman" w:cs="Times New Roman"/>
          <w:sz w:val="24"/>
          <w:szCs w:val="24"/>
        </w:rPr>
        <w:t xml:space="preserve"> is the </w:t>
      </w:r>
      <w:r w:rsidR="00C269B8" w:rsidRPr="00E03CE0">
        <w:rPr>
          <w:rFonts w:ascii="Times New Roman" w:hAnsi="Times New Roman" w:cs="Times New Roman"/>
          <w:sz w:val="24"/>
          <w:szCs w:val="24"/>
        </w:rPr>
        <w:t>probability that a firm attracted under-skilled applicants in at least one of the nine occupational positions it had desired filling</w:t>
      </w:r>
      <w:r w:rsidR="00580A90" w:rsidRPr="00E03CE0">
        <w:rPr>
          <w:rStyle w:val="FootnoteReference"/>
          <w:rFonts w:ascii="Times New Roman" w:hAnsi="Times New Roman" w:cs="Times New Roman"/>
          <w:sz w:val="24"/>
          <w:szCs w:val="24"/>
        </w:rPr>
        <w:footnoteReference w:id="7"/>
      </w:r>
      <w:r w:rsidR="00D555FB" w:rsidRPr="00E03CE0">
        <w:rPr>
          <w:rFonts w:ascii="Times New Roman" w:hAnsi="Times New Roman" w:cs="Times New Roman"/>
          <w:sz w:val="24"/>
          <w:szCs w:val="24"/>
        </w:rPr>
        <w:t xml:space="preserve">. </w:t>
      </w:r>
      <w:r w:rsidR="00C269B8" w:rsidRPr="00E03CE0">
        <w:rPr>
          <w:rFonts w:ascii="Times New Roman" w:hAnsi="Times New Roman" w:cs="Times New Roman"/>
          <w:sz w:val="24"/>
          <w:szCs w:val="24"/>
        </w:rPr>
        <w:t>This</w:t>
      </w:r>
      <w:r w:rsidR="00E644BE" w:rsidRPr="00E03CE0">
        <w:rPr>
          <w:rFonts w:ascii="Times New Roman" w:hAnsi="Times New Roman" w:cs="Times New Roman"/>
          <w:sz w:val="24"/>
          <w:szCs w:val="24"/>
        </w:rPr>
        <w:t xml:space="preserve"> is</w:t>
      </w:r>
      <w:r w:rsidR="00C269B8" w:rsidRPr="00E03CE0">
        <w:rPr>
          <w:rFonts w:ascii="Times New Roman" w:hAnsi="Times New Roman" w:cs="Times New Roman"/>
          <w:sz w:val="24"/>
          <w:szCs w:val="24"/>
        </w:rPr>
        <w:t xml:space="preserve"> explained separately by t</w:t>
      </w:r>
      <w:r w:rsidR="00E644BE" w:rsidRPr="00E03CE0">
        <w:rPr>
          <w:rFonts w:ascii="Times New Roman" w:hAnsi="Times New Roman" w:cs="Times New Roman"/>
          <w:sz w:val="24"/>
          <w:szCs w:val="24"/>
        </w:rPr>
        <w:t>hree</w:t>
      </w:r>
      <w:r w:rsidR="00C269B8" w:rsidRPr="00E03CE0">
        <w:rPr>
          <w:rFonts w:ascii="Times New Roman" w:hAnsi="Times New Roman" w:cs="Times New Roman"/>
          <w:sz w:val="24"/>
          <w:szCs w:val="24"/>
        </w:rPr>
        <w:t xml:space="preserve"> running variables—centered number of within-firm employees</w:t>
      </w:r>
      <w:r w:rsidR="00E644BE" w:rsidRPr="00E03CE0">
        <w:rPr>
          <w:rFonts w:ascii="Times New Roman" w:hAnsi="Times New Roman" w:cs="Times New Roman"/>
          <w:sz w:val="24"/>
          <w:szCs w:val="24"/>
        </w:rPr>
        <w:t>; centered share of enterprises at the region-sector level which attracted under-skilled applicants; and centered workforce ratio at the firm size-sector-region level</w:t>
      </w:r>
      <w:r w:rsidR="00277DC5" w:rsidRPr="00E03CE0">
        <w:rPr>
          <w:rStyle w:val="FootnoteReference"/>
          <w:rFonts w:ascii="Times New Roman" w:hAnsi="Times New Roman" w:cs="Times New Roman"/>
          <w:sz w:val="24"/>
          <w:szCs w:val="24"/>
        </w:rPr>
        <w:footnoteReference w:id="8"/>
      </w:r>
      <w:r w:rsidR="00E644BE" w:rsidRPr="00E03CE0">
        <w:rPr>
          <w:rFonts w:ascii="Times New Roman" w:hAnsi="Times New Roman" w:cs="Times New Roman"/>
          <w:sz w:val="24"/>
          <w:szCs w:val="24"/>
        </w:rPr>
        <w:t>.</w:t>
      </w:r>
      <w:r w:rsidR="00C269B8" w:rsidRPr="00E03CE0">
        <w:rPr>
          <w:rFonts w:ascii="Times New Roman" w:hAnsi="Times New Roman" w:cs="Times New Roman"/>
          <w:sz w:val="24"/>
          <w:szCs w:val="24"/>
        </w:rPr>
        <w:t xml:space="preserve"> Number of employees in a firm is centered by subtracting from it the average number of employees at the respective firm size-sector-region level</w:t>
      </w:r>
      <w:r w:rsidR="00E644BE" w:rsidRPr="00E03CE0">
        <w:rPr>
          <w:rFonts w:ascii="Times New Roman" w:hAnsi="Times New Roman" w:cs="Times New Roman"/>
          <w:sz w:val="24"/>
          <w:szCs w:val="24"/>
        </w:rPr>
        <w:t>, excluding the focal firm</w:t>
      </w:r>
      <w:r w:rsidR="00C269B8" w:rsidRPr="00E03CE0">
        <w:rPr>
          <w:rFonts w:ascii="Times New Roman" w:hAnsi="Times New Roman" w:cs="Times New Roman"/>
          <w:sz w:val="24"/>
          <w:szCs w:val="24"/>
        </w:rPr>
        <w:t>.</w:t>
      </w:r>
      <w:r w:rsidR="00830CFE" w:rsidRPr="00E03CE0">
        <w:rPr>
          <w:rFonts w:ascii="Times New Roman" w:hAnsi="Times New Roman" w:cs="Times New Roman"/>
          <w:sz w:val="24"/>
          <w:szCs w:val="24"/>
        </w:rPr>
        <w:t xml:space="preserve"> Workforce ratio captures the number of employees in the firm in 2015 as a ratio of the number of employees in 2014. This ratio indicates workforce expansion, and reflects relative worker separation. Where worker ratio exceeds 1, it is assumed that the number of workers joining the firm exceed</w:t>
      </w:r>
      <w:r w:rsidR="00277DC5" w:rsidRPr="00E03CE0">
        <w:rPr>
          <w:rFonts w:ascii="Times New Roman" w:hAnsi="Times New Roman" w:cs="Times New Roman"/>
          <w:sz w:val="24"/>
          <w:szCs w:val="24"/>
        </w:rPr>
        <w:t>ed</w:t>
      </w:r>
      <w:r w:rsidR="00830CFE" w:rsidRPr="00E03CE0">
        <w:rPr>
          <w:rFonts w:ascii="Times New Roman" w:hAnsi="Times New Roman" w:cs="Times New Roman"/>
          <w:sz w:val="24"/>
          <w:szCs w:val="24"/>
        </w:rPr>
        <w:t xml:space="preserve"> that leaving.</w:t>
      </w:r>
      <w:r w:rsidR="00277DC5" w:rsidRPr="00E03CE0">
        <w:rPr>
          <w:rFonts w:ascii="Times New Roman" w:hAnsi="Times New Roman" w:cs="Times New Roman"/>
          <w:sz w:val="24"/>
          <w:szCs w:val="24"/>
        </w:rPr>
        <w:t xml:space="preserve"> This variable further shed light on the possibility of poaching such that poaching is evident when a firm’s workforce shrinks while simultaneously experiencing skills gap.</w:t>
      </w:r>
      <w:r w:rsidR="00830CFE" w:rsidRPr="00E03CE0">
        <w:rPr>
          <w:rFonts w:ascii="Times New Roman" w:hAnsi="Times New Roman" w:cs="Times New Roman"/>
          <w:sz w:val="24"/>
          <w:szCs w:val="24"/>
        </w:rPr>
        <w:t xml:space="preserve"> We then average for the sector, region, and firm size level before subtracting this firm size-region-sector average from the respective firms’ values. Centering necessarily implies that the threshold of the centered variable is at 0.</w:t>
      </w:r>
      <w:r w:rsidR="00277DC5" w:rsidRPr="00E03CE0">
        <w:rPr>
          <w:rFonts w:ascii="Times New Roman" w:hAnsi="Times New Roman" w:cs="Times New Roman"/>
          <w:sz w:val="24"/>
          <w:szCs w:val="24"/>
        </w:rPr>
        <w:t xml:space="preserve"> </w:t>
      </w:r>
    </w:p>
    <w:p w14:paraId="68740E44" w14:textId="1B0A541B" w:rsidR="00B52A0A" w:rsidRPr="00E03CE0" w:rsidRDefault="00830CFE"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Observations with values either on or above the threshold constitute the treated group with the remainder forming the untreated/ control group </w:t>
      </w:r>
      <w:r w:rsidR="00B52A0A" w:rsidRPr="00E03CE0">
        <w:rPr>
          <w:rFonts w:ascii="Times New Roman" w:hAnsi="Times New Roman" w:cs="Times New Roman"/>
          <w:sz w:val="24"/>
          <w:szCs w:val="24"/>
        </w:rPr>
        <w:t>(Marinescu et al</w:t>
      </w:r>
      <w:r w:rsidR="00645236" w:rsidRPr="00E03CE0">
        <w:rPr>
          <w:rFonts w:ascii="Times New Roman" w:hAnsi="Times New Roman" w:cs="Times New Roman"/>
          <w:sz w:val="24"/>
          <w:szCs w:val="24"/>
        </w:rPr>
        <w:t>, 2022</w:t>
      </w:r>
      <w:r w:rsidR="00B52A0A" w:rsidRPr="00E03CE0">
        <w:rPr>
          <w:rFonts w:ascii="Times New Roman" w:hAnsi="Times New Roman" w:cs="Times New Roman"/>
          <w:sz w:val="24"/>
          <w:szCs w:val="24"/>
        </w:rPr>
        <w:t xml:space="preserve">). </w:t>
      </w:r>
      <w:r w:rsidRPr="00E03CE0">
        <w:rPr>
          <w:rFonts w:ascii="Times New Roman" w:hAnsi="Times New Roman" w:cs="Times New Roman"/>
          <w:sz w:val="24"/>
          <w:szCs w:val="24"/>
        </w:rPr>
        <w:t xml:space="preserve">In the separate RD models, control </w:t>
      </w:r>
      <w:r w:rsidR="00E772AD" w:rsidRPr="00E03CE0">
        <w:rPr>
          <w:rFonts w:ascii="Times New Roman" w:hAnsi="Times New Roman" w:cs="Times New Roman"/>
          <w:sz w:val="24"/>
          <w:szCs w:val="24"/>
        </w:rPr>
        <w:t>factors include: [number of] sources</w:t>
      </w:r>
      <w:r w:rsidR="006845AE" w:rsidRPr="00E03CE0">
        <w:rPr>
          <w:rStyle w:val="FootnoteReference"/>
          <w:rFonts w:ascii="Times New Roman" w:hAnsi="Times New Roman" w:cs="Times New Roman"/>
          <w:sz w:val="24"/>
          <w:szCs w:val="24"/>
        </w:rPr>
        <w:footnoteReference w:id="9"/>
      </w:r>
      <w:r w:rsidR="00E772AD" w:rsidRPr="00E03CE0">
        <w:rPr>
          <w:rFonts w:ascii="Times New Roman" w:hAnsi="Times New Roman" w:cs="Times New Roman"/>
          <w:sz w:val="24"/>
          <w:szCs w:val="24"/>
        </w:rPr>
        <w:t xml:space="preserve"> for new </w:t>
      </w:r>
      <w:r w:rsidR="006845AE" w:rsidRPr="00E03CE0">
        <w:rPr>
          <w:rFonts w:ascii="Times New Roman" w:hAnsi="Times New Roman" w:cs="Times New Roman"/>
          <w:sz w:val="24"/>
          <w:szCs w:val="24"/>
        </w:rPr>
        <w:t xml:space="preserve">white-collar </w:t>
      </w:r>
      <w:r w:rsidR="00E772AD" w:rsidRPr="00E03CE0">
        <w:rPr>
          <w:rFonts w:ascii="Times New Roman" w:hAnsi="Times New Roman" w:cs="Times New Roman"/>
          <w:sz w:val="24"/>
          <w:szCs w:val="24"/>
        </w:rPr>
        <w:t>hires</w:t>
      </w:r>
      <w:r w:rsidR="006845AE" w:rsidRPr="00E03CE0">
        <w:rPr>
          <w:rStyle w:val="FootnoteReference"/>
          <w:rFonts w:ascii="Times New Roman" w:hAnsi="Times New Roman" w:cs="Times New Roman"/>
          <w:sz w:val="24"/>
          <w:szCs w:val="24"/>
        </w:rPr>
        <w:footnoteReference w:id="10"/>
      </w:r>
      <w:r w:rsidR="00E772AD" w:rsidRPr="00E03CE0">
        <w:rPr>
          <w:rFonts w:ascii="Times New Roman" w:hAnsi="Times New Roman" w:cs="Times New Roman"/>
          <w:sz w:val="24"/>
          <w:szCs w:val="24"/>
        </w:rPr>
        <w:t>, educational attainment, sector of the enterprise, size of the firm</w:t>
      </w:r>
      <w:r w:rsidRPr="00E03CE0">
        <w:rPr>
          <w:rFonts w:ascii="Times New Roman" w:hAnsi="Times New Roman" w:cs="Times New Roman"/>
          <w:sz w:val="24"/>
          <w:szCs w:val="24"/>
        </w:rPr>
        <w:t xml:space="preserve">, wage bill ratio (transformed using inverse hyperbolic sine function), </w:t>
      </w:r>
      <w:r w:rsidR="003065E4" w:rsidRPr="00E03CE0">
        <w:rPr>
          <w:rFonts w:ascii="Times New Roman" w:hAnsi="Times New Roman" w:cs="Times New Roman"/>
          <w:sz w:val="24"/>
          <w:szCs w:val="24"/>
        </w:rPr>
        <w:t xml:space="preserve">within-firm employee training, </w:t>
      </w:r>
      <w:r w:rsidR="00F74F08" w:rsidRPr="00E03CE0">
        <w:rPr>
          <w:rFonts w:ascii="Times New Roman" w:hAnsi="Times New Roman" w:cs="Times New Roman"/>
          <w:sz w:val="24"/>
          <w:szCs w:val="24"/>
        </w:rPr>
        <w:t xml:space="preserve">firm age, </w:t>
      </w:r>
      <w:r w:rsidR="003065E4" w:rsidRPr="00E03CE0">
        <w:rPr>
          <w:rFonts w:ascii="Times New Roman" w:hAnsi="Times New Roman" w:cs="Times New Roman"/>
          <w:sz w:val="24"/>
          <w:szCs w:val="24"/>
        </w:rPr>
        <w:t xml:space="preserve">and provision for employer-employee salary </w:t>
      </w:r>
      <w:r w:rsidR="003065E4" w:rsidRPr="00E03CE0">
        <w:rPr>
          <w:rFonts w:ascii="Times New Roman" w:hAnsi="Times New Roman" w:cs="Times New Roman"/>
          <w:sz w:val="24"/>
          <w:szCs w:val="24"/>
        </w:rPr>
        <w:lastRenderedPageBreak/>
        <w:t>negotiation</w:t>
      </w:r>
      <w:r w:rsidR="00F74F08" w:rsidRPr="00E03CE0">
        <w:rPr>
          <w:rStyle w:val="FootnoteReference"/>
          <w:rFonts w:ascii="Times New Roman" w:hAnsi="Times New Roman" w:cs="Times New Roman"/>
          <w:sz w:val="24"/>
          <w:szCs w:val="24"/>
        </w:rPr>
        <w:footnoteReference w:id="11"/>
      </w:r>
      <w:r w:rsidR="00E772AD" w:rsidRPr="00E03CE0">
        <w:rPr>
          <w:rFonts w:ascii="Times New Roman" w:hAnsi="Times New Roman" w:cs="Times New Roman"/>
          <w:sz w:val="24"/>
          <w:szCs w:val="24"/>
        </w:rPr>
        <w:t>. A distinction is made between type-A, and type-B (blue-collar) workers based on educational attainment.</w:t>
      </w:r>
      <w:r w:rsidR="00B52A0A" w:rsidRPr="00E03CE0">
        <w:rPr>
          <w:rFonts w:ascii="Times New Roman" w:hAnsi="Times New Roman" w:cs="Times New Roman"/>
          <w:sz w:val="24"/>
          <w:szCs w:val="24"/>
        </w:rPr>
        <w:t xml:space="preserve"> </w:t>
      </w:r>
    </w:p>
    <w:p w14:paraId="0750A289" w14:textId="6C7AC032" w:rsidR="00B52A0A" w:rsidRPr="00E03CE0" w:rsidRDefault="00B52A0A"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Analytically, </w:t>
      </w:r>
      <w:r w:rsidR="00570221" w:rsidRPr="00E03CE0">
        <w:rPr>
          <w:rFonts w:ascii="Times New Roman" w:hAnsi="Times New Roman" w:cs="Times New Roman"/>
          <w:sz w:val="24"/>
          <w:szCs w:val="24"/>
        </w:rPr>
        <w:t>t</w:t>
      </w:r>
      <w:r w:rsidRPr="00E03CE0">
        <w:rPr>
          <w:rFonts w:ascii="Times New Roman" w:hAnsi="Times New Roman" w:cs="Times New Roman"/>
          <w:sz w:val="24"/>
          <w:szCs w:val="24"/>
        </w:rPr>
        <w:t>he model</w:t>
      </w:r>
      <w:r w:rsidR="00570221" w:rsidRPr="00E03CE0">
        <w:rPr>
          <w:rFonts w:ascii="Times New Roman" w:hAnsi="Times New Roman" w:cs="Times New Roman"/>
          <w:sz w:val="24"/>
          <w:szCs w:val="24"/>
        </w:rPr>
        <w:t xml:space="preserve"> follows the specification</w:t>
      </w:r>
      <w:r w:rsidRPr="00E03CE0">
        <w:rPr>
          <w:rFonts w:ascii="Times New Roman" w:hAnsi="Times New Roman" w:cs="Times New Roman"/>
          <w:sz w:val="24"/>
          <w:szCs w:val="24"/>
        </w:rPr>
        <w:t xml:space="preserve">: </w:t>
      </w:r>
    </w:p>
    <w:p w14:paraId="6D90BD3D" w14:textId="1EF526A7" w:rsidR="003065E4" w:rsidRPr="00E03CE0" w:rsidRDefault="00000000" w:rsidP="001365F2">
      <w:pPr>
        <w:spacing w:line="240" w:lineRule="auto"/>
        <w:jc w:val="both"/>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G</m:t>
              </m:r>
            </m:e>
            <m:sub>
              <m:r>
                <w:rPr>
                  <w:rFonts w:ascii="Cambria Math" w:hAnsi="Cambria Math" w:cs="Times New Roman"/>
                  <w:sz w:val="24"/>
                  <w:szCs w:val="24"/>
                </w:rPr>
                <m:t>f</m:t>
              </m:r>
            </m:sub>
            <m:sup>
              <m:r>
                <w:rPr>
                  <w:rFonts w:ascii="Cambria Math" w:hAnsi="Cambria Math" w:cs="Times New Roman"/>
                  <w:sz w:val="24"/>
                  <w:szCs w:val="24"/>
                </w:rPr>
                <m:t>r</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Sup>
            <m:sSubSupPr>
              <m:ctrlPr>
                <w:rPr>
                  <w:rFonts w:ascii="Cambria Math" w:hAnsi="Cambria Math" w:cs="Times New Roman"/>
                  <w:i/>
                  <w:sz w:val="24"/>
                  <w:szCs w:val="24"/>
                </w:rPr>
              </m:ctrlPr>
            </m:sSubSupPr>
            <m:e>
              <m:r>
                <w:rPr>
                  <w:rFonts w:ascii="Cambria Math" w:hAnsi="Cambria Math" w:cs="Times New Roman"/>
                  <w:sz w:val="24"/>
                  <w:szCs w:val="24"/>
                </w:rPr>
                <m:t>G</m:t>
              </m:r>
            </m:e>
            <m:sub>
              <m:r>
                <w:rPr>
                  <w:rFonts w:ascii="Cambria Math" w:hAnsi="Cambria Math" w:cs="Times New Roman"/>
                  <w:sz w:val="24"/>
                  <w:szCs w:val="24"/>
                </w:rPr>
                <m:t>f</m:t>
              </m:r>
            </m:sub>
            <m:sup>
              <m:r>
                <w:rPr>
                  <w:rFonts w:ascii="Cambria Math" w:hAnsi="Cambria Math" w:cs="Times New Roman"/>
                  <w:sz w:val="24"/>
                  <w:szCs w:val="24"/>
                </w:rPr>
                <m:t>0</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cjf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Sup>
            <m:sSubSupPr>
              <m:ctrlPr>
                <w:rPr>
                  <w:rFonts w:ascii="Cambria Math" w:hAnsi="Cambria Math" w:cs="Times New Roman"/>
                  <w:i/>
                  <w:sz w:val="24"/>
                  <w:szCs w:val="24"/>
                </w:rPr>
              </m:ctrlPr>
            </m:sSubSupPr>
            <m:e>
              <m:r>
                <w:rPr>
                  <w:rFonts w:ascii="Cambria Math" w:hAnsi="Cambria Math" w:cs="Times New Roman"/>
                  <w:sz w:val="24"/>
                  <w:szCs w:val="24"/>
                </w:rPr>
                <m:t>G</m:t>
              </m:r>
            </m:e>
            <m:sub>
              <m:r>
                <w:rPr>
                  <w:rFonts w:ascii="Cambria Math" w:hAnsi="Cambria Math" w:cs="Times New Roman"/>
                  <w:sz w:val="24"/>
                  <w:szCs w:val="24"/>
                </w:rPr>
                <m:t>f</m:t>
              </m:r>
            </m:sub>
            <m:sup>
              <m:r>
                <w:rPr>
                  <w:rFonts w:ascii="Cambria Math" w:hAnsi="Cambria Math" w:cs="Times New Roman"/>
                  <w:sz w:val="24"/>
                  <w:szCs w:val="24"/>
                </w:rPr>
                <m:t>r</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cf</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1r</m:t>
              </m:r>
            </m:sup>
          </m:sSup>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f</m:t>
              </m:r>
            </m:sub>
            <m:sup>
              <m:r>
                <w:rPr>
                  <w:rFonts w:ascii="Cambria Math" w:hAnsi="Cambria Math" w:cs="Times New Roman"/>
                  <w:sz w:val="24"/>
                  <w:szCs w:val="24"/>
                </w:rPr>
                <m:t>r</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θ</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r</m:t>
                  </m:r>
                </m:sub>
              </m:sSub>
            </m:sub>
            <m:sup>
              <m:r>
                <w:rPr>
                  <w:rFonts w:ascii="Cambria Math" w:hAnsi="Cambria Math" w:cs="Times New Roman"/>
                  <w:sz w:val="24"/>
                  <w:szCs w:val="24"/>
                </w:rPr>
                <m:t>r</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fr</m:t>
              </m:r>
            </m:sub>
            <m:sup>
              <m:r>
                <w:rPr>
                  <w:rFonts w:ascii="Cambria Math" w:hAnsi="Cambria Math" w:cs="Times New Roman"/>
                  <w:sz w:val="24"/>
                  <w:szCs w:val="24"/>
                </w:rPr>
                <m:t>0</m:t>
              </m:r>
            </m:sup>
          </m:sSubSup>
        </m:oMath>
      </m:oMathPara>
    </w:p>
    <w:p w14:paraId="3DD2D894" w14:textId="52BB180F" w:rsidR="00570221" w:rsidRPr="00E03CE0" w:rsidRDefault="00193A36" w:rsidP="00193A36">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Where G</w:t>
      </w:r>
      <w:r w:rsidRPr="00E03CE0">
        <w:rPr>
          <w:rFonts w:ascii="Times New Roman" w:hAnsi="Times New Roman" w:cs="Times New Roman"/>
          <w:sz w:val="24"/>
          <w:szCs w:val="24"/>
          <w:vertAlign w:val="superscript"/>
        </w:rPr>
        <w:t>0</w:t>
      </w:r>
      <w:r w:rsidRPr="00E03CE0">
        <w:rPr>
          <w:rFonts w:ascii="Times New Roman" w:hAnsi="Times New Roman" w:cs="Times New Roman"/>
          <w:sz w:val="24"/>
          <w:szCs w:val="24"/>
        </w:rPr>
        <w:t xml:space="preserve"> is the treatment assignment for firm f belonging to [firm size-] region-sector r based on centered running variable Z. Centering relies on linear-in-means approach whereby the focal firm is excluded in the computation of means. The assignment rule is given by: </w:t>
      </w:r>
    </w:p>
    <w:p w14:paraId="0372CB70" w14:textId="6C5979B5" w:rsidR="00570221" w:rsidRPr="00E03CE0" w:rsidRDefault="00000000" w:rsidP="001365F2">
      <w:pPr>
        <w:spacing w:line="240" w:lineRule="auto"/>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G</m:t>
              </m:r>
            </m:e>
            <m:sub>
              <m:r>
                <w:rPr>
                  <w:rFonts w:ascii="Cambria Math" w:hAnsi="Cambria Math" w:cs="Times New Roman"/>
                  <w:sz w:val="24"/>
                  <w:szCs w:val="24"/>
                </w:rPr>
                <m:t>f</m:t>
              </m:r>
            </m:sub>
            <m:sup>
              <m:r>
                <w:rPr>
                  <w:rFonts w:ascii="Cambria Math" w:hAnsi="Cambria Math" w:cs="Times New Roman"/>
                  <w:sz w:val="24"/>
                  <w:szCs w:val="24"/>
                </w:rPr>
                <m:t>0</m:t>
              </m:r>
            </m:sup>
          </m:sSubSup>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1(Z≥0)</m:t>
                  </m:r>
                </m:e>
                <m:e>
                  <m:r>
                    <w:rPr>
                      <w:rFonts w:ascii="Cambria Math" w:hAnsi="Cambria Math" w:cs="Times New Roman"/>
                      <w:sz w:val="24"/>
                      <w:szCs w:val="24"/>
                    </w:rPr>
                    <m:t>0(Z&lt;0)</m:t>
                  </m:r>
                </m:e>
              </m:eqArr>
            </m:e>
          </m:d>
        </m:oMath>
      </m:oMathPara>
    </w:p>
    <w:p w14:paraId="630EBF80" w14:textId="37F446A9" w:rsidR="000B5481" w:rsidRPr="00E03CE0" w:rsidRDefault="00193A36" w:rsidP="001365F2">
      <w:pPr>
        <w:spacing w:line="240" w:lineRule="auto"/>
        <w:jc w:val="both"/>
        <w:rPr>
          <w:rFonts w:ascii="Times New Roman" w:eastAsiaTheme="minorEastAsia" w:hAnsi="Times New Roman" w:cs="Times New Roman"/>
          <w:sz w:val="24"/>
          <w:szCs w:val="24"/>
        </w:rPr>
      </w:pPr>
      <w:r w:rsidRPr="00E03CE0">
        <w:rPr>
          <w:rFonts w:ascii="Times New Roman" w:eastAsiaTheme="minorEastAsia" w:hAnsi="Times New Roman" w:cs="Times New Roman"/>
          <w:sz w:val="24"/>
          <w:szCs w:val="24"/>
        </w:rPr>
        <w:t>S</w:t>
      </w:r>
      <w:r w:rsidR="00631C39" w:rsidRPr="00E03CE0">
        <w:rPr>
          <w:rFonts w:ascii="Times New Roman" w:eastAsiaTheme="minorEastAsia" w:hAnsi="Times New Roman" w:cs="Times New Roman"/>
          <w:sz w:val="24"/>
          <w:szCs w:val="24"/>
        </w:rPr>
        <w:t xml:space="preserve">kills gap G in firm f within </w:t>
      </w:r>
      <w:r w:rsidRPr="00E03CE0">
        <w:rPr>
          <w:rFonts w:ascii="Times New Roman" w:eastAsiaTheme="minorEastAsia" w:hAnsi="Times New Roman" w:cs="Times New Roman"/>
          <w:sz w:val="24"/>
          <w:szCs w:val="24"/>
        </w:rPr>
        <w:t>[firm size]-region-</w:t>
      </w:r>
      <w:r w:rsidR="00631C39" w:rsidRPr="00E03CE0">
        <w:rPr>
          <w:rFonts w:ascii="Times New Roman" w:eastAsiaTheme="minorEastAsia" w:hAnsi="Times New Roman" w:cs="Times New Roman"/>
          <w:sz w:val="24"/>
          <w:szCs w:val="24"/>
        </w:rPr>
        <w:t xml:space="preserve">sector </w:t>
      </w:r>
      <w:r w:rsidRPr="00E03CE0">
        <w:rPr>
          <w:rFonts w:ascii="Times New Roman" w:eastAsiaTheme="minorEastAsia" w:hAnsi="Times New Roman" w:cs="Times New Roman"/>
          <w:sz w:val="24"/>
          <w:szCs w:val="24"/>
        </w:rPr>
        <w:t xml:space="preserve">group </w:t>
      </w:r>
      <w:r w:rsidR="00631C39" w:rsidRPr="00E03CE0">
        <w:rPr>
          <w:rFonts w:ascii="Times New Roman" w:eastAsiaTheme="minorEastAsia" w:hAnsi="Times New Roman" w:cs="Times New Roman"/>
          <w:sz w:val="24"/>
          <w:szCs w:val="24"/>
        </w:rPr>
        <w:t xml:space="preserve">r is explained by firm-specific characteristics, W, sector-specific characteristics, m, size of the </w:t>
      </w:r>
      <w:r w:rsidRPr="00E03CE0">
        <w:rPr>
          <w:rFonts w:ascii="Times New Roman" w:eastAsiaTheme="minorEastAsia" w:hAnsi="Times New Roman" w:cs="Times New Roman"/>
          <w:sz w:val="24"/>
          <w:szCs w:val="24"/>
        </w:rPr>
        <w:t>group</w:t>
      </w:r>
      <w:r w:rsidR="00631C39" w:rsidRPr="00E03CE0">
        <w:rPr>
          <w:rFonts w:ascii="Times New Roman" w:eastAsiaTheme="minorEastAsia" w:hAnsi="Times New Roman" w:cs="Times New Roman"/>
          <w:sz w:val="24"/>
          <w:szCs w:val="24"/>
        </w:rPr>
        <w:t xml:space="preserve">, L, and </w:t>
      </w:r>
      <w:r w:rsidRPr="00E03CE0">
        <w:rPr>
          <w:rFonts w:ascii="Times New Roman" w:eastAsiaTheme="minorEastAsia" w:hAnsi="Times New Roman" w:cs="Times New Roman"/>
          <w:sz w:val="24"/>
          <w:szCs w:val="24"/>
        </w:rPr>
        <w:t>the running variable alongside assignment rule</w:t>
      </w:r>
      <w:r w:rsidR="00631C39" w:rsidRPr="00E03CE0">
        <w:rPr>
          <w:rFonts w:ascii="Times New Roman" w:eastAsiaTheme="minorEastAsia" w:hAnsi="Times New Roman" w:cs="Times New Roman"/>
          <w:sz w:val="24"/>
          <w:szCs w:val="24"/>
        </w:rPr>
        <w:t xml:space="preserve">. </w:t>
      </w:r>
      <w:r w:rsidR="000B5481" w:rsidRPr="00E03CE0">
        <w:rPr>
          <w:rFonts w:ascii="Times New Roman" w:eastAsiaTheme="minorEastAsia" w:hAnsi="Times New Roman" w:cs="Times New Roman"/>
          <w:sz w:val="24"/>
          <w:szCs w:val="24"/>
        </w:rPr>
        <w:t>Centering implies that β</w:t>
      </w:r>
      <w:r w:rsidR="000B5481" w:rsidRPr="00E03CE0">
        <w:rPr>
          <w:rFonts w:ascii="Times New Roman" w:eastAsiaTheme="minorEastAsia" w:hAnsi="Times New Roman" w:cs="Times New Roman"/>
          <w:sz w:val="24"/>
          <w:szCs w:val="24"/>
          <w:vertAlign w:val="subscript"/>
        </w:rPr>
        <w:t>1</w:t>
      </w:r>
      <w:r w:rsidR="000B5481" w:rsidRPr="00E03CE0">
        <w:rPr>
          <w:rFonts w:ascii="Times New Roman" w:eastAsiaTheme="minorEastAsia" w:hAnsi="Times New Roman" w:cs="Times New Roman"/>
          <w:sz w:val="24"/>
          <w:szCs w:val="24"/>
        </w:rPr>
        <w:t xml:space="preserve"> captures the local average treatment effect</w:t>
      </w:r>
      <w:r w:rsidR="00933340" w:rsidRPr="00E03CE0">
        <w:rPr>
          <w:rFonts w:ascii="Times New Roman" w:eastAsiaTheme="minorEastAsia" w:hAnsi="Times New Roman" w:cs="Times New Roman"/>
          <w:sz w:val="24"/>
          <w:szCs w:val="24"/>
        </w:rPr>
        <w:t>.</w:t>
      </w:r>
      <w:r w:rsidR="000B5481" w:rsidRPr="00E03CE0">
        <w:rPr>
          <w:rFonts w:ascii="Times New Roman" w:eastAsiaTheme="minorEastAsia" w:hAnsi="Times New Roman" w:cs="Times New Roman"/>
          <w:sz w:val="24"/>
          <w:szCs w:val="24"/>
        </w:rPr>
        <w:t xml:space="preserve"> The estimates are reliable over a</w:t>
      </w:r>
      <w:r w:rsidR="00277DC5" w:rsidRPr="00E03CE0">
        <w:rPr>
          <w:rFonts w:ascii="Times New Roman" w:eastAsiaTheme="minorEastAsia" w:hAnsi="Times New Roman" w:cs="Times New Roman"/>
          <w:sz w:val="24"/>
          <w:szCs w:val="24"/>
        </w:rPr>
        <w:t xml:space="preserve"> wide range of</w:t>
      </w:r>
      <w:r w:rsidR="000B5481" w:rsidRPr="00E03CE0">
        <w:rPr>
          <w:rFonts w:ascii="Times New Roman" w:eastAsiaTheme="minorEastAsia" w:hAnsi="Times New Roman" w:cs="Times New Roman"/>
          <w:sz w:val="24"/>
          <w:szCs w:val="24"/>
        </w:rPr>
        <w:t xml:space="preserve"> bandwidth</w:t>
      </w:r>
      <w:r w:rsidR="00277DC5" w:rsidRPr="00E03CE0">
        <w:rPr>
          <w:rFonts w:ascii="Times New Roman" w:eastAsiaTheme="minorEastAsia" w:hAnsi="Times New Roman" w:cs="Times New Roman"/>
          <w:sz w:val="24"/>
          <w:szCs w:val="24"/>
        </w:rPr>
        <w:t>s</w:t>
      </w:r>
      <w:r w:rsidR="000B5481" w:rsidRPr="00E03CE0">
        <w:rPr>
          <w:rFonts w:ascii="Times New Roman" w:eastAsiaTheme="minorEastAsia" w:hAnsi="Times New Roman" w:cs="Times New Roman"/>
          <w:sz w:val="24"/>
          <w:szCs w:val="24"/>
        </w:rPr>
        <w:t xml:space="preserve"> provided that β</w:t>
      </w:r>
      <w:r w:rsidR="000B5481" w:rsidRPr="00E03CE0">
        <w:rPr>
          <w:rFonts w:ascii="Times New Roman" w:eastAsiaTheme="minorEastAsia" w:hAnsi="Times New Roman" w:cs="Times New Roman"/>
          <w:sz w:val="24"/>
          <w:szCs w:val="24"/>
          <w:vertAlign w:val="subscript"/>
        </w:rPr>
        <w:t>3</w:t>
      </w:r>
      <w:r w:rsidR="000B5481" w:rsidRPr="00E03CE0">
        <w:rPr>
          <w:rFonts w:ascii="Times New Roman" w:eastAsiaTheme="minorEastAsia" w:hAnsi="Times New Roman" w:cs="Times New Roman"/>
          <w:sz w:val="24"/>
          <w:szCs w:val="24"/>
        </w:rPr>
        <w:t>=0</w:t>
      </w:r>
      <w:r w:rsidR="00E03CE0">
        <w:rPr>
          <w:rFonts w:ascii="Times New Roman" w:eastAsiaTheme="minorEastAsia" w:hAnsi="Times New Roman" w:cs="Times New Roman"/>
          <w:sz w:val="24"/>
          <w:szCs w:val="24"/>
        </w:rPr>
        <w:t>, which captures the treatment effect derivative</w:t>
      </w:r>
      <w:r w:rsidR="000B5481" w:rsidRPr="00E03CE0">
        <w:rPr>
          <w:rFonts w:ascii="Times New Roman" w:eastAsiaTheme="minorEastAsia" w:hAnsi="Times New Roman" w:cs="Times New Roman"/>
          <w:sz w:val="24"/>
          <w:szCs w:val="24"/>
        </w:rPr>
        <w:t>.</w:t>
      </w:r>
      <w:r w:rsidR="00933340" w:rsidRPr="00E03CE0">
        <w:rPr>
          <w:rFonts w:ascii="Times New Roman" w:eastAsiaTheme="minorEastAsia" w:hAnsi="Times New Roman" w:cs="Times New Roman"/>
          <w:sz w:val="24"/>
          <w:szCs w:val="24"/>
        </w:rPr>
        <w:t xml:space="preserve"> Stochastic disturbance is captured in v whereas m and W are exogenous</w:t>
      </w:r>
      <w:r w:rsidR="00E218AA" w:rsidRPr="00E03CE0">
        <w:rPr>
          <w:rFonts w:ascii="Times New Roman" w:eastAsiaTheme="minorEastAsia" w:hAnsi="Times New Roman" w:cs="Times New Roman"/>
          <w:sz w:val="24"/>
          <w:szCs w:val="24"/>
        </w:rPr>
        <w:t xml:space="preserve"> covariates</w:t>
      </w:r>
      <w:r w:rsidR="00933340" w:rsidRPr="00E03CE0">
        <w:rPr>
          <w:rFonts w:ascii="Times New Roman" w:eastAsiaTheme="minorEastAsia" w:hAnsi="Times New Roman" w:cs="Times New Roman"/>
          <w:sz w:val="24"/>
          <w:szCs w:val="24"/>
        </w:rPr>
        <w:t xml:space="preserve">. </w:t>
      </w:r>
    </w:p>
    <w:p w14:paraId="639B98AC" w14:textId="1F670A89" w:rsidR="003A041D" w:rsidRPr="00E03CE0" w:rsidRDefault="00933340" w:rsidP="0023710D">
      <w:pPr>
        <w:spacing w:line="240" w:lineRule="auto"/>
        <w:jc w:val="both"/>
        <w:rPr>
          <w:rFonts w:ascii="Times New Roman" w:hAnsi="Times New Roman" w:cs="Times New Roman"/>
          <w:sz w:val="24"/>
          <w:szCs w:val="24"/>
        </w:rPr>
      </w:pPr>
      <w:r w:rsidRPr="00E03CE0">
        <w:rPr>
          <w:rFonts w:ascii="Times New Roman" w:eastAsiaTheme="minorEastAsia" w:hAnsi="Times New Roman" w:cs="Times New Roman"/>
          <w:sz w:val="24"/>
          <w:szCs w:val="24"/>
        </w:rPr>
        <w:t xml:space="preserve">A priori, </w:t>
      </w:r>
      <w:r w:rsidR="008C336A" w:rsidRPr="00E03CE0">
        <w:rPr>
          <w:rFonts w:ascii="Times New Roman" w:eastAsiaTheme="minorEastAsia" w:hAnsi="Times New Roman" w:cs="Times New Roman"/>
          <w:sz w:val="24"/>
          <w:szCs w:val="24"/>
        </w:rPr>
        <w:t>a higher skills gap at the firm size-sector-region level is associated with a decline in under-skilling within the focal firm, e.g., due to poaching from other firms, and retention of highly-skilled employees. This in turn implies that a higher relative separation also translates into a reduction in under-skilled applicants to a focal firm. We associate a large workforce within the focal firm relative to related enterprises with firms serving as worker upskilling academies.</w:t>
      </w:r>
      <w:r w:rsidR="00277DC5" w:rsidRPr="00E03CE0">
        <w:rPr>
          <w:rFonts w:ascii="Times New Roman" w:eastAsiaTheme="minorEastAsia" w:hAnsi="Times New Roman" w:cs="Times New Roman"/>
          <w:sz w:val="24"/>
          <w:szCs w:val="24"/>
        </w:rPr>
        <w:t xml:space="preserve"> Where the workforce is large relative to others, the referral system may unintentionally present under-skilled job applicants. </w:t>
      </w:r>
      <w:r w:rsidR="00F7392C" w:rsidRPr="00E03CE0">
        <w:rPr>
          <w:rFonts w:ascii="Times New Roman" w:hAnsi="Times New Roman" w:cs="Times New Roman"/>
          <w:sz w:val="24"/>
          <w:szCs w:val="24"/>
        </w:rPr>
        <w:t xml:space="preserve"> </w:t>
      </w:r>
    </w:p>
    <w:p w14:paraId="68DB97C2" w14:textId="01A214C6" w:rsidR="00E36DD6" w:rsidRPr="00E03CE0" w:rsidRDefault="00E36DD6" w:rsidP="0023710D">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We employ bunching as a robustness check</w:t>
      </w:r>
      <w:r w:rsidR="00E03CE0">
        <w:rPr>
          <w:rFonts w:ascii="Times New Roman" w:hAnsi="Times New Roman" w:cs="Times New Roman"/>
          <w:sz w:val="24"/>
          <w:szCs w:val="24"/>
        </w:rPr>
        <w:t xml:space="preserve"> to complement the treatment effect derivative</w:t>
      </w:r>
      <w:r w:rsidR="002A4734" w:rsidRPr="00E03CE0">
        <w:rPr>
          <w:rFonts w:ascii="Times New Roman" w:hAnsi="Times New Roman" w:cs="Times New Roman"/>
          <w:sz w:val="24"/>
          <w:szCs w:val="24"/>
        </w:rPr>
        <w:t xml:space="preserve"> (</w:t>
      </w:r>
      <w:r w:rsidR="00B54919" w:rsidRPr="00E03CE0">
        <w:rPr>
          <w:rFonts w:ascii="Times New Roman" w:hAnsi="Times New Roman" w:cs="Times New Roman"/>
          <w:sz w:val="24"/>
          <w:szCs w:val="24"/>
        </w:rPr>
        <w:t xml:space="preserve">Song, 2025; </w:t>
      </w:r>
      <w:proofErr w:type="spellStart"/>
      <w:r w:rsidR="002A4734" w:rsidRPr="00E03CE0">
        <w:rPr>
          <w:rFonts w:ascii="Times New Roman" w:hAnsi="Times New Roman" w:cs="Times New Roman"/>
          <w:sz w:val="24"/>
          <w:szCs w:val="24"/>
        </w:rPr>
        <w:t>Bertanha</w:t>
      </w:r>
      <w:proofErr w:type="spellEnd"/>
      <w:r w:rsidR="002A4734" w:rsidRPr="00E03CE0">
        <w:rPr>
          <w:rFonts w:ascii="Times New Roman" w:hAnsi="Times New Roman" w:cs="Times New Roman"/>
          <w:sz w:val="24"/>
          <w:szCs w:val="24"/>
        </w:rPr>
        <w:t xml:space="preserve"> et al, 2021</w:t>
      </w:r>
      <w:r w:rsidR="008739A2" w:rsidRPr="00E03CE0">
        <w:rPr>
          <w:rFonts w:ascii="Times New Roman" w:hAnsi="Times New Roman" w:cs="Times New Roman"/>
          <w:sz w:val="24"/>
          <w:szCs w:val="24"/>
        </w:rPr>
        <w:t>, 202</w:t>
      </w:r>
      <w:r w:rsidR="00D44390" w:rsidRPr="00E03CE0">
        <w:rPr>
          <w:rFonts w:ascii="Times New Roman" w:hAnsi="Times New Roman" w:cs="Times New Roman"/>
          <w:sz w:val="24"/>
          <w:szCs w:val="24"/>
        </w:rPr>
        <w:t>4</w:t>
      </w:r>
      <w:r w:rsidR="00F24206" w:rsidRPr="00E03CE0">
        <w:rPr>
          <w:rFonts w:ascii="Times New Roman" w:hAnsi="Times New Roman" w:cs="Times New Roman"/>
          <w:sz w:val="24"/>
          <w:szCs w:val="24"/>
        </w:rPr>
        <w:t>; Caetano et al, 2021</w:t>
      </w:r>
      <w:r w:rsidR="001B2F29" w:rsidRPr="00E03CE0">
        <w:rPr>
          <w:rFonts w:ascii="Times New Roman" w:hAnsi="Times New Roman" w:cs="Times New Roman"/>
          <w:sz w:val="24"/>
          <w:szCs w:val="24"/>
        </w:rPr>
        <w:t>; Boerma et al, 2022</w:t>
      </w:r>
      <w:r w:rsidR="002A4734" w:rsidRPr="00E03CE0">
        <w:rPr>
          <w:rFonts w:ascii="Times New Roman" w:hAnsi="Times New Roman" w:cs="Times New Roman"/>
          <w:sz w:val="24"/>
          <w:szCs w:val="24"/>
        </w:rPr>
        <w:t>)</w:t>
      </w:r>
      <w:r w:rsidRPr="00E03CE0">
        <w:rPr>
          <w:rFonts w:ascii="Times New Roman" w:hAnsi="Times New Roman" w:cs="Times New Roman"/>
          <w:sz w:val="24"/>
          <w:szCs w:val="24"/>
        </w:rPr>
        <w:t xml:space="preserve">. In this exercise, we analyze whether </w:t>
      </w:r>
      <w:proofErr w:type="gramStart"/>
      <w:r w:rsidRPr="00E03CE0">
        <w:rPr>
          <w:rFonts w:ascii="Times New Roman" w:hAnsi="Times New Roman" w:cs="Times New Roman"/>
          <w:sz w:val="24"/>
          <w:szCs w:val="24"/>
        </w:rPr>
        <w:t>firms</w:t>
      </w:r>
      <w:proofErr w:type="gramEnd"/>
      <w:r w:rsidRPr="00E03CE0">
        <w:rPr>
          <w:rFonts w:ascii="Times New Roman" w:hAnsi="Times New Roman" w:cs="Times New Roman"/>
          <w:sz w:val="24"/>
          <w:szCs w:val="24"/>
        </w:rPr>
        <w:t xml:space="preserve"> bunch at the centered threshold on each of the three running variables.</w:t>
      </w:r>
      <w:r w:rsidR="00A716D6" w:rsidRPr="00E03CE0">
        <w:rPr>
          <w:rFonts w:ascii="Times New Roman" w:hAnsi="Times New Roman" w:cs="Times New Roman"/>
          <w:sz w:val="24"/>
          <w:szCs w:val="24"/>
        </w:rPr>
        <w:t xml:space="preserve"> This is because in the RD estimation, there were mass points detected. </w:t>
      </w:r>
      <w:r w:rsidR="00DE3629" w:rsidRPr="00E03CE0">
        <w:rPr>
          <w:rFonts w:ascii="Times New Roman" w:hAnsi="Times New Roman" w:cs="Times New Roman"/>
          <w:sz w:val="24"/>
          <w:szCs w:val="24"/>
        </w:rPr>
        <w:t xml:space="preserve">The central idea is that related enterprises could be competing for workers both already within the focal firm and outside on the labour market. This in turn affects a firm’s workforce and the skills set of its employees. As a result, enterprises are likely to bunch at the average workforce size and the average skills set of related firms. This </w:t>
      </w:r>
      <w:r w:rsidR="001B2F29" w:rsidRPr="00E03CE0">
        <w:rPr>
          <w:rFonts w:ascii="Times New Roman" w:hAnsi="Times New Roman" w:cs="Times New Roman"/>
          <w:sz w:val="24"/>
          <w:szCs w:val="24"/>
        </w:rPr>
        <w:t>follows from the assumption that employment level and the quality of job applicants within enterprises depends on employment levels and the quality of job applicants attracted by other enterprises within the same sector and region</w:t>
      </w:r>
      <w:r w:rsidR="00540051" w:rsidRPr="00E03CE0">
        <w:rPr>
          <w:rFonts w:ascii="Times New Roman" w:hAnsi="Times New Roman" w:cs="Times New Roman"/>
          <w:sz w:val="24"/>
          <w:szCs w:val="24"/>
        </w:rPr>
        <w:t>.</w:t>
      </w:r>
    </w:p>
    <w:p w14:paraId="341C98F4" w14:textId="43788BC4" w:rsidR="00AB21EF" w:rsidRPr="00E03CE0" w:rsidRDefault="001B2F29"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Our analysis is </w:t>
      </w:r>
      <w:r w:rsidR="001F78B5" w:rsidRPr="00E03CE0">
        <w:rPr>
          <w:rFonts w:ascii="Times New Roman" w:hAnsi="Times New Roman" w:cs="Times New Roman"/>
          <w:sz w:val="24"/>
          <w:szCs w:val="24"/>
        </w:rPr>
        <w:t>based</w:t>
      </w:r>
      <w:r w:rsidR="00D555FB" w:rsidRPr="00E03CE0">
        <w:rPr>
          <w:rFonts w:ascii="Times New Roman" w:hAnsi="Times New Roman" w:cs="Times New Roman"/>
          <w:sz w:val="24"/>
          <w:szCs w:val="24"/>
        </w:rPr>
        <w:t xml:space="preserve"> on</w:t>
      </w:r>
      <w:r w:rsidR="00AB21EF" w:rsidRPr="00E03CE0">
        <w:rPr>
          <w:rFonts w:ascii="Times New Roman" w:hAnsi="Times New Roman" w:cs="Times New Roman"/>
          <w:sz w:val="24"/>
          <w:szCs w:val="24"/>
        </w:rPr>
        <w:t xml:space="preserve"> the 2016 Employer Satisfaction Survey (STEP)</w:t>
      </w:r>
      <w:r w:rsidR="007C21D1" w:rsidRPr="00E03CE0">
        <w:rPr>
          <w:rFonts w:ascii="Times New Roman" w:hAnsi="Times New Roman" w:cs="Times New Roman"/>
          <w:sz w:val="24"/>
          <w:szCs w:val="24"/>
        </w:rPr>
        <w:t xml:space="preserve"> (World Bank 2016, 2018)</w:t>
      </w:r>
      <w:r w:rsidR="00D555FB" w:rsidRPr="00E03CE0">
        <w:rPr>
          <w:rFonts w:ascii="Times New Roman" w:hAnsi="Times New Roman" w:cs="Times New Roman"/>
          <w:sz w:val="24"/>
          <w:szCs w:val="24"/>
        </w:rPr>
        <w:t>.</w:t>
      </w:r>
      <w:r w:rsidR="00AB21EF" w:rsidRPr="00E03CE0">
        <w:rPr>
          <w:rFonts w:ascii="Times New Roman" w:hAnsi="Times New Roman" w:cs="Times New Roman"/>
          <w:sz w:val="24"/>
          <w:szCs w:val="24"/>
        </w:rPr>
        <w:t xml:space="preserve"> </w:t>
      </w:r>
      <w:r w:rsidR="00F44479" w:rsidRPr="00E03CE0">
        <w:rPr>
          <w:rFonts w:ascii="Times New Roman" w:hAnsi="Times New Roman" w:cs="Times New Roman"/>
          <w:sz w:val="24"/>
          <w:szCs w:val="24"/>
        </w:rPr>
        <w:t xml:space="preserve">This </w:t>
      </w:r>
      <w:r w:rsidR="00AB21EF" w:rsidRPr="00E03CE0">
        <w:rPr>
          <w:rFonts w:ascii="Times New Roman" w:hAnsi="Times New Roman" w:cs="Times New Roman"/>
          <w:sz w:val="24"/>
          <w:szCs w:val="24"/>
        </w:rPr>
        <w:t>dataset</w:t>
      </w:r>
      <w:r w:rsidR="00F44479" w:rsidRPr="00E03CE0">
        <w:rPr>
          <w:rFonts w:ascii="Times New Roman" w:hAnsi="Times New Roman" w:cs="Times New Roman"/>
          <w:sz w:val="24"/>
          <w:szCs w:val="24"/>
        </w:rPr>
        <w:t xml:space="preserve"> was</w:t>
      </w:r>
      <w:r w:rsidR="00AB21EF" w:rsidRPr="00E03CE0">
        <w:rPr>
          <w:rFonts w:ascii="Times New Roman" w:hAnsi="Times New Roman" w:cs="Times New Roman"/>
          <w:sz w:val="24"/>
          <w:szCs w:val="24"/>
        </w:rPr>
        <w:t xml:space="preserve"> compiled by the World Bank, and focused on private sector enterprises with at least </w:t>
      </w:r>
      <w:r w:rsidR="00DA45CA" w:rsidRPr="00E03CE0">
        <w:rPr>
          <w:rFonts w:ascii="Times New Roman" w:hAnsi="Times New Roman" w:cs="Times New Roman"/>
          <w:sz w:val="24"/>
          <w:szCs w:val="24"/>
        </w:rPr>
        <w:t>five</w:t>
      </w:r>
      <w:r w:rsidR="00F44479" w:rsidRPr="00E03CE0">
        <w:rPr>
          <w:rFonts w:ascii="Times New Roman" w:hAnsi="Times New Roman" w:cs="Times New Roman"/>
          <w:sz w:val="24"/>
          <w:szCs w:val="24"/>
        </w:rPr>
        <w:t xml:space="preserve"> </w:t>
      </w:r>
      <w:r w:rsidR="00AB21EF" w:rsidRPr="00E03CE0">
        <w:rPr>
          <w:rFonts w:ascii="Times New Roman" w:hAnsi="Times New Roman" w:cs="Times New Roman"/>
          <w:sz w:val="24"/>
          <w:szCs w:val="24"/>
        </w:rPr>
        <w:t xml:space="preserve">employees. </w:t>
      </w:r>
      <w:r w:rsidR="00F44479" w:rsidRPr="00E03CE0">
        <w:rPr>
          <w:rFonts w:ascii="Times New Roman" w:hAnsi="Times New Roman" w:cs="Times New Roman"/>
          <w:sz w:val="24"/>
          <w:szCs w:val="24"/>
        </w:rPr>
        <w:t xml:space="preserve">504 enterprises were surveyed with data being captured on </w:t>
      </w:r>
      <w:r w:rsidR="00AB21EF" w:rsidRPr="00E03CE0">
        <w:rPr>
          <w:rFonts w:ascii="Times New Roman" w:hAnsi="Times New Roman" w:cs="Times New Roman"/>
          <w:sz w:val="24"/>
          <w:szCs w:val="24"/>
        </w:rPr>
        <w:t xml:space="preserve">skills shortage and skills gap for white-collar (type-A) workers, and blue-collar (type-B) workers (World Bank, 2016, 2018). Workers in type-A perform high-skill jobs, </w:t>
      </w:r>
      <w:r w:rsidR="009E4622" w:rsidRPr="00E03CE0">
        <w:rPr>
          <w:rFonts w:ascii="Times New Roman" w:hAnsi="Times New Roman" w:cs="Times New Roman"/>
          <w:sz w:val="24"/>
          <w:szCs w:val="24"/>
        </w:rPr>
        <w:t>such as</w:t>
      </w:r>
      <w:r w:rsidR="00AB21EF" w:rsidRPr="00E03CE0">
        <w:rPr>
          <w:rFonts w:ascii="Times New Roman" w:hAnsi="Times New Roman" w:cs="Times New Roman"/>
          <w:sz w:val="24"/>
          <w:szCs w:val="24"/>
        </w:rPr>
        <w:t xml:space="preserve"> technicians, professionals, and managers. Type-B workers engage in low-skill jobs, </w:t>
      </w:r>
      <w:r w:rsidR="009E4622" w:rsidRPr="00E03CE0">
        <w:rPr>
          <w:rFonts w:ascii="Times New Roman" w:hAnsi="Times New Roman" w:cs="Times New Roman"/>
          <w:sz w:val="24"/>
          <w:szCs w:val="24"/>
        </w:rPr>
        <w:t>such as</w:t>
      </w:r>
      <w:r w:rsidR="00AB21EF" w:rsidRPr="00E03CE0">
        <w:rPr>
          <w:rFonts w:ascii="Times New Roman" w:hAnsi="Times New Roman" w:cs="Times New Roman"/>
          <w:sz w:val="24"/>
          <w:szCs w:val="24"/>
        </w:rPr>
        <w:t xml:space="preserve"> elementary occupations. STEP sheds </w:t>
      </w:r>
      <w:r w:rsidR="00AB21EF" w:rsidRPr="00E03CE0">
        <w:rPr>
          <w:rFonts w:ascii="Times New Roman" w:hAnsi="Times New Roman" w:cs="Times New Roman"/>
          <w:sz w:val="24"/>
          <w:szCs w:val="24"/>
        </w:rPr>
        <w:lastRenderedPageBreak/>
        <w:t xml:space="preserve">light on the </w:t>
      </w:r>
      <w:r w:rsidR="009E4622" w:rsidRPr="00E03CE0">
        <w:rPr>
          <w:rFonts w:ascii="Times New Roman" w:hAnsi="Times New Roman" w:cs="Times New Roman"/>
          <w:sz w:val="24"/>
          <w:szCs w:val="24"/>
        </w:rPr>
        <w:t>quality of job applicants in terms of job-related skills, experience, and expectations about salary within select municipalities in Kenya</w:t>
      </w:r>
      <w:r w:rsidR="00AB21EF" w:rsidRPr="00E03CE0">
        <w:rPr>
          <w:rFonts w:ascii="Times New Roman" w:hAnsi="Times New Roman" w:cs="Times New Roman"/>
          <w:sz w:val="24"/>
          <w:szCs w:val="24"/>
        </w:rPr>
        <w:t>.</w:t>
      </w:r>
      <w:r w:rsidRPr="00E03CE0" w:rsidDel="001B2F29">
        <w:rPr>
          <w:rFonts w:ascii="Times New Roman" w:hAnsi="Times New Roman" w:cs="Times New Roman"/>
          <w:sz w:val="24"/>
          <w:szCs w:val="24"/>
        </w:rPr>
        <w:t xml:space="preserve"> </w:t>
      </w:r>
    </w:p>
    <w:p w14:paraId="0775FDD1" w14:textId="31D95820" w:rsidR="00B51961" w:rsidRPr="00E03CE0" w:rsidRDefault="00275240" w:rsidP="00192B39">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In the STEP dataset, we are unable to observe the total number of job applicants that each firm attracted within the three-year period captured. Thus, we cannot establish the share of unskilled job applicants that received an offer.</w:t>
      </w:r>
      <w:r w:rsidR="009E4622" w:rsidRPr="00E03CE0">
        <w:rPr>
          <w:rFonts w:ascii="Times New Roman" w:hAnsi="Times New Roman" w:cs="Times New Roman"/>
          <w:sz w:val="24"/>
          <w:szCs w:val="24"/>
        </w:rPr>
        <w:t xml:space="preserve"> However, sampled enterprises reported on the skills gap, and size of the</w:t>
      </w:r>
      <w:r w:rsidR="00A15C1F" w:rsidRPr="00E03CE0">
        <w:rPr>
          <w:rFonts w:ascii="Times New Roman" w:hAnsi="Times New Roman" w:cs="Times New Roman"/>
          <w:sz w:val="24"/>
          <w:szCs w:val="24"/>
        </w:rPr>
        <w:t xml:space="preserve"> difference in the</w:t>
      </w:r>
      <w:r w:rsidR="009E4622" w:rsidRPr="00E03CE0">
        <w:rPr>
          <w:rFonts w:ascii="Times New Roman" w:hAnsi="Times New Roman" w:cs="Times New Roman"/>
          <w:sz w:val="24"/>
          <w:szCs w:val="24"/>
        </w:rPr>
        <w:t xml:space="preserve"> skills gap, for the average job applicant. </w:t>
      </w:r>
    </w:p>
    <w:p w14:paraId="01020680" w14:textId="105335FA" w:rsidR="001F31B3" w:rsidRPr="00E03CE0" w:rsidRDefault="00307E8E" w:rsidP="001365F2">
      <w:pPr>
        <w:pStyle w:val="Heading1"/>
        <w:spacing w:line="240" w:lineRule="auto"/>
        <w:jc w:val="both"/>
        <w:rPr>
          <w:rFonts w:ascii="Times New Roman" w:hAnsi="Times New Roman" w:cs="Times New Roman"/>
          <w:b/>
          <w:bCs/>
          <w:noProof/>
          <w:color w:val="auto"/>
          <w:sz w:val="24"/>
          <w:szCs w:val="24"/>
        </w:rPr>
      </w:pPr>
      <w:bookmarkStart w:id="12" w:name="_Toc162614821"/>
      <w:r w:rsidRPr="00E03CE0">
        <w:rPr>
          <w:rFonts w:ascii="Times New Roman" w:hAnsi="Times New Roman" w:cs="Times New Roman"/>
          <w:b/>
          <w:bCs/>
          <w:noProof/>
          <w:color w:val="auto"/>
          <w:sz w:val="24"/>
          <w:szCs w:val="24"/>
        </w:rPr>
        <w:t>EMPIRICAL FINDINGS</w:t>
      </w:r>
      <w:bookmarkEnd w:id="12"/>
    </w:p>
    <w:p w14:paraId="6D75D769" w14:textId="77777777" w:rsidR="00FF56A9" w:rsidRPr="00E03CE0" w:rsidRDefault="00FF56A9" w:rsidP="001365F2">
      <w:pPr>
        <w:spacing w:line="240" w:lineRule="auto"/>
        <w:jc w:val="both"/>
        <w:rPr>
          <w:rFonts w:ascii="Times New Roman" w:hAnsi="Times New Roman" w:cs="Times New Roman"/>
          <w:noProof/>
          <w:sz w:val="24"/>
          <w:szCs w:val="24"/>
        </w:rPr>
      </w:pPr>
    </w:p>
    <w:p w14:paraId="016B8E13" w14:textId="68E70B1E" w:rsidR="00AE06F6" w:rsidRPr="00E03CE0" w:rsidRDefault="00FF56A9" w:rsidP="001365F2">
      <w:pPr>
        <w:pStyle w:val="Heading2"/>
        <w:spacing w:line="240" w:lineRule="auto"/>
        <w:jc w:val="both"/>
        <w:rPr>
          <w:rFonts w:ascii="Times New Roman" w:hAnsi="Times New Roman" w:cs="Times New Roman"/>
          <w:b/>
          <w:bCs/>
          <w:noProof/>
          <w:color w:val="auto"/>
          <w:sz w:val="24"/>
          <w:szCs w:val="24"/>
        </w:rPr>
      </w:pPr>
      <w:bookmarkStart w:id="13" w:name="_Toc162614822"/>
      <w:r w:rsidRPr="00E03CE0">
        <w:rPr>
          <w:rFonts w:ascii="Times New Roman" w:hAnsi="Times New Roman" w:cs="Times New Roman"/>
          <w:b/>
          <w:bCs/>
          <w:noProof/>
          <w:color w:val="auto"/>
          <w:sz w:val="24"/>
          <w:szCs w:val="24"/>
        </w:rPr>
        <w:t>DESCRIPTIVE STATISTICS</w:t>
      </w:r>
      <w:r w:rsidR="001365F2" w:rsidRPr="00E03CE0">
        <w:rPr>
          <w:rFonts w:ascii="Times New Roman" w:hAnsi="Times New Roman" w:cs="Times New Roman"/>
          <w:b/>
          <w:bCs/>
          <w:noProof/>
          <w:color w:val="auto"/>
          <w:sz w:val="24"/>
          <w:szCs w:val="24"/>
        </w:rPr>
        <w:t xml:space="preserve"> </w:t>
      </w:r>
      <w:bookmarkEnd w:id="13"/>
    </w:p>
    <w:p w14:paraId="058B0E2F" w14:textId="2B30681D" w:rsidR="00F64B93" w:rsidRPr="00E03CE0" w:rsidRDefault="00AD5F01" w:rsidP="001365F2">
      <w:pPr>
        <w:spacing w:line="240" w:lineRule="auto"/>
        <w:jc w:val="both"/>
        <w:rPr>
          <w:rFonts w:ascii="Times New Roman" w:hAnsi="Times New Roman" w:cs="Times New Roman"/>
          <w:noProof/>
          <w:sz w:val="24"/>
          <w:szCs w:val="24"/>
        </w:rPr>
      </w:pPr>
      <w:r w:rsidRPr="00E03CE0">
        <w:rPr>
          <w:rFonts w:ascii="Times New Roman" w:hAnsi="Times New Roman" w:cs="Times New Roman"/>
          <w:noProof/>
          <w:sz w:val="24"/>
          <w:szCs w:val="24"/>
        </w:rPr>
        <w:t xml:space="preserve">Key demographics are </w:t>
      </w:r>
      <w:r w:rsidR="008F14DD" w:rsidRPr="00E03CE0">
        <w:rPr>
          <w:rFonts w:ascii="Times New Roman" w:hAnsi="Times New Roman" w:cs="Times New Roman"/>
          <w:noProof/>
          <w:sz w:val="24"/>
          <w:szCs w:val="24"/>
        </w:rPr>
        <w:t>summarized at the sector level based on the mean</w:t>
      </w:r>
      <w:r w:rsidR="00C941FE" w:rsidRPr="00E03CE0">
        <w:rPr>
          <w:rFonts w:ascii="Times New Roman" w:hAnsi="Times New Roman" w:cs="Times New Roman"/>
          <w:noProof/>
          <w:sz w:val="24"/>
          <w:szCs w:val="24"/>
        </w:rPr>
        <w:t>, and</w:t>
      </w:r>
      <w:r w:rsidR="008F14DD" w:rsidRPr="00E03CE0">
        <w:rPr>
          <w:rFonts w:ascii="Times New Roman" w:hAnsi="Times New Roman" w:cs="Times New Roman"/>
          <w:noProof/>
          <w:sz w:val="24"/>
          <w:szCs w:val="24"/>
        </w:rPr>
        <w:t xml:space="preserve"> captured in </w:t>
      </w:r>
      <w:r w:rsidR="008F14DD" w:rsidRPr="00E03CE0">
        <w:rPr>
          <w:rFonts w:ascii="Times New Roman" w:hAnsi="Times New Roman" w:cs="Times New Roman"/>
          <w:noProof/>
          <w:sz w:val="24"/>
          <w:szCs w:val="24"/>
        </w:rPr>
        <w:fldChar w:fldCharType="begin"/>
      </w:r>
      <w:r w:rsidR="008F14DD" w:rsidRPr="00E03CE0">
        <w:rPr>
          <w:rFonts w:ascii="Times New Roman" w:hAnsi="Times New Roman" w:cs="Times New Roman"/>
          <w:noProof/>
          <w:sz w:val="24"/>
          <w:szCs w:val="24"/>
        </w:rPr>
        <w:instrText xml:space="preserve"> REF _Ref195396431 \h </w:instrText>
      </w:r>
      <w:r w:rsidR="00F44479" w:rsidRPr="00E03CE0">
        <w:rPr>
          <w:rFonts w:ascii="Times New Roman" w:hAnsi="Times New Roman" w:cs="Times New Roman"/>
          <w:noProof/>
          <w:sz w:val="24"/>
          <w:szCs w:val="24"/>
        </w:rPr>
        <w:instrText xml:space="preserve"> \* MERGEFORMAT </w:instrText>
      </w:r>
      <w:r w:rsidR="008F14DD" w:rsidRPr="00E03CE0">
        <w:rPr>
          <w:rFonts w:ascii="Times New Roman" w:hAnsi="Times New Roman" w:cs="Times New Roman"/>
          <w:noProof/>
          <w:sz w:val="24"/>
          <w:szCs w:val="24"/>
        </w:rPr>
      </w:r>
      <w:r w:rsidR="008F14DD" w:rsidRPr="00E03CE0">
        <w:rPr>
          <w:rFonts w:ascii="Times New Roman" w:hAnsi="Times New Roman" w:cs="Times New Roman"/>
          <w:noProof/>
          <w:sz w:val="24"/>
          <w:szCs w:val="24"/>
        </w:rPr>
        <w:fldChar w:fldCharType="separate"/>
      </w:r>
      <w:r w:rsidR="00C941FE" w:rsidRPr="00E03CE0">
        <w:rPr>
          <w:rFonts w:ascii="Times New Roman" w:hAnsi="Times New Roman" w:cs="Times New Roman"/>
        </w:rPr>
        <w:t xml:space="preserve">Table </w:t>
      </w:r>
      <w:r w:rsidR="00C941FE" w:rsidRPr="00E03CE0">
        <w:rPr>
          <w:rFonts w:ascii="Times New Roman" w:hAnsi="Times New Roman" w:cs="Times New Roman"/>
          <w:noProof/>
        </w:rPr>
        <w:t>1</w:t>
      </w:r>
      <w:r w:rsidR="008F14DD" w:rsidRPr="00E03CE0">
        <w:rPr>
          <w:rFonts w:ascii="Times New Roman" w:hAnsi="Times New Roman" w:cs="Times New Roman"/>
          <w:noProof/>
          <w:sz w:val="24"/>
          <w:szCs w:val="24"/>
        </w:rPr>
        <w:fldChar w:fldCharType="end"/>
      </w:r>
      <w:r w:rsidR="008F14DD" w:rsidRPr="00E03CE0">
        <w:rPr>
          <w:rFonts w:ascii="Times New Roman" w:hAnsi="Times New Roman" w:cs="Times New Roman"/>
          <w:noProof/>
          <w:sz w:val="24"/>
          <w:szCs w:val="24"/>
        </w:rPr>
        <w:t xml:space="preserve">. There are noticeable sectoral differences with respect to </w:t>
      </w:r>
      <w:r w:rsidR="00F64B93" w:rsidRPr="00E03CE0">
        <w:rPr>
          <w:rFonts w:ascii="Times New Roman" w:hAnsi="Times New Roman" w:cs="Times New Roman"/>
          <w:noProof/>
          <w:sz w:val="24"/>
          <w:szCs w:val="24"/>
        </w:rPr>
        <w:t>social connections</w:t>
      </w:r>
      <w:r w:rsidR="008F14DD" w:rsidRPr="00E03CE0">
        <w:rPr>
          <w:rFonts w:ascii="Times New Roman" w:hAnsi="Times New Roman" w:cs="Times New Roman"/>
          <w:noProof/>
          <w:sz w:val="24"/>
          <w:szCs w:val="24"/>
        </w:rPr>
        <w:t xml:space="preserve">, sources for hiring new white-collar workers, and firm size. 70% of sampled enterprises within manufacturing attracted under-skilled job applicants in at least one occupational position. This share is high relative to the 66% and 67% reported, respectively, for retail or whole trade and other services. </w:t>
      </w:r>
      <w:r w:rsidR="00F64B93" w:rsidRPr="00E03CE0">
        <w:rPr>
          <w:rFonts w:ascii="Times New Roman" w:hAnsi="Times New Roman" w:cs="Times New Roman"/>
          <w:noProof/>
          <w:sz w:val="24"/>
          <w:szCs w:val="24"/>
        </w:rPr>
        <w:t xml:space="preserve">Sources for new white-collar workers were fewest within the manufacturing sector which trailed behind the services sector. These sources were about 2-3 on average. In terms of size, enterprises within manufacturing were much larger compared to services sector. A firm in manufacturing had 83 employees, on average, which was about 3-4 times that reported within the services sector.  </w:t>
      </w:r>
      <w:r w:rsidR="008F14DD" w:rsidRPr="00E03CE0">
        <w:rPr>
          <w:rFonts w:ascii="Times New Roman" w:hAnsi="Times New Roman" w:cs="Times New Roman"/>
          <w:noProof/>
          <w:sz w:val="24"/>
          <w:szCs w:val="24"/>
        </w:rPr>
        <w:t xml:space="preserve"> </w:t>
      </w:r>
    </w:p>
    <w:p w14:paraId="546A5E34" w14:textId="6CE96A6F" w:rsidR="00763889" w:rsidRPr="00E03CE0" w:rsidRDefault="00F64B93" w:rsidP="001365F2">
      <w:pPr>
        <w:spacing w:line="240" w:lineRule="auto"/>
        <w:jc w:val="both"/>
        <w:rPr>
          <w:rFonts w:ascii="Times New Roman" w:hAnsi="Times New Roman" w:cs="Times New Roman"/>
          <w:noProof/>
          <w:sz w:val="24"/>
          <w:szCs w:val="24"/>
        </w:rPr>
      </w:pPr>
      <w:r w:rsidRPr="00E03CE0">
        <w:rPr>
          <w:rFonts w:ascii="Times New Roman" w:hAnsi="Times New Roman" w:cs="Times New Roman"/>
          <w:noProof/>
          <w:sz w:val="24"/>
          <w:szCs w:val="24"/>
        </w:rPr>
        <w:t xml:space="preserve">Across the three sectors, enterprises were, on average, similar with respect to the duration of operation within the country, growth of annual per worker wage, under-skilled job applicants and occupational skills gaps, </w:t>
      </w:r>
      <w:r w:rsidR="00EB38E8" w:rsidRPr="00E03CE0">
        <w:rPr>
          <w:rFonts w:ascii="Times New Roman" w:hAnsi="Times New Roman" w:cs="Times New Roman"/>
          <w:noProof/>
          <w:sz w:val="24"/>
          <w:szCs w:val="24"/>
        </w:rPr>
        <w:t xml:space="preserve">within-firm training, workers’ educational attainment, workforce expansion, and the status of salary setting.  </w:t>
      </w:r>
      <w:r w:rsidRPr="00E03CE0">
        <w:rPr>
          <w:rFonts w:ascii="Times New Roman" w:hAnsi="Times New Roman" w:cs="Times New Roman"/>
          <w:noProof/>
          <w:sz w:val="24"/>
          <w:szCs w:val="24"/>
        </w:rPr>
        <w:t xml:space="preserve">  </w:t>
      </w:r>
      <w:r w:rsidR="007B760C" w:rsidRPr="00E03CE0">
        <w:rPr>
          <w:rFonts w:ascii="Times New Roman" w:hAnsi="Times New Roman" w:cs="Times New Roman"/>
          <w:noProof/>
          <w:sz w:val="24"/>
          <w:szCs w:val="24"/>
        </w:rPr>
        <w:t xml:space="preserve"> </w:t>
      </w:r>
    </w:p>
    <w:p w14:paraId="2C9FE2D5" w14:textId="42DB9932" w:rsidR="001232DB" w:rsidRPr="00E03CE0" w:rsidRDefault="008F14DD" w:rsidP="00514D5C">
      <w:pPr>
        <w:pStyle w:val="Caption"/>
        <w:spacing w:after="0"/>
        <w:jc w:val="both"/>
        <w:rPr>
          <w:rFonts w:ascii="Times New Roman" w:hAnsi="Times New Roman" w:cs="Times New Roman"/>
          <w:color w:val="auto"/>
          <w:sz w:val="20"/>
          <w:szCs w:val="20"/>
        </w:rPr>
      </w:pPr>
      <w:bookmarkStart w:id="14" w:name="_Ref195396431"/>
      <w:r w:rsidRPr="00E03CE0">
        <w:rPr>
          <w:rFonts w:ascii="Times New Roman" w:hAnsi="Times New Roman" w:cs="Times New Roman"/>
          <w:color w:val="auto"/>
        </w:rPr>
        <w:t xml:space="preserve">Table </w:t>
      </w:r>
      <w:r w:rsidRPr="00E03CE0">
        <w:rPr>
          <w:rFonts w:ascii="Times New Roman" w:hAnsi="Times New Roman" w:cs="Times New Roman"/>
          <w:color w:val="auto"/>
        </w:rPr>
        <w:fldChar w:fldCharType="begin"/>
      </w:r>
      <w:r w:rsidRPr="00E03CE0">
        <w:rPr>
          <w:rFonts w:ascii="Times New Roman" w:hAnsi="Times New Roman" w:cs="Times New Roman"/>
          <w:color w:val="auto"/>
        </w:rPr>
        <w:instrText xml:space="preserve"> SEQ Table \* ARABIC </w:instrText>
      </w:r>
      <w:r w:rsidRPr="00E03CE0">
        <w:rPr>
          <w:rFonts w:ascii="Times New Roman" w:hAnsi="Times New Roman" w:cs="Times New Roman"/>
          <w:color w:val="auto"/>
        </w:rPr>
        <w:fldChar w:fldCharType="separate"/>
      </w:r>
      <w:r w:rsidR="00C941FE" w:rsidRPr="00E03CE0">
        <w:rPr>
          <w:rFonts w:ascii="Times New Roman" w:hAnsi="Times New Roman" w:cs="Times New Roman"/>
          <w:noProof/>
          <w:color w:val="auto"/>
        </w:rPr>
        <w:t>1</w:t>
      </w:r>
      <w:r w:rsidRPr="00E03CE0">
        <w:rPr>
          <w:rFonts w:ascii="Times New Roman" w:hAnsi="Times New Roman" w:cs="Times New Roman"/>
          <w:color w:val="auto"/>
        </w:rPr>
        <w:fldChar w:fldCharType="end"/>
      </w:r>
      <w:bookmarkEnd w:id="14"/>
      <w:r w:rsidRPr="00E03CE0">
        <w:rPr>
          <w:rFonts w:ascii="Times New Roman" w:hAnsi="Times New Roman" w:cs="Times New Roman"/>
          <w:color w:val="auto"/>
        </w:rPr>
        <w:t>:  Demographics</w:t>
      </w:r>
    </w:p>
    <w:tbl>
      <w:tblPr>
        <w:tblStyle w:val="TableGrid"/>
        <w:tblW w:w="0" w:type="auto"/>
        <w:tblCellSpacing w:w="14" w:type="dxa"/>
        <w:tblBorders>
          <w:top w:val="nil"/>
          <w:left w:val="nil"/>
          <w:bottom w:val="nil"/>
          <w:right w:val="nil"/>
          <w:insideH w:val="nil"/>
          <w:insideV w:val="nil"/>
        </w:tblBorders>
        <w:tblLayout w:type="fixed"/>
        <w:tblLook w:val="04A0" w:firstRow="1" w:lastRow="0" w:firstColumn="1" w:lastColumn="0" w:noHBand="0" w:noVBand="1"/>
      </w:tblPr>
      <w:tblGrid>
        <w:gridCol w:w="9416"/>
      </w:tblGrid>
      <w:tr w:rsidR="004049C0" w:rsidRPr="00E03CE0" w14:paraId="41603CB9" w14:textId="77777777" w:rsidTr="00077A36">
        <w:trPr>
          <w:tblHeader/>
          <w:tblCellSpacing w:w="14" w:type="dxa"/>
        </w:trPr>
        <w:tc>
          <w:tcPr>
            <w:tcW w:w="9360" w:type="dxa"/>
          </w:tcPr>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2609"/>
              <w:gridCol w:w="1307"/>
              <w:gridCol w:w="1307"/>
              <w:gridCol w:w="1307"/>
              <w:gridCol w:w="1307"/>
              <w:gridCol w:w="1307"/>
            </w:tblGrid>
            <w:tr w:rsidR="004049C0" w:rsidRPr="00E03CE0" w14:paraId="3C428968" w14:textId="77777777" w:rsidTr="00077A36">
              <w:tc>
                <w:tcPr>
                  <w:tcW w:w="2674" w:type="dxa"/>
                  <w:tcBorders>
                    <w:top w:val="single" w:sz="0" w:space="0" w:color="000000"/>
                  </w:tcBorders>
                </w:tcPr>
                <w:p w14:paraId="0CCDD94D" w14:textId="77777777" w:rsidR="001232DB" w:rsidRPr="00E03CE0" w:rsidRDefault="001232DB" w:rsidP="00077A36">
                  <w:pPr>
                    <w:rPr>
                      <w:rFonts w:ascii="Times New Roman" w:hAnsi="Times New Roman" w:cs="Times New Roman"/>
                      <w:sz w:val="20"/>
                      <w:szCs w:val="20"/>
                    </w:rPr>
                  </w:pPr>
                  <w:r w:rsidRPr="00E03CE0">
                    <w:rPr>
                      <w:rFonts w:ascii="Times New Roman" w:hAnsi="Times New Roman" w:cs="Times New Roman"/>
                      <w:sz w:val="20"/>
                      <w:szCs w:val="20"/>
                    </w:rPr>
                    <w:t xml:space="preserve"> </w:t>
                  </w:r>
                </w:p>
              </w:tc>
              <w:tc>
                <w:tcPr>
                  <w:tcW w:w="1337" w:type="dxa"/>
                  <w:tcBorders>
                    <w:top w:val="single" w:sz="0" w:space="0" w:color="000000"/>
                  </w:tcBorders>
                  <w:vAlign w:val="center"/>
                </w:tcPr>
                <w:p w14:paraId="5016233B" w14:textId="77777777" w:rsidR="001232DB" w:rsidRPr="00E03CE0" w:rsidRDefault="001232DB" w:rsidP="00077A36">
                  <w:pPr>
                    <w:jc w:val="center"/>
                    <w:rPr>
                      <w:rFonts w:ascii="Times New Roman" w:hAnsi="Times New Roman" w:cs="Times New Roman"/>
                      <w:sz w:val="20"/>
                      <w:szCs w:val="20"/>
                    </w:rPr>
                  </w:pPr>
                  <w:r w:rsidRPr="00E03CE0">
                    <w:rPr>
                      <w:rFonts w:ascii="Times New Roman" w:hAnsi="Times New Roman" w:cs="Times New Roman"/>
                      <w:sz w:val="20"/>
                      <w:szCs w:val="20"/>
                    </w:rPr>
                    <w:t>Manufacture</w:t>
                  </w:r>
                </w:p>
              </w:tc>
              <w:tc>
                <w:tcPr>
                  <w:tcW w:w="1337" w:type="dxa"/>
                  <w:tcBorders>
                    <w:top w:val="single" w:sz="0" w:space="0" w:color="000000"/>
                  </w:tcBorders>
                  <w:vAlign w:val="center"/>
                </w:tcPr>
                <w:p w14:paraId="7C527A7A" w14:textId="77777777" w:rsidR="001232DB" w:rsidRPr="00E03CE0" w:rsidRDefault="001232DB" w:rsidP="00077A36">
                  <w:pPr>
                    <w:jc w:val="center"/>
                    <w:rPr>
                      <w:rFonts w:ascii="Times New Roman" w:hAnsi="Times New Roman" w:cs="Times New Roman"/>
                      <w:sz w:val="20"/>
                      <w:szCs w:val="20"/>
                    </w:rPr>
                  </w:pPr>
                  <w:r w:rsidRPr="00E03CE0">
                    <w:rPr>
                      <w:rFonts w:ascii="Times New Roman" w:hAnsi="Times New Roman" w:cs="Times New Roman"/>
                      <w:sz w:val="20"/>
                      <w:szCs w:val="20"/>
                    </w:rPr>
                    <w:t>Wholesale or retail trade</w:t>
                  </w:r>
                </w:p>
              </w:tc>
              <w:tc>
                <w:tcPr>
                  <w:tcW w:w="1337" w:type="dxa"/>
                  <w:tcBorders>
                    <w:top w:val="single" w:sz="0" w:space="0" w:color="000000"/>
                  </w:tcBorders>
                  <w:vAlign w:val="center"/>
                </w:tcPr>
                <w:p w14:paraId="033197AE" w14:textId="77777777" w:rsidR="001232DB" w:rsidRPr="00E03CE0" w:rsidRDefault="001232DB" w:rsidP="00077A36">
                  <w:pPr>
                    <w:jc w:val="center"/>
                    <w:rPr>
                      <w:rFonts w:ascii="Times New Roman" w:hAnsi="Times New Roman" w:cs="Times New Roman"/>
                      <w:sz w:val="20"/>
                      <w:szCs w:val="20"/>
                    </w:rPr>
                  </w:pPr>
                  <w:r w:rsidRPr="00E03CE0">
                    <w:rPr>
                      <w:rFonts w:ascii="Times New Roman" w:hAnsi="Times New Roman" w:cs="Times New Roman"/>
                      <w:sz w:val="20"/>
                      <w:szCs w:val="20"/>
                    </w:rPr>
                    <w:t>Other services</w:t>
                  </w:r>
                </w:p>
              </w:tc>
              <w:tc>
                <w:tcPr>
                  <w:tcW w:w="1337" w:type="dxa"/>
                  <w:tcBorders>
                    <w:top w:val="single" w:sz="0" w:space="0" w:color="000000"/>
                  </w:tcBorders>
                  <w:vAlign w:val="center"/>
                </w:tcPr>
                <w:p w14:paraId="20949D58" w14:textId="77777777" w:rsidR="001232DB" w:rsidRPr="00E03CE0" w:rsidRDefault="001232DB" w:rsidP="00077A36">
                  <w:pPr>
                    <w:jc w:val="center"/>
                    <w:rPr>
                      <w:rFonts w:ascii="Times New Roman" w:hAnsi="Times New Roman" w:cs="Times New Roman"/>
                      <w:sz w:val="20"/>
                      <w:szCs w:val="20"/>
                    </w:rPr>
                  </w:pPr>
                  <w:r w:rsidRPr="00E03CE0">
                    <w:rPr>
                      <w:rFonts w:ascii="Times New Roman" w:hAnsi="Times New Roman" w:cs="Times New Roman"/>
                      <w:sz w:val="20"/>
                      <w:szCs w:val="20"/>
                    </w:rPr>
                    <w:t>Total</w:t>
                  </w:r>
                </w:p>
              </w:tc>
              <w:tc>
                <w:tcPr>
                  <w:tcW w:w="1337" w:type="dxa"/>
                  <w:tcBorders>
                    <w:top w:val="single" w:sz="0" w:space="0" w:color="000000"/>
                  </w:tcBorders>
                </w:tcPr>
                <w:p w14:paraId="0064F61E" w14:textId="77777777" w:rsidR="001232DB" w:rsidRPr="00E03CE0" w:rsidRDefault="001232DB" w:rsidP="00077A36">
                  <w:pPr>
                    <w:jc w:val="right"/>
                    <w:rPr>
                      <w:rFonts w:ascii="Times New Roman" w:hAnsi="Times New Roman" w:cs="Times New Roman"/>
                      <w:sz w:val="20"/>
                      <w:szCs w:val="20"/>
                    </w:rPr>
                  </w:pPr>
                  <w:r w:rsidRPr="00E03CE0">
                    <w:rPr>
                      <w:rFonts w:ascii="Times New Roman" w:hAnsi="Times New Roman" w:cs="Times New Roman"/>
                      <w:sz w:val="20"/>
                      <w:szCs w:val="20"/>
                    </w:rPr>
                    <w:t xml:space="preserve"> </w:t>
                  </w:r>
                </w:p>
              </w:tc>
            </w:tr>
            <w:tr w:rsidR="004049C0" w:rsidRPr="00E03CE0" w14:paraId="6DF40177" w14:textId="77777777" w:rsidTr="00077A36">
              <w:tc>
                <w:tcPr>
                  <w:tcW w:w="2674" w:type="dxa"/>
                  <w:tcBorders>
                    <w:bottom w:val="single" w:sz="0" w:space="0" w:color="000000"/>
                  </w:tcBorders>
                </w:tcPr>
                <w:p w14:paraId="5F9E3093" w14:textId="77777777" w:rsidR="001232DB" w:rsidRPr="00E03CE0" w:rsidRDefault="001232DB" w:rsidP="00077A36">
                  <w:pPr>
                    <w:rPr>
                      <w:rFonts w:ascii="Times New Roman" w:hAnsi="Times New Roman" w:cs="Times New Roman"/>
                      <w:sz w:val="20"/>
                      <w:szCs w:val="20"/>
                    </w:rPr>
                  </w:pPr>
                  <w:r w:rsidRPr="00E03CE0">
                    <w:rPr>
                      <w:rFonts w:ascii="Times New Roman" w:hAnsi="Times New Roman" w:cs="Times New Roman"/>
                      <w:sz w:val="20"/>
                      <w:szCs w:val="20"/>
                    </w:rPr>
                    <w:t xml:space="preserve"> </w:t>
                  </w:r>
                </w:p>
              </w:tc>
              <w:tc>
                <w:tcPr>
                  <w:tcW w:w="1337" w:type="dxa"/>
                  <w:tcBorders>
                    <w:bottom w:val="single" w:sz="0" w:space="0" w:color="000000"/>
                  </w:tcBorders>
                  <w:vAlign w:val="center"/>
                </w:tcPr>
                <w:p w14:paraId="52BA5ECD" w14:textId="77777777" w:rsidR="001232DB" w:rsidRPr="00E03CE0" w:rsidRDefault="001232DB" w:rsidP="00077A36">
                  <w:pPr>
                    <w:jc w:val="center"/>
                    <w:rPr>
                      <w:rFonts w:ascii="Times New Roman" w:hAnsi="Times New Roman" w:cs="Times New Roman"/>
                      <w:sz w:val="20"/>
                      <w:szCs w:val="20"/>
                    </w:rPr>
                  </w:pPr>
                  <w:r w:rsidRPr="00E03CE0">
                    <w:rPr>
                      <w:rFonts w:ascii="Times New Roman" w:hAnsi="Times New Roman" w:cs="Times New Roman"/>
                      <w:sz w:val="20"/>
                      <w:szCs w:val="20"/>
                    </w:rPr>
                    <w:t>(N = 128)</w:t>
                  </w:r>
                </w:p>
              </w:tc>
              <w:tc>
                <w:tcPr>
                  <w:tcW w:w="1337" w:type="dxa"/>
                  <w:tcBorders>
                    <w:bottom w:val="single" w:sz="0" w:space="0" w:color="000000"/>
                  </w:tcBorders>
                  <w:vAlign w:val="center"/>
                </w:tcPr>
                <w:p w14:paraId="52D3D1C9" w14:textId="77777777" w:rsidR="001232DB" w:rsidRPr="00E03CE0" w:rsidRDefault="001232DB" w:rsidP="00077A36">
                  <w:pPr>
                    <w:jc w:val="center"/>
                    <w:rPr>
                      <w:rFonts w:ascii="Times New Roman" w:hAnsi="Times New Roman" w:cs="Times New Roman"/>
                      <w:sz w:val="20"/>
                      <w:szCs w:val="20"/>
                    </w:rPr>
                  </w:pPr>
                  <w:r w:rsidRPr="00E03CE0">
                    <w:rPr>
                      <w:rFonts w:ascii="Times New Roman" w:hAnsi="Times New Roman" w:cs="Times New Roman"/>
                      <w:sz w:val="20"/>
                      <w:szCs w:val="20"/>
                    </w:rPr>
                    <w:t>(N = 129)</w:t>
                  </w:r>
                </w:p>
              </w:tc>
              <w:tc>
                <w:tcPr>
                  <w:tcW w:w="1337" w:type="dxa"/>
                  <w:tcBorders>
                    <w:bottom w:val="single" w:sz="0" w:space="0" w:color="000000"/>
                  </w:tcBorders>
                  <w:vAlign w:val="center"/>
                </w:tcPr>
                <w:p w14:paraId="2323FAC4" w14:textId="77777777" w:rsidR="001232DB" w:rsidRPr="00E03CE0" w:rsidRDefault="001232DB" w:rsidP="00077A36">
                  <w:pPr>
                    <w:jc w:val="center"/>
                    <w:rPr>
                      <w:rFonts w:ascii="Times New Roman" w:hAnsi="Times New Roman" w:cs="Times New Roman"/>
                      <w:sz w:val="20"/>
                      <w:szCs w:val="20"/>
                    </w:rPr>
                  </w:pPr>
                  <w:r w:rsidRPr="00E03CE0">
                    <w:rPr>
                      <w:rFonts w:ascii="Times New Roman" w:hAnsi="Times New Roman" w:cs="Times New Roman"/>
                      <w:sz w:val="20"/>
                      <w:szCs w:val="20"/>
                    </w:rPr>
                    <w:t>(N = 233)</w:t>
                  </w:r>
                </w:p>
              </w:tc>
              <w:tc>
                <w:tcPr>
                  <w:tcW w:w="1337" w:type="dxa"/>
                  <w:tcBorders>
                    <w:bottom w:val="single" w:sz="0" w:space="0" w:color="000000"/>
                  </w:tcBorders>
                  <w:vAlign w:val="center"/>
                </w:tcPr>
                <w:p w14:paraId="3657F683" w14:textId="77777777" w:rsidR="001232DB" w:rsidRPr="00E03CE0" w:rsidRDefault="001232DB" w:rsidP="00077A36">
                  <w:pPr>
                    <w:jc w:val="center"/>
                    <w:rPr>
                      <w:rFonts w:ascii="Times New Roman" w:hAnsi="Times New Roman" w:cs="Times New Roman"/>
                      <w:sz w:val="20"/>
                      <w:szCs w:val="20"/>
                    </w:rPr>
                  </w:pPr>
                  <w:r w:rsidRPr="00E03CE0">
                    <w:rPr>
                      <w:rFonts w:ascii="Times New Roman" w:hAnsi="Times New Roman" w:cs="Times New Roman"/>
                      <w:sz w:val="20"/>
                      <w:szCs w:val="20"/>
                    </w:rPr>
                    <w:t>(N = 490)</w:t>
                  </w:r>
                </w:p>
              </w:tc>
              <w:tc>
                <w:tcPr>
                  <w:tcW w:w="1337" w:type="dxa"/>
                  <w:tcBorders>
                    <w:bottom w:val="single" w:sz="0" w:space="0" w:color="000000"/>
                  </w:tcBorders>
                </w:tcPr>
                <w:p w14:paraId="6798DA1A" w14:textId="77777777" w:rsidR="001232DB" w:rsidRPr="00E03CE0" w:rsidRDefault="001232DB" w:rsidP="00077A36">
                  <w:pPr>
                    <w:jc w:val="center"/>
                    <w:rPr>
                      <w:rFonts w:ascii="Times New Roman" w:hAnsi="Times New Roman" w:cs="Times New Roman"/>
                      <w:sz w:val="20"/>
                      <w:szCs w:val="20"/>
                    </w:rPr>
                  </w:pPr>
                  <w:r w:rsidRPr="00E03CE0">
                    <w:rPr>
                      <w:rFonts w:ascii="Times New Roman" w:hAnsi="Times New Roman" w:cs="Times New Roman"/>
                      <w:sz w:val="20"/>
                      <w:szCs w:val="20"/>
                    </w:rPr>
                    <w:t>p-value</w:t>
                  </w:r>
                </w:p>
              </w:tc>
            </w:tr>
          </w:tbl>
          <w:p w14:paraId="44E93342" w14:textId="77777777" w:rsidR="001232DB" w:rsidRPr="00E03CE0" w:rsidRDefault="001232DB" w:rsidP="00077A36">
            <w:pPr>
              <w:rPr>
                <w:rFonts w:ascii="Times New Roman" w:hAnsi="Times New Roman" w:cs="Times New Roman"/>
                <w:sz w:val="20"/>
                <w:szCs w:val="20"/>
              </w:rPr>
            </w:pPr>
          </w:p>
        </w:tc>
      </w:tr>
      <w:tr w:rsidR="004049C0" w:rsidRPr="00E03CE0" w14:paraId="542BD4AD" w14:textId="77777777" w:rsidTr="00077A36">
        <w:trPr>
          <w:tblCellSpacing w:w="14" w:type="dxa"/>
        </w:trPr>
        <w:tc>
          <w:tcPr>
            <w:tcW w:w="9360" w:type="dxa"/>
            <w:tcBorders>
              <w:bottom w:val="single" w:sz="0" w:space="0" w:color="000000"/>
            </w:tcBorders>
          </w:tcPr>
          <w:tbl>
            <w:tblPr>
              <w:tblStyle w:val="TableGrid"/>
              <w:tblW w:w="5000" w:type="pct"/>
              <w:tblBorders>
                <w:top w:val="nil"/>
                <w:left w:val="nil"/>
                <w:bottom w:val="nil"/>
                <w:right w:val="nil"/>
                <w:insideH w:val="nil"/>
                <w:insideV w:val="nil"/>
              </w:tblBorders>
              <w:tblLayout w:type="fixed"/>
              <w:tblCellMar>
                <w:left w:w="21" w:type="dxa"/>
                <w:right w:w="21" w:type="dxa"/>
              </w:tblCellMar>
              <w:tblLook w:val="0600" w:firstRow="0" w:lastRow="0" w:firstColumn="0" w:lastColumn="0" w:noHBand="1" w:noVBand="1"/>
            </w:tblPr>
            <w:tblGrid>
              <w:gridCol w:w="2613"/>
              <w:gridCol w:w="1307"/>
              <w:gridCol w:w="1306"/>
              <w:gridCol w:w="1306"/>
              <w:gridCol w:w="1306"/>
              <w:gridCol w:w="1306"/>
            </w:tblGrid>
            <w:tr w:rsidR="004049C0" w:rsidRPr="00E03CE0" w14:paraId="113BC7C0" w14:textId="77777777" w:rsidTr="00077A36">
              <w:tc>
                <w:tcPr>
                  <w:tcW w:w="2613" w:type="dxa"/>
                </w:tcPr>
                <w:p w14:paraId="24066591"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Firm age</w:t>
                  </w:r>
                </w:p>
              </w:tc>
              <w:tc>
                <w:tcPr>
                  <w:tcW w:w="1307" w:type="dxa"/>
                  <w:vAlign w:val="bottom"/>
                </w:tcPr>
                <w:p w14:paraId="247335C8"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w:t>
                  </w:r>
                </w:p>
              </w:tc>
              <w:tc>
                <w:tcPr>
                  <w:tcW w:w="1306" w:type="dxa"/>
                  <w:vAlign w:val="bottom"/>
                </w:tcPr>
                <w:p w14:paraId="72E305C8"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w:t>
                  </w:r>
                </w:p>
              </w:tc>
              <w:tc>
                <w:tcPr>
                  <w:tcW w:w="1306" w:type="dxa"/>
                  <w:vAlign w:val="bottom"/>
                </w:tcPr>
                <w:p w14:paraId="0A61B87B"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w:t>
                  </w:r>
                </w:p>
              </w:tc>
              <w:tc>
                <w:tcPr>
                  <w:tcW w:w="1306" w:type="dxa"/>
                  <w:vAlign w:val="bottom"/>
                </w:tcPr>
                <w:p w14:paraId="61EEECAC"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w:t>
                  </w:r>
                </w:p>
              </w:tc>
              <w:tc>
                <w:tcPr>
                  <w:tcW w:w="1306" w:type="dxa"/>
                </w:tcPr>
                <w:p w14:paraId="25FA5FD9"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0.055</w:t>
                  </w:r>
                </w:p>
              </w:tc>
            </w:tr>
            <w:tr w:rsidR="004049C0" w:rsidRPr="00E03CE0" w14:paraId="2D4E1B7F" w14:textId="77777777" w:rsidTr="00077A36">
              <w:tc>
                <w:tcPr>
                  <w:tcW w:w="2613" w:type="dxa"/>
                </w:tcPr>
                <w:p w14:paraId="3D6AC1E7"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Mean (SD)</w:t>
                  </w:r>
                </w:p>
              </w:tc>
              <w:tc>
                <w:tcPr>
                  <w:tcW w:w="1307" w:type="dxa"/>
                </w:tcPr>
                <w:p w14:paraId="439D9AC0"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19.65 (13.06)</w:t>
                  </w:r>
                </w:p>
              </w:tc>
              <w:tc>
                <w:tcPr>
                  <w:tcW w:w="1306" w:type="dxa"/>
                </w:tcPr>
                <w:p w14:paraId="10469DCE"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16.22 (8.22)</w:t>
                  </w:r>
                </w:p>
              </w:tc>
              <w:tc>
                <w:tcPr>
                  <w:tcW w:w="1306" w:type="dxa"/>
                </w:tcPr>
                <w:p w14:paraId="0020AA74"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17.19 (10.32)</w:t>
                  </w:r>
                </w:p>
              </w:tc>
              <w:tc>
                <w:tcPr>
                  <w:tcW w:w="1306" w:type="dxa"/>
                </w:tcPr>
                <w:p w14:paraId="0037C39D"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17.30 (10.30)</w:t>
                  </w:r>
                </w:p>
              </w:tc>
              <w:tc>
                <w:tcPr>
                  <w:tcW w:w="1306" w:type="dxa"/>
                </w:tcPr>
                <w:p w14:paraId="76581C99" w14:textId="77777777" w:rsidR="001232DB" w:rsidRPr="00E03CE0" w:rsidRDefault="001232DB" w:rsidP="00077A36">
                  <w:pPr>
                    <w:rPr>
                      <w:rFonts w:ascii="Times New Roman" w:hAnsi="Times New Roman" w:cs="Times New Roman"/>
                      <w:bCs/>
                      <w:sz w:val="20"/>
                      <w:szCs w:val="20"/>
                    </w:rPr>
                  </w:pPr>
                </w:p>
              </w:tc>
            </w:tr>
            <w:tr w:rsidR="004049C0" w:rsidRPr="00E03CE0" w14:paraId="6EB56272" w14:textId="77777777" w:rsidTr="00077A36">
              <w:tc>
                <w:tcPr>
                  <w:tcW w:w="2613" w:type="dxa"/>
                </w:tcPr>
                <w:p w14:paraId="2881AA16"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Min, Max</w:t>
                  </w:r>
                </w:p>
              </w:tc>
              <w:tc>
                <w:tcPr>
                  <w:tcW w:w="1307" w:type="dxa"/>
                </w:tcPr>
                <w:p w14:paraId="1166C465"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3.0, 58.0</w:t>
                  </w:r>
                </w:p>
              </w:tc>
              <w:tc>
                <w:tcPr>
                  <w:tcW w:w="1306" w:type="dxa"/>
                </w:tcPr>
                <w:p w14:paraId="2E890539"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3.0, 50.0</w:t>
                  </w:r>
                </w:p>
              </w:tc>
              <w:tc>
                <w:tcPr>
                  <w:tcW w:w="1306" w:type="dxa"/>
                </w:tcPr>
                <w:p w14:paraId="599A2DD4"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3.0, 58.0</w:t>
                  </w:r>
                </w:p>
              </w:tc>
              <w:tc>
                <w:tcPr>
                  <w:tcW w:w="1306" w:type="dxa"/>
                </w:tcPr>
                <w:p w14:paraId="0ADCFADB"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3.0, 58.0</w:t>
                  </w:r>
                </w:p>
              </w:tc>
              <w:tc>
                <w:tcPr>
                  <w:tcW w:w="1306" w:type="dxa"/>
                </w:tcPr>
                <w:p w14:paraId="5A90590E" w14:textId="77777777" w:rsidR="001232DB" w:rsidRPr="00E03CE0" w:rsidRDefault="001232DB" w:rsidP="00077A36">
                  <w:pPr>
                    <w:rPr>
                      <w:rFonts w:ascii="Times New Roman" w:hAnsi="Times New Roman" w:cs="Times New Roman"/>
                      <w:bCs/>
                      <w:sz w:val="20"/>
                      <w:szCs w:val="20"/>
                    </w:rPr>
                  </w:pPr>
                </w:p>
              </w:tc>
            </w:tr>
            <w:tr w:rsidR="004049C0" w:rsidRPr="00E03CE0" w14:paraId="172E55A1" w14:textId="77777777" w:rsidTr="00077A36">
              <w:tc>
                <w:tcPr>
                  <w:tcW w:w="2613" w:type="dxa"/>
                </w:tcPr>
                <w:p w14:paraId="3F8EB2FD"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of workers</w:t>
                  </w:r>
                </w:p>
              </w:tc>
              <w:tc>
                <w:tcPr>
                  <w:tcW w:w="1307" w:type="dxa"/>
                </w:tcPr>
                <w:p w14:paraId="60756C40" w14:textId="77777777" w:rsidR="001232DB" w:rsidRPr="00E03CE0" w:rsidRDefault="001232DB" w:rsidP="00077A36">
                  <w:pPr>
                    <w:rPr>
                      <w:rFonts w:ascii="Times New Roman" w:hAnsi="Times New Roman" w:cs="Times New Roman"/>
                      <w:bCs/>
                      <w:sz w:val="20"/>
                      <w:szCs w:val="20"/>
                    </w:rPr>
                  </w:pPr>
                </w:p>
              </w:tc>
              <w:tc>
                <w:tcPr>
                  <w:tcW w:w="1306" w:type="dxa"/>
                </w:tcPr>
                <w:p w14:paraId="13C6B303" w14:textId="77777777" w:rsidR="001232DB" w:rsidRPr="00E03CE0" w:rsidRDefault="001232DB" w:rsidP="00077A36">
                  <w:pPr>
                    <w:rPr>
                      <w:rFonts w:ascii="Times New Roman" w:hAnsi="Times New Roman" w:cs="Times New Roman"/>
                      <w:bCs/>
                      <w:sz w:val="20"/>
                      <w:szCs w:val="20"/>
                    </w:rPr>
                  </w:pPr>
                </w:p>
              </w:tc>
              <w:tc>
                <w:tcPr>
                  <w:tcW w:w="1306" w:type="dxa"/>
                </w:tcPr>
                <w:p w14:paraId="48CE32CF" w14:textId="77777777" w:rsidR="001232DB" w:rsidRPr="00E03CE0" w:rsidRDefault="001232DB" w:rsidP="00077A36">
                  <w:pPr>
                    <w:rPr>
                      <w:rFonts w:ascii="Times New Roman" w:hAnsi="Times New Roman" w:cs="Times New Roman"/>
                      <w:bCs/>
                      <w:sz w:val="20"/>
                      <w:szCs w:val="20"/>
                    </w:rPr>
                  </w:pPr>
                </w:p>
              </w:tc>
              <w:tc>
                <w:tcPr>
                  <w:tcW w:w="1306" w:type="dxa"/>
                </w:tcPr>
                <w:p w14:paraId="29801C4C" w14:textId="77777777" w:rsidR="001232DB" w:rsidRPr="00E03CE0" w:rsidRDefault="001232DB" w:rsidP="00077A36">
                  <w:pPr>
                    <w:rPr>
                      <w:rFonts w:ascii="Times New Roman" w:hAnsi="Times New Roman" w:cs="Times New Roman"/>
                      <w:bCs/>
                      <w:sz w:val="20"/>
                      <w:szCs w:val="20"/>
                    </w:rPr>
                  </w:pPr>
                </w:p>
              </w:tc>
              <w:tc>
                <w:tcPr>
                  <w:tcW w:w="1306" w:type="dxa"/>
                </w:tcPr>
                <w:p w14:paraId="32CA5512"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&lt;0.001</w:t>
                  </w:r>
                </w:p>
              </w:tc>
            </w:tr>
            <w:tr w:rsidR="004049C0" w:rsidRPr="00E03CE0" w14:paraId="5B99D49C" w14:textId="77777777" w:rsidTr="00077A36">
              <w:tc>
                <w:tcPr>
                  <w:tcW w:w="2613" w:type="dxa"/>
                </w:tcPr>
                <w:p w14:paraId="6797BCE8"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Mean (SD)</w:t>
                  </w:r>
                </w:p>
              </w:tc>
              <w:tc>
                <w:tcPr>
                  <w:tcW w:w="1307" w:type="dxa"/>
                </w:tcPr>
                <w:p w14:paraId="4336EBB2"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83.11 (179.94)</w:t>
                  </w:r>
                </w:p>
              </w:tc>
              <w:tc>
                <w:tcPr>
                  <w:tcW w:w="1306" w:type="dxa"/>
                </w:tcPr>
                <w:p w14:paraId="2CFCD638"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20.88 (47.46)</w:t>
                  </w:r>
                </w:p>
              </w:tc>
              <w:tc>
                <w:tcPr>
                  <w:tcW w:w="1306" w:type="dxa"/>
                </w:tcPr>
                <w:p w14:paraId="7AB2F1EA"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27.15 (78.41)</w:t>
                  </w:r>
                </w:p>
              </w:tc>
              <w:tc>
                <w:tcPr>
                  <w:tcW w:w="1306" w:type="dxa"/>
                </w:tcPr>
                <w:p w14:paraId="3DF79A77"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34.38 (98.37)</w:t>
                  </w:r>
                </w:p>
              </w:tc>
              <w:tc>
                <w:tcPr>
                  <w:tcW w:w="1306" w:type="dxa"/>
                </w:tcPr>
                <w:p w14:paraId="5EED95D4" w14:textId="77777777" w:rsidR="001232DB" w:rsidRPr="00E03CE0" w:rsidRDefault="001232DB" w:rsidP="00077A36">
                  <w:pPr>
                    <w:rPr>
                      <w:rFonts w:ascii="Times New Roman" w:hAnsi="Times New Roman" w:cs="Times New Roman"/>
                      <w:bCs/>
                      <w:sz w:val="20"/>
                      <w:szCs w:val="20"/>
                    </w:rPr>
                  </w:pPr>
                </w:p>
              </w:tc>
            </w:tr>
            <w:tr w:rsidR="004049C0" w:rsidRPr="00E03CE0" w14:paraId="46A89794" w14:textId="77777777" w:rsidTr="00077A36">
              <w:tc>
                <w:tcPr>
                  <w:tcW w:w="2613" w:type="dxa"/>
                </w:tcPr>
                <w:p w14:paraId="377E4268"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Min, Max</w:t>
                  </w:r>
                </w:p>
              </w:tc>
              <w:tc>
                <w:tcPr>
                  <w:tcW w:w="1307" w:type="dxa"/>
                </w:tcPr>
                <w:p w14:paraId="01C6728A"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5.0, 2347.0</w:t>
                  </w:r>
                </w:p>
              </w:tc>
              <w:tc>
                <w:tcPr>
                  <w:tcW w:w="1306" w:type="dxa"/>
                </w:tcPr>
                <w:p w14:paraId="3524DB0B"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5.0, 602.0</w:t>
                  </w:r>
                </w:p>
              </w:tc>
              <w:tc>
                <w:tcPr>
                  <w:tcW w:w="1306" w:type="dxa"/>
                </w:tcPr>
                <w:p w14:paraId="61F416B4"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5.0, 2500.0</w:t>
                  </w:r>
                </w:p>
              </w:tc>
              <w:tc>
                <w:tcPr>
                  <w:tcW w:w="1306" w:type="dxa"/>
                </w:tcPr>
                <w:p w14:paraId="6C17E2D6"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5.0, 2500.0</w:t>
                  </w:r>
                </w:p>
              </w:tc>
              <w:tc>
                <w:tcPr>
                  <w:tcW w:w="1306" w:type="dxa"/>
                </w:tcPr>
                <w:p w14:paraId="6B6617B6" w14:textId="77777777" w:rsidR="001232DB" w:rsidRPr="00E03CE0" w:rsidRDefault="001232DB" w:rsidP="00077A36">
                  <w:pPr>
                    <w:rPr>
                      <w:rFonts w:ascii="Times New Roman" w:hAnsi="Times New Roman" w:cs="Times New Roman"/>
                      <w:bCs/>
                      <w:sz w:val="20"/>
                      <w:szCs w:val="20"/>
                    </w:rPr>
                  </w:pPr>
                </w:p>
              </w:tc>
            </w:tr>
            <w:tr w:rsidR="004049C0" w:rsidRPr="00E03CE0" w14:paraId="57ACA748" w14:textId="77777777" w:rsidTr="00077A36">
              <w:tc>
                <w:tcPr>
                  <w:tcW w:w="2613" w:type="dxa"/>
                </w:tcPr>
                <w:p w14:paraId="4CCBE959"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Skills gap share</w:t>
                  </w:r>
                </w:p>
              </w:tc>
              <w:tc>
                <w:tcPr>
                  <w:tcW w:w="1307" w:type="dxa"/>
                </w:tcPr>
                <w:p w14:paraId="45C3DA57" w14:textId="77777777" w:rsidR="001232DB" w:rsidRPr="00E03CE0" w:rsidRDefault="001232DB" w:rsidP="00077A36">
                  <w:pPr>
                    <w:rPr>
                      <w:rFonts w:ascii="Times New Roman" w:hAnsi="Times New Roman" w:cs="Times New Roman"/>
                      <w:bCs/>
                      <w:sz w:val="20"/>
                      <w:szCs w:val="20"/>
                    </w:rPr>
                  </w:pPr>
                </w:p>
              </w:tc>
              <w:tc>
                <w:tcPr>
                  <w:tcW w:w="1306" w:type="dxa"/>
                </w:tcPr>
                <w:p w14:paraId="059C21BD" w14:textId="77777777" w:rsidR="001232DB" w:rsidRPr="00E03CE0" w:rsidRDefault="001232DB" w:rsidP="00077A36">
                  <w:pPr>
                    <w:rPr>
                      <w:rFonts w:ascii="Times New Roman" w:hAnsi="Times New Roman" w:cs="Times New Roman"/>
                      <w:bCs/>
                      <w:sz w:val="20"/>
                      <w:szCs w:val="20"/>
                    </w:rPr>
                  </w:pPr>
                </w:p>
              </w:tc>
              <w:tc>
                <w:tcPr>
                  <w:tcW w:w="1306" w:type="dxa"/>
                </w:tcPr>
                <w:p w14:paraId="51C6F2E0" w14:textId="77777777" w:rsidR="001232DB" w:rsidRPr="00E03CE0" w:rsidRDefault="001232DB" w:rsidP="00077A36">
                  <w:pPr>
                    <w:rPr>
                      <w:rFonts w:ascii="Times New Roman" w:hAnsi="Times New Roman" w:cs="Times New Roman"/>
                      <w:bCs/>
                      <w:sz w:val="20"/>
                      <w:szCs w:val="20"/>
                    </w:rPr>
                  </w:pPr>
                </w:p>
              </w:tc>
              <w:tc>
                <w:tcPr>
                  <w:tcW w:w="1306" w:type="dxa"/>
                </w:tcPr>
                <w:p w14:paraId="58606373" w14:textId="77777777" w:rsidR="001232DB" w:rsidRPr="00E03CE0" w:rsidRDefault="001232DB" w:rsidP="00077A36">
                  <w:pPr>
                    <w:rPr>
                      <w:rFonts w:ascii="Times New Roman" w:hAnsi="Times New Roman" w:cs="Times New Roman"/>
                      <w:bCs/>
                      <w:sz w:val="20"/>
                      <w:szCs w:val="20"/>
                    </w:rPr>
                  </w:pPr>
                </w:p>
              </w:tc>
              <w:tc>
                <w:tcPr>
                  <w:tcW w:w="1306" w:type="dxa"/>
                </w:tcPr>
                <w:p w14:paraId="04D41816"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&lt;0.001</w:t>
                  </w:r>
                </w:p>
              </w:tc>
            </w:tr>
            <w:tr w:rsidR="004049C0" w:rsidRPr="00E03CE0" w14:paraId="767F5AEE" w14:textId="77777777" w:rsidTr="00077A36">
              <w:tc>
                <w:tcPr>
                  <w:tcW w:w="2613" w:type="dxa"/>
                </w:tcPr>
                <w:p w14:paraId="159A6434"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Mean (SD)</w:t>
                  </w:r>
                </w:p>
              </w:tc>
              <w:tc>
                <w:tcPr>
                  <w:tcW w:w="1307" w:type="dxa"/>
                </w:tcPr>
                <w:p w14:paraId="5F02D9B5"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0.70 (0.08)</w:t>
                  </w:r>
                </w:p>
              </w:tc>
              <w:tc>
                <w:tcPr>
                  <w:tcW w:w="1306" w:type="dxa"/>
                </w:tcPr>
                <w:p w14:paraId="0B66E526"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0.66 (0.06)</w:t>
                  </w:r>
                </w:p>
              </w:tc>
              <w:tc>
                <w:tcPr>
                  <w:tcW w:w="1306" w:type="dxa"/>
                </w:tcPr>
                <w:p w14:paraId="0571A7F8"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0.67 (0.03)</w:t>
                  </w:r>
                </w:p>
              </w:tc>
              <w:tc>
                <w:tcPr>
                  <w:tcW w:w="1306" w:type="dxa"/>
                </w:tcPr>
                <w:p w14:paraId="74457B4E"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0.67 (0.05)</w:t>
                  </w:r>
                </w:p>
              </w:tc>
              <w:tc>
                <w:tcPr>
                  <w:tcW w:w="1306" w:type="dxa"/>
                </w:tcPr>
                <w:p w14:paraId="2898519A" w14:textId="77777777" w:rsidR="001232DB" w:rsidRPr="00E03CE0" w:rsidRDefault="001232DB" w:rsidP="00077A36">
                  <w:pPr>
                    <w:rPr>
                      <w:rFonts w:ascii="Times New Roman" w:hAnsi="Times New Roman" w:cs="Times New Roman"/>
                      <w:bCs/>
                      <w:sz w:val="20"/>
                      <w:szCs w:val="20"/>
                    </w:rPr>
                  </w:pPr>
                </w:p>
              </w:tc>
            </w:tr>
            <w:tr w:rsidR="004049C0" w:rsidRPr="00E03CE0" w14:paraId="7FE50B08" w14:textId="77777777" w:rsidTr="00077A36">
              <w:tc>
                <w:tcPr>
                  <w:tcW w:w="2613" w:type="dxa"/>
                </w:tcPr>
                <w:p w14:paraId="0ED06270"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Min, Max</w:t>
                  </w:r>
                </w:p>
              </w:tc>
              <w:tc>
                <w:tcPr>
                  <w:tcW w:w="1307" w:type="dxa"/>
                </w:tcPr>
                <w:p w14:paraId="6B5D0D78"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0.5, 1.0</w:t>
                  </w:r>
                </w:p>
              </w:tc>
              <w:tc>
                <w:tcPr>
                  <w:tcW w:w="1306" w:type="dxa"/>
                </w:tcPr>
                <w:p w14:paraId="6BDAA9EE"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0.6, 0.8</w:t>
                  </w:r>
                </w:p>
              </w:tc>
              <w:tc>
                <w:tcPr>
                  <w:tcW w:w="1306" w:type="dxa"/>
                </w:tcPr>
                <w:p w14:paraId="3EB5FAAF"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0.6, 0.8</w:t>
                  </w:r>
                </w:p>
              </w:tc>
              <w:tc>
                <w:tcPr>
                  <w:tcW w:w="1306" w:type="dxa"/>
                </w:tcPr>
                <w:p w14:paraId="665EE2B7"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0.5, 1.0</w:t>
                  </w:r>
                </w:p>
              </w:tc>
              <w:tc>
                <w:tcPr>
                  <w:tcW w:w="1306" w:type="dxa"/>
                </w:tcPr>
                <w:p w14:paraId="612C69D5" w14:textId="77777777" w:rsidR="001232DB" w:rsidRPr="00E03CE0" w:rsidRDefault="001232DB" w:rsidP="00077A36">
                  <w:pPr>
                    <w:rPr>
                      <w:rFonts w:ascii="Times New Roman" w:hAnsi="Times New Roman" w:cs="Times New Roman"/>
                      <w:bCs/>
                      <w:sz w:val="20"/>
                      <w:szCs w:val="20"/>
                    </w:rPr>
                  </w:pPr>
                </w:p>
              </w:tc>
            </w:tr>
            <w:tr w:rsidR="004049C0" w:rsidRPr="00E03CE0" w14:paraId="6B16F235" w14:textId="77777777" w:rsidTr="00077A36">
              <w:tc>
                <w:tcPr>
                  <w:tcW w:w="2613" w:type="dxa"/>
                </w:tcPr>
                <w:p w14:paraId="10E53F60"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Wage bill ratio</w:t>
                  </w:r>
                </w:p>
              </w:tc>
              <w:tc>
                <w:tcPr>
                  <w:tcW w:w="1307" w:type="dxa"/>
                </w:tcPr>
                <w:p w14:paraId="45BCF6F4" w14:textId="77777777" w:rsidR="001232DB" w:rsidRPr="00E03CE0" w:rsidRDefault="001232DB" w:rsidP="00077A36">
                  <w:pPr>
                    <w:rPr>
                      <w:rFonts w:ascii="Times New Roman" w:hAnsi="Times New Roman" w:cs="Times New Roman"/>
                      <w:bCs/>
                      <w:sz w:val="20"/>
                      <w:szCs w:val="20"/>
                    </w:rPr>
                  </w:pPr>
                </w:p>
              </w:tc>
              <w:tc>
                <w:tcPr>
                  <w:tcW w:w="1306" w:type="dxa"/>
                </w:tcPr>
                <w:p w14:paraId="7D5AC781" w14:textId="77777777" w:rsidR="001232DB" w:rsidRPr="00E03CE0" w:rsidRDefault="001232DB" w:rsidP="00077A36">
                  <w:pPr>
                    <w:rPr>
                      <w:rFonts w:ascii="Times New Roman" w:hAnsi="Times New Roman" w:cs="Times New Roman"/>
                      <w:bCs/>
                      <w:sz w:val="20"/>
                      <w:szCs w:val="20"/>
                    </w:rPr>
                  </w:pPr>
                </w:p>
              </w:tc>
              <w:tc>
                <w:tcPr>
                  <w:tcW w:w="1306" w:type="dxa"/>
                </w:tcPr>
                <w:p w14:paraId="1EA48A0A" w14:textId="77777777" w:rsidR="001232DB" w:rsidRPr="00E03CE0" w:rsidRDefault="001232DB" w:rsidP="00077A36">
                  <w:pPr>
                    <w:rPr>
                      <w:rFonts w:ascii="Times New Roman" w:hAnsi="Times New Roman" w:cs="Times New Roman"/>
                      <w:bCs/>
                      <w:sz w:val="20"/>
                      <w:szCs w:val="20"/>
                    </w:rPr>
                  </w:pPr>
                </w:p>
              </w:tc>
              <w:tc>
                <w:tcPr>
                  <w:tcW w:w="1306" w:type="dxa"/>
                </w:tcPr>
                <w:p w14:paraId="295063F2" w14:textId="77777777" w:rsidR="001232DB" w:rsidRPr="00E03CE0" w:rsidRDefault="001232DB" w:rsidP="00077A36">
                  <w:pPr>
                    <w:rPr>
                      <w:rFonts w:ascii="Times New Roman" w:hAnsi="Times New Roman" w:cs="Times New Roman"/>
                      <w:bCs/>
                      <w:sz w:val="20"/>
                      <w:szCs w:val="20"/>
                    </w:rPr>
                  </w:pPr>
                </w:p>
              </w:tc>
              <w:tc>
                <w:tcPr>
                  <w:tcW w:w="1306" w:type="dxa"/>
                </w:tcPr>
                <w:p w14:paraId="0C170B3E"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0.947</w:t>
                  </w:r>
                </w:p>
              </w:tc>
            </w:tr>
            <w:tr w:rsidR="004049C0" w:rsidRPr="00E03CE0" w14:paraId="12E12F4B" w14:textId="77777777" w:rsidTr="00077A36">
              <w:tc>
                <w:tcPr>
                  <w:tcW w:w="2613" w:type="dxa"/>
                </w:tcPr>
                <w:p w14:paraId="6A56CD4B"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Mean (SD)</w:t>
                  </w:r>
                </w:p>
              </w:tc>
              <w:tc>
                <w:tcPr>
                  <w:tcW w:w="1307" w:type="dxa"/>
                </w:tcPr>
                <w:p w14:paraId="1F0EA1C5"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1.33 (0.86)</w:t>
                  </w:r>
                </w:p>
              </w:tc>
              <w:tc>
                <w:tcPr>
                  <w:tcW w:w="1306" w:type="dxa"/>
                </w:tcPr>
                <w:p w14:paraId="0F60CF25"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1.35 (1.04)</w:t>
                  </w:r>
                </w:p>
              </w:tc>
              <w:tc>
                <w:tcPr>
                  <w:tcW w:w="1306" w:type="dxa"/>
                </w:tcPr>
                <w:p w14:paraId="0FF78A59"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1.31 (1.01)</w:t>
                  </w:r>
                </w:p>
              </w:tc>
              <w:tc>
                <w:tcPr>
                  <w:tcW w:w="1306" w:type="dxa"/>
                </w:tcPr>
                <w:p w14:paraId="26832BE2"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1.33 (0.99)</w:t>
                  </w:r>
                </w:p>
              </w:tc>
              <w:tc>
                <w:tcPr>
                  <w:tcW w:w="1306" w:type="dxa"/>
                </w:tcPr>
                <w:p w14:paraId="113755BF" w14:textId="77777777" w:rsidR="001232DB" w:rsidRPr="00E03CE0" w:rsidRDefault="001232DB" w:rsidP="00077A36">
                  <w:pPr>
                    <w:rPr>
                      <w:rFonts w:ascii="Times New Roman" w:hAnsi="Times New Roman" w:cs="Times New Roman"/>
                      <w:bCs/>
                      <w:sz w:val="20"/>
                      <w:szCs w:val="20"/>
                    </w:rPr>
                  </w:pPr>
                </w:p>
              </w:tc>
            </w:tr>
            <w:tr w:rsidR="004049C0" w:rsidRPr="00E03CE0" w14:paraId="32BB4102" w14:textId="77777777" w:rsidTr="00077A36">
              <w:tc>
                <w:tcPr>
                  <w:tcW w:w="2613" w:type="dxa"/>
                </w:tcPr>
                <w:p w14:paraId="63E01ED8"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Min, Max</w:t>
                  </w:r>
                </w:p>
              </w:tc>
              <w:tc>
                <w:tcPr>
                  <w:tcW w:w="1307" w:type="dxa"/>
                </w:tcPr>
                <w:p w14:paraId="280C3311"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0.2, 6.0</w:t>
                  </w:r>
                </w:p>
              </w:tc>
              <w:tc>
                <w:tcPr>
                  <w:tcW w:w="1306" w:type="dxa"/>
                </w:tcPr>
                <w:p w14:paraId="770FCA8B"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0.2, 6.0</w:t>
                  </w:r>
                </w:p>
              </w:tc>
              <w:tc>
                <w:tcPr>
                  <w:tcW w:w="1306" w:type="dxa"/>
                </w:tcPr>
                <w:p w14:paraId="33DA3F9E"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0.2, 6.0</w:t>
                  </w:r>
                </w:p>
              </w:tc>
              <w:tc>
                <w:tcPr>
                  <w:tcW w:w="1306" w:type="dxa"/>
                </w:tcPr>
                <w:p w14:paraId="56C75375"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0.2, 6.0</w:t>
                  </w:r>
                </w:p>
              </w:tc>
              <w:tc>
                <w:tcPr>
                  <w:tcW w:w="1306" w:type="dxa"/>
                </w:tcPr>
                <w:p w14:paraId="37D99F26" w14:textId="77777777" w:rsidR="001232DB" w:rsidRPr="00E03CE0" w:rsidRDefault="001232DB" w:rsidP="00077A36">
                  <w:pPr>
                    <w:rPr>
                      <w:rFonts w:ascii="Times New Roman" w:hAnsi="Times New Roman" w:cs="Times New Roman"/>
                      <w:bCs/>
                      <w:sz w:val="20"/>
                      <w:szCs w:val="20"/>
                    </w:rPr>
                  </w:pPr>
                </w:p>
              </w:tc>
            </w:tr>
            <w:tr w:rsidR="004049C0" w:rsidRPr="00E03CE0" w14:paraId="39863C58" w14:textId="77777777" w:rsidTr="00077A36">
              <w:tc>
                <w:tcPr>
                  <w:tcW w:w="2613" w:type="dxa"/>
                </w:tcPr>
                <w:p w14:paraId="54B9B926"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of hiring sources for type-A workers</w:t>
                  </w:r>
                </w:p>
              </w:tc>
              <w:tc>
                <w:tcPr>
                  <w:tcW w:w="1307" w:type="dxa"/>
                </w:tcPr>
                <w:p w14:paraId="7400D552" w14:textId="77777777" w:rsidR="001232DB" w:rsidRPr="00E03CE0" w:rsidRDefault="001232DB" w:rsidP="00077A36">
                  <w:pPr>
                    <w:rPr>
                      <w:rFonts w:ascii="Times New Roman" w:hAnsi="Times New Roman" w:cs="Times New Roman"/>
                      <w:bCs/>
                      <w:sz w:val="20"/>
                      <w:szCs w:val="20"/>
                    </w:rPr>
                  </w:pPr>
                </w:p>
              </w:tc>
              <w:tc>
                <w:tcPr>
                  <w:tcW w:w="1306" w:type="dxa"/>
                </w:tcPr>
                <w:p w14:paraId="5F04A7EB" w14:textId="77777777" w:rsidR="001232DB" w:rsidRPr="00E03CE0" w:rsidRDefault="001232DB" w:rsidP="00077A36">
                  <w:pPr>
                    <w:rPr>
                      <w:rFonts w:ascii="Times New Roman" w:hAnsi="Times New Roman" w:cs="Times New Roman"/>
                      <w:bCs/>
                      <w:sz w:val="20"/>
                      <w:szCs w:val="20"/>
                    </w:rPr>
                  </w:pPr>
                </w:p>
              </w:tc>
              <w:tc>
                <w:tcPr>
                  <w:tcW w:w="1306" w:type="dxa"/>
                </w:tcPr>
                <w:p w14:paraId="50AAC966" w14:textId="77777777" w:rsidR="001232DB" w:rsidRPr="00E03CE0" w:rsidRDefault="001232DB" w:rsidP="00077A36">
                  <w:pPr>
                    <w:rPr>
                      <w:rFonts w:ascii="Times New Roman" w:hAnsi="Times New Roman" w:cs="Times New Roman"/>
                      <w:bCs/>
                      <w:sz w:val="20"/>
                      <w:szCs w:val="20"/>
                    </w:rPr>
                  </w:pPr>
                </w:p>
              </w:tc>
              <w:tc>
                <w:tcPr>
                  <w:tcW w:w="1306" w:type="dxa"/>
                </w:tcPr>
                <w:p w14:paraId="42FD1E87" w14:textId="77777777" w:rsidR="001232DB" w:rsidRPr="00E03CE0" w:rsidRDefault="001232DB" w:rsidP="00077A36">
                  <w:pPr>
                    <w:rPr>
                      <w:rFonts w:ascii="Times New Roman" w:hAnsi="Times New Roman" w:cs="Times New Roman"/>
                      <w:bCs/>
                      <w:sz w:val="20"/>
                      <w:szCs w:val="20"/>
                    </w:rPr>
                  </w:pPr>
                </w:p>
              </w:tc>
              <w:tc>
                <w:tcPr>
                  <w:tcW w:w="1306" w:type="dxa"/>
                </w:tcPr>
                <w:p w14:paraId="0388FE08"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0.049</w:t>
                  </w:r>
                </w:p>
              </w:tc>
            </w:tr>
            <w:tr w:rsidR="004049C0" w:rsidRPr="00E03CE0" w14:paraId="5DF09ECD" w14:textId="77777777" w:rsidTr="00077A36">
              <w:tc>
                <w:tcPr>
                  <w:tcW w:w="2613" w:type="dxa"/>
                </w:tcPr>
                <w:p w14:paraId="6DC5C1B9"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Mean (SD)</w:t>
                  </w:r>
                </w:p>
              </w:tc>
              <w:tc>
                <w:tcPr>
                  <w:tcW w:w="1307" w:type="dxa"/>
                </w:tcPr>
                <w:p w14:paraId="56A5DA88"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1.95 (1.16)</w:t>
                  </w:r>
                </w:p>
              </w:tc>
              <w:tc>
                <w:tcPr>
                  <w:tcW w:w="1306" w:type="dxa"/>
                </w:tcPr>
                <w:p w14:paraId="33BD64DB"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2.11 (1.14)</w:t>
                  </w:r>
                </w:p>
              </w:tc>
              <w:tc>
                <w:tcPr>
                  <w:tcW w:w="1306" w:type="dxa"/>
                </w:tcPr>
                <w:p w14:paraId="03D2EA0C"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2.31 (1.28)</w:t>
                  </w:r>
                </w:p>
              </w:tc>
              <w:tc>
                <w:tcPr>
                  <w:tcW w:w="1306" w:type="dxa"/>
                </w:tcPr>
                <w:p w14:paraId="4D698295"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2.20 (1.22)</w:t>
                  </w:r>
                </w:p>
              </w:tc>
              <w:tc>
                <w:tcPr>
                  <w:tcW w:w="1306" w:type="dxa"/>
                </w:tcPr>
                <w:p w14:paraId="63C37F1E" w14:textId="77777777" w:rsidR="001232DB" w:rsidRPr="00E03CE0" w:rsidRDefault="001232DB" w:rsidP="00077A36">
                  <w:pPr>
                    <w:rPr>
                      <w:rFonts w:ascii="Times New Roman" w:hAnsi="Times New Roman" w:cs="Times New Roman"/>
                      <w:bCs/>
                      <w:sz w:val="20"/>
                      <w:szCs w:val="20"/>
                    </w:rPr>
                  </w:pPr>
                </w:p>
              </w:tc>
            </w:tr>
            <w:tr w:rsidR="004049C0" w:rsidRPr="00E03CE0" w14:paraId="27A29E4B" w14:textId="77777777" w:rsidTr="00077A36">
              <w:tc>
                <w:tcPr>
                  <w:tcW w:w="2613" w:type="dxa"/>
                </w:tcPr>
                <w:p w14:paraId="730916CE"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Min, Max</w:t>
                  </w:r>
                </w:p>
              </w:tc>
              <w:tc>
                <w:tcPr>
                  <w:tcW w:w="1307" w:type="dxa"/>
                  <w:tcBorders>
                    <w:bottom w:val="single" w:sz="4" w:space="0" w:color="auto"/>
                  </w:tcBorders>
                </w:tcPr>
                <w:p w14:paraId="3EBCD219"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0.0, 6.0</w:t>
                  </w:r>
                </w:p>
              </w:tc>
              <w:tc>
                <w:tcPr>
                  <w:tcW w:w="1306" w:type="dxa"/>
                  <w:tcBorders>
                    <w:bottom w:val="single" w:sz="4" w:space="0" w:color="auto"/>
                  </w:tcBorders>
                </w:tcPr>
                <w:p w14:paraId="6CD4ED42"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0.0, 5.0</w:t>
                  </w:r>
                </w:p>
              </w:tc>
              <w:tc>
                <w:tcPr>
                  <w:tcW w:w="1306" w:type="dxa"/>
                  <w:tcBorders>
                    <w:bottom w:val="single" w:sz="4" w:space="0" w:color="auto"/>
                  </w:tcBorders>
                </w:tcPr>
                <w:p w14:paraId="3F9EF78F"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1.0, 7.0</w:t>
                  </w:r>
                </w:p>
              </w:tc>
              <w:tc>
                <w:tcPr>
                  <w:tcW w:w="1306" w:type="dxa"/>
                  <w:tcBorders>
                    <w:bottom w:val="single" w:sz="4" w:space="0" w:color="auto"/>
                  </w:tcBorders>
                </w:tcPr>
                <w:p w14:paraId="508C0915"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0.0, 7.0</w:t>
                  </w:r>
                </w:p>
              </w:tc>
              <w:tc>
                <w:tcPr>
                  <w:tcW w:w="1306" w:type="dxa"/>
                </w:tcPr>
                <w:p w14:paraId="27454631" w14:textId="77777777" w:rsidR="001232DB" w:rsidRPr="00E03CE0" w:rsidRDefault="001232DB" w:rsidP="00077A36">
                  <w:pPr>
                    <w:rPr>
                      <w:rFonts w:ascii="Times New Roman" w:hAnsi="Times New Roman" w:cs="Times New Roman"/>
                      <w:bCs/>
                      <w:sz w:val="20"/>
                      <w:szCs w:val="20"/>
                    </w:rPr>
                  </w:pPr>
                </w:p>
              </w:tc>
            </w:tr>
            <w:tr w:rsidR="004049C0" w:rsidRPr="00E03CE0" w14:paraId="19847AF3" w14:textId="77777777" w:rsidTr="00077A36">
              <w:tc>
                <w:tcPr>
                  <w:tcW w:w="2613" w:type="dxa"/>
                </w:tcPr>
                <w:p w14:paraId="249F6A94" w14:textId="77777777" w:rsidR="001232DB" w:rsidRPr="00E03CE0" w:rsidRDefault="001232DB" w:rsidP="00077A36">
                  <w:pPr>
                    <w:rPr>
                      <w:rFonts w:ascii="Times New Roman" w:hAnsi="Times New Roman" w:cs="Times New Roman"/>
                      <w:bCs/>
                      <w:sz w:val="20"/>
                      <w:szCs w:val="20"/>
                    </w:rPr>
                  </w:pPr>
                </w:p>
              </w:tc>
              <w:tc>
                <w:tcPr>
                  <w:tcW w:w="5225" w:type="dxa"/>
                  <w:gridSpan w:val="4"/>
                  <w:tcBorders>
                    <w:top w:val="single" w:sz="4" w:space="0" w:color="auto"/>
                    <w:bottom w:val="single" w:sz="4" w:space="0" w:color="auto"/>
                  </w:tcBorders>
                </w:tcPr>
                <w:p w14:paraId="12C8869C"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Percentage </w:t>
                  </w:r>
                </w:p>
              </w:tc>
              <w:tc>
                <w:tcPr>
                  <w:tcW w:w="1306" w:type="dxa"/>
                </w:tcPr>
                <w:p w14:paraId="31E0D628" w14:textId="77777777" w:rsidR="001232DB" w:rsidRPr="00E03CE0" w:rsidRDefault="001232DB" w:rsidP="00077A36">
                  <w:pPr>
                    <w:jc w:val="center"/>
                    <w:rPr>
                      <w:rFonts w:ascii="Times New Roman" w:hAnsi="Times New Roman" w:cs="Times New Roman"/>
                      <w:bCs/>
                      <w:sz w:val="20"/>
                      <w:szCs w:val="20"/>
                    </w:rPr>
                  </w:pPr>
                </w:p>
              </w:tc>
            </w:tr>
            <w:tr w:rsidR="004049C0" w:rsidRPr="00E03CE0" w14:paraId="724E9A57" w14:textId="77777777" w:rsidTr="00077A36">
              <w:tc>
                <w:tcPr>
                  <w:tcW w:w="2613" w:type="dxa"/>
                </w:tcPr>
                <w:p w14:paraId="0A6D7B85"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Under-skilled applicants</w:t>
                  </w:r>
                </w:p>
              </w:tc>
              <w:tc>
                <w:tcPr>
                  <w:tcW w:w="1307" w:type="dxa"/>
                  <w:tcBorders>
                    <w:top w:val="single" w:sz="4" w:space="0" w:color="auto"/>
                  </w:tcBorders>
                </w:tcPr>
                <w:p w14:paraId="25285C7C"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60.8</w:t>
                  </w:r>
                </w:p>
              </w:tc>
              <w:tc>
                <w:tcPr>
                  <w:tcW w:w="1306" w:type="dxa"/>
                  <w:tcBorders>
                    <w:top w:val="single" w:sz="4" w:space="0" w:color="auto"/>
                  </w:tcBorders>
                </w:tcPr>
                <w:p w14:paraId="1870B93F"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61.2</w:t>
                  </w:r>
                </w:p>
              </w:tc>
              <w:tc>
                <w:tcPr>
                  <w:tcW w:w="1306" w:type="dxa"/>
                  <w:tcBorders>
                    <w:top w:val="single" w:sz="4" w:space="0" w:color="auto"/>
                  </w:tcBorders>
                </w:tcPr>
                <w:p w14:paraId="377F6234"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64.7</w:t>
                  </w:r>
                </w:p>
              </w:tc>
              <w:tc>
                <w:tcPr>
                  <w:tcW w:w="1306" w:type="dxa"/>
                  <w:tcBorders>
                    <w:top w:val="single" w:sz="4" w:space="0" w:color="auto"/>
                  </w:tcBorders>
                </w:tcPr>
                <w:p w14:paraId="2CE74733"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63.1</w:t>
                  </w:r>
                </w:p>
              </w:tc>
              <w:tc>
                <w:tcPr>
                  <w:tcW w:w="1306" w:type="dxa"/>
                </w:tcPr>
                <w:p w14:paraId="3FA32EFE"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0.288</w:t>
                  </w:r>
                </w:p>
              </w:tc>
            </w:tr>
            <w:tr w:rsidR="004049C0" w:rsidRPr="00E03CE0" w14:paraId="65FB829C" w14:textId="77777777" w:rsidTr="00077A36">
              <w:tc>
                <w:tcPr>
                  <w:tcW w:w="2613" w:type="dxa"/>
                </w:tcPr>
                <w:p w14:paraId="4C83F42A"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Occupational skills gap</w:t>
                  </w:r>
                </w:p>
              </w:tc>
              <w:tc>
                <w:tcPr>
                  <w:tcW w:w="1307" w:type="dxa"/>
                </w:tcPr>
                <w:p w14:paraId="7D3AD322" w14:textId="77777777" w:rsidR="001232DB" w:rsidRPr="00E03CE0" w:rsidRDefault="001232DB" w:rsidP="00077A36">
                  <w:pPr>
                    <w:rPr>
                      <w:rFonts w:ascii="Times New Roman" w:hAnsi="Times New Roman" w:cs="Times New Roman"/>
                      <w:bCs/>
                      <w:sz w:val="20"/>
                      <w:szCs w:val="20"/>
                    </w:rPr>
                  </w:pPr>
                </w:p>
              </w:tc>
              <w:tc>
                <w:tcPr>
                  <w:tcW w:w="1306" w:type="dxa"/>
                </w:tcPr>
                <w:p w14:paraId="54C2C46C" w14:textId="77777777" w:rsidR="001232DB" w:rsidRPr="00E03CE0" w:rsidRDefault="001232DB" w:rsidP="00077A36">
                  <w:pPr>
                    <w:rPr>
                      <w:rFonts w:ascii="Times New Roman" w:hAnsi="Times New Roman" w:cs="Times New Roman"/>
                      <w:bCs/>
                      <w:sz w:val="20"/>
                      <w:szCs w:val="20"/>
                    </w:rPr>
                  </w:pPr>
                </w:p>
              </w:tc>
              <w:tc>
                <w:tcPr>
                  <w:tcW w:w="1306" w:type="dxa"/>
                </w:tcPr>
                <w:p w14:paraId="4EF653DA" w14:textId="77777777" w:rsidR="001232DB" w:rsidRPr="00E03CE0" w:rsidRDefault="001232DB" w:rsidP="00077A36">
                  <w:pPr>
                    <w:rPr>
                      <w:rFonts w:ascii="Times New Roman" w:hAnsi="Times New Roman" w:cs="Times New Roman"/>
                      <w:bCs/>
                      <w:sz w:val="20"/>
                      <w:szCs w:val="20"/>
                    </w:rPr>
                  </w:pPr>
                </w:p>
              </w:tc>
              <w:tc>
                <w:tcPr>
                  <w:tcW w:w="1306" w:type="dxa"/>
                </w:tcPr>
                <w:p w14:paraId="5AFBAC42" w14:textId="77777777" w:rsidR="001232DB" w:rsidRPr="00E03CE0" w:rsidRDefault="001232DB" w:rsidP="00077A36">
                  <w:pPr>
                    <w:rPr>
                      <w:rFonts w:ascii="Times New Roman" w:hAnsi="Times New Roman" w:cs="Times New Roman"/>
                      <w:bCs/>
                      <w:sz w:val="20"/>
                      <w:szCs w:val="20"/>
                    </w:rPr>
                  </w:pPr>
                </w:p>
              </w:tc>
              <w:tc>
                <w:tcPr>
                  <w:tcW w:w="1306" w:type="dxa"/>
                </w:tcPr>
                <w:p w14:paraId="040C468F"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0.514</w:t>
                  </w:r>
                </w:p>
              </w:tc>
            </w:tr>
            <w:tr w:rsidR="004049C0" w:rsidRPr="00E03CE0" w14:paraId="4AAB9504" w14:textId="77777777" w:rsidTr="00077A36">
              <w:tc>
                <w:tcPr>
                  <w:tcW w:w="2613" w:type="dxa"/>
                </w:tcPr>
                <w:p w14:paraId="7CCE9061"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No gap or not hiring</w:t>
                  </w:r>
                </w:p>
              </w:tc>
              <w:tc>
                <w:tcPr>
                  <w:tcW w:w="1307" w:type="dxa"/>
                </w:tcPr>
                <w:p w14:paraId="1B85E728"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39.2</w:t>
                  </w:r>
                </w:p>
              </w:tc>
              <w:tc>
                <w:tcPr>
                  <w:tcW w:w="1306" w:type="dxa"/>
                </w:tcPr>
                <w:p w14:paraId="7B019E34"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38.8</w:t>
                  </w:r>
                </w:p>
              </w:tc>
              <w:tc>
                <w:tcPr>
                  <w:tcW w:w="1306" w:type="dxa"/>
                </w:tcPr>
                <w:p w14:paraId="081F2555"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35.3</w:t>
                  </w:r>
                </w:p>
              </w:tc>
              <w:tc>
                <w:tcPr>
                  <w:tcW w:w="1306" w:type="dxa"/>
                </w:tcPr>
                <w:p w14:paraId="2DE7EBD9"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36.9</w:t>
                  </w:r>
                </w:p>
              </w:tc>
              <w:tc>
                <w:tcPr>
                  <w:tcW w:w="1306" w:type="dxa"/>
                </w:tcPr>
                <w:p w14:paraId="354F9FA0" w14:textId="77777777" w:rsidR="001232DB" w:rsidRPr="00E03CE0" w:rsidRDefault="001232DB" w:rsidP="00077A36">
                  <w:pPr>
                    <w:rPr>
                      <w:rFonts w:ascii="Times New Roman" w:hAnsi="Times New Roman" w:cs="Times New Roman"/>
                      <w:bCs/>
                      <w:sz w:val="20"/>
                      <w:szCs w:val="20"/>
                    </w:rPr>
                  </w:pPr>
                </w:p>
              </w:tc>
            </w:tr>
            <w:tr w:rsidR="004049C0" w:rsidRPr="00E03CE0" w14:paraId="588238BE" w14:textId="77777777" w:rsidTr="00077A36">
              <w:tc>
                <w:tcPr>
                  <w:tcW w:w="2613" w:type="dxa"/>
                </w:tcPr>
                <w:p w14:paraId="338096C4"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Skills gap in 1 position</w:t>
                  </w:r>
                </w:p>
              </w:tc>
              <w:tc>
                <w:tcPr>
                  <w:tcW w:w="1307" w:type="dxa"/>
                </w:tcPr>
                <w:p w14:paraId="6724AEA6"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39.0</w:t>
                  </w:r>
                </w:p>
              </w:tc>
              <w:tc>
                <w:tcPr>
                  <w:tcW w:w="1306" w:type="dxa"/>
                </w:tcPr>
                <w:p w14:paraId="054D0128"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34.7</w:t>
                  </w:r>
                </w:p>
              </w:tc>
              <w:tc>
                <w:tcPr>
                  <w:tcW w:w="1306" w:type="dxa"/>
                </w:tcPr>
                <w:p w14:paraId="76320FC1"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43.7</w:t>
                  </w:r>
                </w:p>
              </w:tc>
              <w:tc>
                <w:tcPr>
                  <w:tcW w:w="1306" w:type="dxa"/>
                </w:tcPr>
                <w:p w14:paraId="7993501A"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40.3</w:t>
                  </w:r>
                </w:p>
              </w:tc>
              <w:tc>
                <w:tcPr>
                  <w:tcW w:w="1306" w:type="dxa"/>
                </w:tcPr>
                <w:p w14:paraId="2374F25A" w14:textId="77777777" w:rsidR="001232DB" w:rsidRPr="00E03CE0" w:rsidRDefault="001232DB" w:rsidP="00077A36">
                  <w:pPr>
                    <w:rPr>
                      <w:rFonts w:ascii="Times New Roman" w:hAnsi="Times New Roman" w:cs="Times New Roman"/>
                      <w:bCs/>
                      <w:sz w:val="20"/>
                      <w:szCs w:val="20"/>
                    </w:rPr>
                  </w:pPr>
                </w:p>
              </w:tc>
            </w:tr>
            <w:tr w:rsidR="004049C0" w:rsidRPr="00E03CE0" w14:paraId="05AB7FA5" w14:textId="77777777" w:rsidTr="00077A36">
              <w:tc>
                <w:tcPr>
                  <w:tcW w:w="2613" w:type="dxa"/>
                </w:tcPr>
                <w:p w14:paraId="16C7A6E5"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lastRenderedPageBreak/>
                    <w:t xml:space="preserve">      Skills gaps in 2+ positions</w:t>
                  </w:r>
                </w:p>
              </w:tc>
              <w:tc>
                <w:tcPr>
                  <w:tcW w:w="1307" w:type="dxa"/>
                </w:tcPr>
                <w:p w14:paraId="045A58D1"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21.8</w:t>
                  </w:r>
                </w:p>
              </w:tc>
              <w:tc>
                <w:tcPr>
                  <w:tcW w:w="1306" w:type="dxa"/>
                </w:tcPr>
                <w:p w14:paraId="190DF131"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26.5</w:t>
                  </w:r>
                </w:p>
              </w:tc>
              <w:tc>
                <w:tcPr>
                  <w:tcW w:w="1306" w:type="dxa"/>
                </w:tcPr>
                <w:p w14:paraId="46EA9F2B"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21.0</w:t>
                  </w:r>
                </w:p>
              </w:tc>
              <w:tc>
                <w:tcPr>
                  <w:tcW w:w="1306" w:type="dxa"/>
                </w:tcPr>
                <w:p w14:paraId="31E92191"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22.8</w:t>
                  </w:r>
                </w:p>
              </w:tc>
              <w:tc>
                <w:tcPr>
                  <w:tcW w:w="1306" w:type="dxa"/>
                </w:tcPr>
                <w:p w14:paraId="57B9958F" w14:textId="77777777" w:rsidR="001232DB" w:rsidRPr="00E03CE0" w:rsidRDefault="001232DB" w:rsidP="00077A36">
                  <w:pPr>
                    <w:rPr>
                      <w:rFonts w:ascii="Times New Roman" w:hAnsi="Times New Roman" w:cs="Times New Roman"/>
                      <w:bCs/>
                      <w:sz w:val="20"/>
                      <w:szCs w:val="20"/>
                    </w:rPr>
                  </w:pPr>
                </w:p>
              </w:tc>
            </w:tr>
            <w:tr w:rsidR="004049C0" w:rsidRPr="00E03CE0" w14:paraId="63032185" w14:textId="77777777" w:rsidTr="00077A36">
              <w:tc>
                <w:tcPr>
                  <w:tcW w:w="2613" w:type="dxa"/>
                </w:tcPr>
                <w:p w14:paraId="1F4C979D"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Firm size</w:t>
                  </w:r>
                </w:p>
              </w:tc>
              <w:tc>
                <w:tcPr>
                  <w:tcW w:w="1307" w:type="dxa"/>
                </w:tcPr>
                <w:p w14:paraId="58611E20" w14:textId="77777777" w:rsidR="001232DB" w:rsidRPr="00E03CE0" w:rsidRDefault="001232DB" w:rsidP="00077A36">
                  <w:pPr>
                    <w:rPr>
                      <w:rFonts w:ascii="Times New Roman" w:hAnsi="Times New Roman" w:cs="Times New Roman"/>
                      <w:bCs/>
                      <w:sz w:val="20"/>
                      <w:szCs w:val="20"/>
                    </w:rPr>
                  </w:pPr>
                </w:p>
              </w:tc>
              <w:tc>
                <w:tcPr>
                  <w:tcW w:w="1306" w:type="dxa"/>
                </w:tcPr>
                <w:p w14:paraId="20CDA564" w14:textId="77777777" w:rsidR="001232DB" w:rsidRPr="00E03CE0" w:rsidRDefault="001232DB" w:rsidP="00077A36">
                  <w:pPr>
                    <w:rPr>
                      <w:rFonts w:ascii="Times New Roman" w:hAnsi="Times New Roman" w:cs="Times New Roman"/>
                      <w:bCs/>
                      <w:sz w:val="20"/>
                      <w:szCs w:val="20"/>
                    </w:rPr>
                  </w:pPr>
                </w:p>
              </w:tc>
              <w:tc>
                <w:tcPr>
                  <w:tcW w:w="1306" w:type="dxa"/>
                </w:tcPr>
                <w:p w14:paraId="0C4EB929" w14:textId="77777777" w:rsidR="001232DB" w:rsidRPr="00E03CE0" w:rsidRDefault="001232DB" w:rsidP="00077A36">
                  <w:pPr>
                    <w:rPr>
                      <w:rFonts w:ascii="Times New Roman" w:hAnsi="Times New Roman" w:cs="Times New Roman"/>
                      <w:bCs/>
                      <w:sz w:val="20"/>
                      <w:szCs w:val="20"/>
                    </w:rPr>
                  </w:pPr>
                </w:p>
              </w:tc>
              <w:tc>
                <w:tcPr>
                  <w:tcW w:w="1306" w:type="dxa"/>
                </w:tcPr>
                <w:p w14:paraId="4322067A" w14:textId="77777777" w:rsidR="001232DB" w:rsidRPr="00E03CE0" w:rsidRDefault="001232DB" w:rsidP="00077A36">
                  <w:pPr>
                    <w:rPr>
                      <w:rFonts w:ascii="Times New Roman" w:hAnsi="Times New Roman" w:cs="Times New Roman"/>
                      <w:bCs/>
                      <w:sz w:val="20"/>
                      <w:szCs w:val="20"/>
                    </w:rPr>
                  </w:pPr>
                </w:p>
              </w:tc>
              <w:tc>
                <w:tcPr>
                  <w:tcW w:w="1306" w:type="dxa"/>
                </w:tcPr>
                <w:p w14:paraId="0B5F5316"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&lt;0.001</w:t>
                  </w:r>
                </w:p>
              </w:tc>
            </w:tr>
            <w:tr w:rsidR="004049C0" w:rsidRPr="00E03CE0" w14:paraId="0C06C854" w14:textId="77777777" w:rsidTr="00077A36">
              <w:tc>
                <w:tcPr>
                  <w:tcW w:w="2613" w:type="dxa"/>
                </w:tcPr>
                <w:p w14:paraId="0A29E3CE"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Small: 5-19 workers</w:t>
                  </w:r>
                </w:p>
              </w:tc>
              <w:tc>
                <w:tcPr>
                  <w:tcW w:w="1307" w:type="dxa"/>
                </w:tcPr>
                <w:p w14:paraId="04150C50"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43.9</w:t>
                  </w:r>
                </w:p>
              </w:tc>
              <w:tc>
                <w:tcPr>
                  <w:tcW w:w="1306" w:type="dxa"/>
                </w:tcPr>
                <w:p w14:paraId="36860E90"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72.4</w:t>
                  </w:r>
                </w:p>
              </w:tc>
              <w:tc>
                <w:tcPr>
                  <w:tcW w:w="1306" w:type="dxa"/>
                </w:tcPr>
                <w:p w14:paraId="4FE97850"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73.7</w:t>
                  </w:r>
                </w:p>
              </w:tc>
              <w:tc>
                <w:tcPr>
                  <w:tcW w:w="1306" w:type="dxa"/>
                </w:tcPr>
                <w:p w14:paraId="4AB97246"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68.4</w:t>
                  </w:r>
                </w:p>
              </w:tc>
              <w:tc>
                <w:tcPr>
                  <w:tcW w:w="1306" w:type="dxa"/>
                </w:tcPr>
                <w:p w14:paraId="4761BFC5" w14:textId="77777777" w:rsidR="001232DB" w:rsidRPr="00E03CE0" w:rsidRDefault="001232DB" w:rsidP="00077A36">
                  <w:pPr>
                    <w:rPr>
                      <w:rFonts w:ascii="Times New Roman" w:hAnsi="Times New Roman" w:cs="Times New Roman"/>
                      <w:bCs/>
                      <w:sz w:val="20"/>
                      <w:szCs w:val="20"/>
                    </w:rPr>
                  </w:pPr>
                </w:p>
              </w:tc>
            </w:tr>
            <w:tr w:rsidR="004049C0" w:rsidRPr="00E03CE0" w14:paraId="4EE24883" w14:textId="77777777" w:rsidTr="00077A36">
              <w:tc>
                <w:tcPr>
                  <w:tcW w:w="2613" w:type="dxa"/>
                </w:tcPr>
                <w:p w14:paraId="7B3FF73C"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Medium: 20-99 workers</w:t>
                  </w:r>
                </w:p>
              </w:tc>
              <w:tc>
                <w:tcPr>
                  <w:tcW w:w="1307" w:type="dxa"/>
                </w:tcPr>
                <w:p w14:paraId="5FFCA5E4"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37.0</w:t>
                  </w:r>
                </w:p>
              </w:tc>
              <w:tc>
                <w:tcPr>
                  <w:tcW w:w="1306" w:type="dxa"/>
                </w:tcPr>
                <w:p w14:paraId="7A7507A6"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25.7</w:t>
                  </w:r>
                </w:p>
              </w:tc>
              <w:tc>
                <w:tcPr>
                  <w:tcW w:w="1306" w:type="dxa"/>
                </w:tcPr>
                <w:p w14:paraId="76B353C0"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22.5</w:t>
                  </w:r>
                </w:p>
              </w:tc>
              <w:tc>
                <w:tcPr>
                  <w:tcW w:w="1306" w:type="dxa"/>
                </w:tcPr>
                <w:p w14:paraId="58A0F50B"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25.8</w:t>
                  </w:r>
                </w:p>
              </w:tc>
              <w:tc>
                <w:tcPr>
                  <w:tcW w:w="1306" w:type="dxa"/>
                </w:tcPr>
                <w:p w14:paraId="31E5906C" w14:textId="77777777" w:rsidR="001232DB" w:rsidRPr="00E03CE0" w:rsidRDefault="001232DB" w:rsidP="00077A36">
                  <w:pPr>
                    <w:rPr>
                      <w:rFonts w:ascii="Times New Roman" w:hAnsi="Times New Roman" w:cs="Times New Roman"/>
                      <w:bCs/>
                      <w:sz w:val="20"/>
                      <w:szCs w:val="20"/>
                    </w:rPr>
                  </w:pPr>
                </w:p>
              </w:tc>
            </w:tr>
            <w:tr w:rsidR="004049C0" w:rsidRPr="00E03CE0" w14:paraId="32670D78" w14:textId="77777777" w:rsidTr="00077A36">
              <w:tc>
                <w:tcPr>
                  <w:tcW w:w="2613" w:type="dxa"/>
                </w:tcPr>
                <w:p w14:paraId="5A04BC27"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 xml:space="preserve">      Large: 100+ workers</w:t>
                  </w:r>
                </w:p>
              </w:tc>
              <w:tc>
                <w:tcPr>
                  <w:tcW w:w="1307" w:type="dxa"/>
                </w:tcPr>
                <w:p w14:paraId="02B319F6"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19.1</w:t>
                  </w:r>
                </w:p>
              </w:tc>
              <w:tc>
                <w:tcPr>
                  <w:tcW w:w="1306" w:type="dxa"/>
                </w:tcPr>
                <w:p w14:paraId="2BF79429"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1.9</w:t>
                  </w:r>
                </w:p>
              </w:tc>
              <w:tc>
                <w:tcPr>
                  <w:tcW w:w="1306" w:type="dxa"/>
                </w:tcPr>
                <w:p w14:paraId="53FBBFAA"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3.8</w:t>
                  </w:r>
                </w:p>
              </w:tc>
              <w:tc>
                <w:tcPr>
                  <w:tcW w:w="1306" w:type="dxa"/>
                </w:tcPr>
                <w:p w14:paraId="7BF4B445"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5.7</w:t>
                  </w:r>
                </w:p>
              </w:tc>
              <w:tc>
                <w:tcPr>
                  <w:tcW w:w="1306" w:type="dxa"/>
                </w:tcPr>
                <w:p w14:paraId="75B4C143" w14:textId="77777777" w:rsidR="001232DB" w:rsidRPr="00E03CE0" w:rsidRDefault="001232DB" w:rsidP="00077A36">
                  <w:pPr>
                    <w:rPr>
                      <w:rFonts w:ascii="Times New Roman" w:hAnsi="Times New Roman" w:cs="Times New Roman"/>
                      <w:bCs/>
                      <w:sz w:val="20"/>
                      <w:szCs w:val="20"/>
                    </w:rPr>
                  </w:pPr>
                </w:p>
              </w:tc>
            </w:tr>
            <w:tr w:rsidR="004049C0" w:rsidRPr="00E03CE0" w14:paraId="4BDFFFB9" w14:textId="77777777" w:rsidTr="00077A36">
              <w:tc>
                <w:tcPr>
                  <w:tcW w:w="2613" w:type="dxa"/>
                </w:tcPr>
                <w:p w14:paraId="367C7E40"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Type-A worker education</w:t>
                  </w:r>
                </w:p>
              </w:tc>
              <w:tc>
                <w:tcPr>
                  <w:tcW w:w="1307" w:type="dxa"/>
                </w:tcPr>
                <w:p w14:paraId="610425EE"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66.8</w:t>
                  </w:r>
                </w:p>
              </w:tc>
              <w:tc>
                <w:tcPr>
                  <w:tcW w:w="1306" w:type="dxa"/>
                </w:tcPr>
                <w:p w14:paraId="772FFCA4"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65.2</w:t>
                  </w:r>
                </w:p>
              </w:tc>
              <w:tc>
                <w:tcPr>
                  <w:tcW w:w="1306" w:type="dxa"/>
                </w:tcPr>
                <w:p w14:paraId="06FC0FF9"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66.0</w:t>
                  </w:r>
                </w:p>
              </w:tc>
              <w:tc>
                <w:tcPr>
                  <w:tcW w:w="1306" w:type="dxa"/>
                </w:tcPr>
                <w:p w14:paraId="0EFD889F"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65.9</w:t>
                  </w:r>
                </w:p>
              </w:tc>
              <w:tc>
                <w:tcPr>
                  <w:tcW w:w="1306" w:type="dxa"/>
                </w:tcPr>
                <w:p w14:paraId="2F6EE1FA"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0.493</w:t>
                  </w:r>
                </w:p>
              </w:tc>
            </w:tr>
            <w:tr w:rsidR="004049C0" w:rsidRPr="00E03CE0" w14:paraId="1A45A6F2" w14:textId="77777777" w:rsidTr="00077A36">
              <w:tc>
                <w:tcPr>
                  <w:tcW w:w="2613" w:type="dxa"/>
                </w:tcPr>
                <w:p w14:paraId="6B62361E"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Type-B worker education</w:t>
                  </w:r>
                </w:p>
              </w:tc>
              <w:tc>
                <w:tcPr>
                  <w:tcW w:w="1307" w:type="dxa"/>
                </w:tcPr>
                <w:p w14:paraId="31C31BE7"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19.9</w:t>
                  </w:r>
                </w:p>
              </w:tc>
              <w:tc>
                <w:tcPr>
                  <w:tcW w:w="1306" w:type="dxa"/>
                </w:tcPr>
                <w:p w14:paraId="25124243"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18.8</w:t>
                  </w:r>
                </w:p>
              </w:tc>
              <w:tc>
                <w:tcPr>
                  <w:tcW w:w="1306" w:type="dxa"/>
                </w:tcPr>
                <w:p w14:paraId="4884D9E8"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27.5</w:t>
                  </w:r>
                </w:p>
              </w:tc>
              <w:tc>
                <w:tcPr>
                  <w:tcW w:w="1306" w:type="dxa"/>
                </w:tcPr>
                <w:p w14:paraId="2BA883C2"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23.6</w:t>
                  </w:r>
                </w:p>
              </w:tc>
              <w:tc>
                <w:tcPr>
                  <w:tcW w:w="1306" w:type="dxa"/>
                </w:tcPr>
                <w:p w14:paraId="7AD36138"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0.752</w:t>
                  </w:r>
                </w:p>
              </w:tc>
            </w:tr>
            <w:tr w:rsidR="004049C0" w:rsidRPr="00E03CE0" w14:paraId="553FB33F" w14:textId="77777777" w:rsidTr="00077A36">
              <w:tc>
                <w:tcPr>
                  <w:tcW w:w="2613" w:type="dxa"/>
                </w:tcPr>
                <w:p w14:paraId="7D22404B"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Type-A worker training</w:t>
                  </w:r>
                </w:p>
              </w:tc>
              <w:tc>
                <w:tcPr>
                  <w:tcW w:w="1307" w:type="dxa"/>
                </w:tcPr>
                <w:p w14:paraId="260967CC"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17.0</w:t>
                  </w:r>
                </w:p>
              </w:tc>
              <w:tc>
                <w:tcPr>
                  <w:tcW w:w="1306" w:type="dxa"/>
                </w:tcPr>
                <w:p w14:paraId="51DFBBF9"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12.2</w:t>
                  </w:r>
                </w:p>
              </w:tc>
              <w:tc>
                <w:tcPr>
                  <w:tcW w:w="1306" w:type="dxa"/>
                </w:tcPr>
                <w:p w14:paraId="0F3B2883"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7.3</w:t>
                  </w:r>
                </w:p>
              </w:tc>
              <w:tc>
                <w:tcPr>
                  <w:tcW w:w="1306" w:type="dxa"/>
                </w:tcPr>
                <w:p w14:paraId="6B8DD007"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10.2</w:t>
                  </w:r>
                </w:p>
              </w:tc>
              <w:tc>
                <w:tcPr>
                  <w:tcW w:w="1306" w:type="dxa"/>
                </w:tcPr>
                <w:p w14:paraId="3A727D5A"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0.074</w:t>
                  </w:r>
                </w:p>
              </w:tc>
            </w:tr>
            <w:tr w:rsidR="004049C0" w:rsidRPr="00E03CE0" w14:paraId="1201CD26" w14:textId="77777777" w:rsidTr="00077A36">
              <w:tc>
                <w:tcPr>
                  <w:tcW w:w="2613" w:type="dxa"/>
                </w:tcPr>
                <w:p w14:paraId="07CC51A8"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Type-B worker training</w:t>
                  </w:r>
                </w:p>
              </w:tc>
              <w:tc>
                <w:tcPr>
                  <w:tcW w:w="1307" w:type="dxa"/>
                </w:tcPr>
                <w:p w14:paraId="44653E5F"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17.6</w:t>
                  </w:r>
                </w:p>
              </w:tc>
              <w:tc>
                <w:tcPr>
                  <w:tcW w:w="1306" w:type="dxa"/>
                </w:tcPr>
                <w:p w14:paraId="7B16A005"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2.1</w:t>
                  </w:r>
                </w:p>
              </w:tc>
              <w:tc>
                <w:tcPr>
                  <w:tcW w:w="1306" w:type="dxa"/>
                </w:tcPr>
                <w:p w14:paraId="2E05D408"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2.9</w:t>
                  </w:r>
                </w:p>
              </w:tc>
              <w:tc>
                <w:tcPr>
                  <w:tcW w:w="1306" w:type="dxa"/>
                </w:tcPr>
                <w:p w14:paraId="30A40642"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5.1</w:t>
                  </w:r>
                </w:p>
              </w:tc>
              <w:tc>
                <w:tcPr>
                  <w:tcW w:w="1306" w:type="dxa"/>
                </w:tcPr>
                <w:p w14:paraId="1F90D32B"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0.362</w:t>
                  </w:r>
                </w:p>
              </w:tc>
            </w:tr>
            <w:tr w:rsidR="004049C0" w:rsidRPr="00E03CE0" w14:paraId="0A6D1762" w14:textId="77777777" w:rsidTr="00077A36">
              <w:tc>
                <w:tcPr>
                  <w:tcW w:w="2613" w:type="dxa"/>
                </w:tcPr>
                <w:p w14:paraId="6A27EAF1"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Negotiable salaries</w:t>
                  </w:r>
                </w:p>
              </w:tc>
              <w:tc>
                <w:tcPr>
                  <w:tcW w:w="1307" w:type="dxa"/>
                </w:tcPr>
                <w:p w14:paraId="186D0BFA"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67.6</w:t>
                  </w:r>
                </w:p>
              </w:tc>
              <w:tc>
                <w:tcPr>
                  <w:tcW w:w="1306" w:type="dxa"/>
                </w:tcPr>
                <w:p w14:paraId="2A7122EE"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76.3</w:t>
                  </w:r>
                </w:p>
              </w:tc>
              <w:tc>
                <w:tcPr>
                  <w:tcW w:w="1306" w:type="dxa"/>
                </w:tcPr>
                <w:p w14:paraId="5155C546"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72.7</w:t>
                  </w:r>
                </w:p>
              </w:tc>
              <w:tc>
                <w:tcPr>
                  <w:tcW w:w="1306" w:type="dxa"/>
                </w:tcPr>
                <w:p w14:paraId="627DECD6"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73.1</w:t>
                  </w:r>
                </w:p>
              </w:tc>
              <w:tc>
                <w:tcPr>
                  <w:tcW w:w="1306" w:type="dxa"/>
                </w:tcPr>
                <w:p w14:paraId="13F3C8DA"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0.619</w:t>
                  </w:r>
                </w:p>
              </w:tc>
            </w:tr>
            <w:tr w:rsidR="004049C0" w:rsidRPr="00E03CE0" w14:paraId="1E986F5F" w14:textId="77777777" w:rsidTr="00077A36">
              <w:tc>
                <w:tcPr>
                  <w:tcW w:w="2613" w:type="dxa"/>
                </w:tcPr>
                <w:p w14:paraId="1626C952" w14:textId="77777777" w:rsidR="001232DB" w:rsidRPr="00E03CE0" w:rsidRDefault="001232DB" w:rsidP="00077A36">
                  <w:pPr>
                    <w:rPr>
                      <w:rFonts w:ascii="Times New Roman" w:hAnsi="Times New Roman" w:cs="Times New Roman"/>
                      <w:bCs/>
                      <w:sz w:val="20"/>
                      <w:szCs w:val="20"/>
                    </w:rPr>
                  </w:pPr>
                  <w:r w:rsidRPr="00E03CE0">
                    <w:rPr>
                      <w:rFonts w:ascii="Times New Roman" w:hAnsi="Times New Roman" w:cs="Times New Roman"/>
                      <w:bCs/>
                      <w:sz w:val="20"/>
                      <w:szCs w:val="20"/>
                    </w:rPr>
                    <w:t>Workforce expansion</w:t>
                  </w:r>
                </w:p>
              </w:tc>
              <w:tc>
                <w:tcPr>
                  <w:tcW w:w="1307" w:type="dxa"/>
                </w:tcPr>
                <w:p w14:paraId="69060389"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33.6</w:t>
                  </w:r>
                </w:p>
              </w:tc>
              <w:tc>
                <w:tcPr>
                  <w:tcW w:w="1306" w:type="dxa"/>
                </w:tcPr>
                <w:p w14:paraId="26C29A2E"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33.8</w:t>
                  </w:r>
                </w:p>
              </w:tc>
              <w:tc>
                <w:tcPr>
                  <w:tcW w:w="1306" w:type="dxa"/>
                </w:tcPr>
                <w:p w14:paraId="12A19069"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45.7</w:t>
                  </w:r>
                </w:p>
              </w:tc>
              <w:tc>
                <w:tcPr>
                  <w:tcW w:w="1306" w:type="dxa"/>
                </w:tcPr>
                <w:p w14:paraId="5B2DBA60"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40.1</w:t>
                  </w:r>
                </w:p>
              </w:tc>
              <w:tc>
                <w:tcPr>
                  <w:tcW w:w="1306" w:type="dxa"/>
                </w:tcPr>
                <w:p w14:paraId="0453D17E" w14:textId="77777777" w:rsidR="001232DB" w:rsidRPr="00E03CE0" w:rsidRDefault="001232DB" w:rsidP="00077A36">
                  <w:pPr>
                    <w:jc w:val="center"/>
                    <w:rPr>
                      <w:rFonts w:ascii="Times New Roman" w:hAnsi="Times New Roman" w:cs="Times New Roman"/>
                      <w:bCs/>
                      <w:sz w:val="20"/>
                      <w:szCs w:val="20"/>
                    </w:rPr>
                  </w:pPr>
                  <w:r w:rsidRPr="00E03CE0">
                    <w:rPr>
                      <w:rFonts w:ascii="Times New Roman" w:hAnsi="Times New Roman" w:cs="Times New Roman"/>
                      <w:bCs/>
                      <w:sz w:val="20"/>
                      <w:szCs w:val="20"/>
                    </w:rPr>
                    <w:t xml:space="preserve">    0.563</w:t>
                  </w:r>
                </w:p>
              </w:tc>
            </w:tr>
          </w:tbl>
          <w:p w14:paraId="58F54383" w14:textId="77777777" w:rsidR="001232DB" w:rsidRPr="00E03CE0" w:rsidRDefault="001232DB" w:rsidP="00077A36">
            <w:pPr>
              <w:rPr>
                <w:rFonts w:ascii="Times New Roman" w:hAnsi="Times New Roman" w:cs="Times New Roman"/>
                <w:sz w:val="20"/>
                <w:szCs w:val="20"/>
              </w:rPr>
            </w:pPr>
          </w:p>
        </w:tc>
      </w:tr>
    </w:tbl>
    <w:p w14:paraId="47371C99" w14:textId="6EA630E3" w:rsidR="00F46365" w:rsidRPr="0063363D" w:rsidRDefault="0063363D" w:rsidP="0063363D">
      <w:pPr>
        <w:jc w:val="both"/>
        <w:rPr>
          <w:rFonts w:ascii="Times New Roman" w:hAnsi="Times New Roman" w:cs="Times New Roman"/>
          <w:b/>
          <w:bCs/>
          <w:sz w:val="20"/>
          <w:szCs w:val="20"/>
        </w:rPr>
      </w:pPr>
      <w:r w:rsidRPr="0063363D">
        <w:rPr>
          <w:rFonts w:ascii="Times New Roman" w:hAnsi="Times New Roman" w:cs="Times New Roman"/>
          <w:sz w:val="20"/>
          <w:szCs w:val="20"/>
        </w:rPr>
        <w:lastRenderedPageBreak/>
        <w:t xml:space="preserve">See </w:t>
      </w:r>
      <w:r w:rsidRPr="0063363D">
        <w:rPr>
          <w:rFonts w:ascii="Times New Roman" w:hAnsi="Times New Roman" w:cs="Times New Roman"/>
          <w:sz w:val="20"/>
          <w:szCs w:val="20"/>
        </w:rPr>
        <w:fldChar w:fldCharType="begin"/>
      </w:r>
      <w:r w:rsidRPr="0063363D">
        <w:rPr>
          <w:rFonts w:ascii="Times New Roman" w:hAnsi="Times New Roman" w:cs="Times New Roman"/>
          <w:sz w:val="20"/>
          <w:szCs w:val="20"/>
        </w:rPr>
        <w:instrText xml:space="preserve"> REF _Ref161607287 \h </w:instrText>
      </w:r>
      <w:r w:rsidRPr="0063363D">
        <w:rPr>
          <w:rFonts w:ascii="Times New Roman" w:hAnsi="Times New Roman" w:cs="Times New Roman"/>
          <w:sz w:val="20"/>
          <w:szCs w:val="20"/>
        </w:rPr>
      </w:r>
      <w:r w:rsidRPr="0063363D">
        <w:rPr>
          <w:rFonts w:ascii="Times New Roman" w:hAnsi="Times New Roman" w:cs="Times New Roman"/>
          <w:sz w:val="20"/>
          <w:szCs w:val="20"/>
        </w:rPr>
        <w:instrText xml:space="preserve"> \* MERGEFORMAT </w:instrText>
      </w:r>
      <w:r w:rsidRPr="0063363D">
        <w:rPr>
          <w:rFonts w:ascii="Times New Roman" w:hAnsi="Times New Roman" w:cs="Times New Roman"/>
          <w:sz w:val="20"/>
          <w:szCs w:val="20"/>
        </w:rPr>
        <w:fldChar w:fldCharType="separate"/>
      </w:r>
      <w:r w:rsidRPr="0063363D">
        <w:rPr>
          <w:rFonts w:ascii="Times New Roman" w:hAnsi="Times New Roman" w:cs="Times New Roman"/>
          <w:b/>
          <w:bCs/>
          <w:sz w:val="20"/>
          <w:szCs w:val="20"/>
        </w:rPr>
        <w:t>APPENDIX</w:t>
      </w:r>
      <w:r w:rsidRPr="0063363D">
        <w:rPr>
          <w:rFonts w:ascii="Times New Roman" w:hAnsi="Times New Roman" w:cs="Times New Roman"/>
          <w:sz w:val="20"/>
          <w:szCs w:val="20"/>
        </w:rPr>
        <w:fldChar w:fldCharType="end"/>
      </w:r>
      <w:r w:rsidRPr="0063363D">
        <w:rPr>
          <w:rFonts w:ascii="Times New Roman" w:hAnsi="Times New Roman" w:cs="Times New Roman"/>
          <w:sz w:val="20"/>
          <w:szCs w:val="20"/>
        </w:rPr>
        <w:t xml:space="preserve"> for additional information.</w:t>
      </w:r>
    </w:p>
    <w:p w14:paraId="15DCE5B5" w14:textId="2A9FA73C" w:rsidR="00F315AF" w:rsidRPr="00E03CE0" w:rsidRDefault="00EB38E8" w:rsidP="001365F2">
      <w:pPr>
        <w:pStyle w:val="Heading3"/>
        <w:spacing w:line="240" w:lineRule="auto"/>
        <w:jc w:val="both"/>
        <w:rPr>
          <w:rFonts w:ascii="Times New Roman" w:hAnsi="Times New Roman" w:cs="Times New Roman"/>
          <w:b/>
          <w:bCs/>
          <w:color w:val="auto"/>
        </w:rPr>
      </w:pPr>
      <w:bookmarkStart w:id="15" w:name="_Toc162614824"/>
      <w:r w:rsidRPr="00E03CE0">
        <w:rPr>
          <w:rFonts w:ascii="Times New Roman" w:hAnsi="Times New Roman" w:cs="Times New Roman"/>
          <w:b/>
          <w:bCs/>
          <w:color w:val="auto"/>
        </w:rPr>
        <w:t>ESTIMATED MODEL</w:t>
      </w:r>
      <w:bookmarkEnd w:id="15"/>
    </w:p>
    <w:p w14:paraId="768B3C76" w14:textId="7AE4BD9B" w:rsidR="00163575" w:rsidRPr="00E03CE0" w:rsidRDefault="00E96B9D" w:rsidP="00BC6C7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We estimate</w:t>
      </w:r>
      <w:r w:rsidR="00463CB7" w:rsidRPr="00E03CE0">
        <w:rPr>
          <w:rFonts w:ascii="Times New Roman" w:hAnsi="Times New Roman" w:cs="Times New Roman"/>
          <w:sz w:val="24"/>
          <w:szCs w:val="24"/>
        </w:rPr>
        <w:t xml:space="preserve"> three RD models using three separate running variables. These running variables are centered, and are the following: number of within-firm employees, share of enterprises at the region-sector level which attracted under-skilled applicants, and workforce ratio at the firm size-sector-region level.</w:t>
      </w:r>
      <w:r w:rsidRPr="00E03CE0">
        <w:rPr>
          <w:rFonts w:ascii="Times New Roman" w:hAnsi="Times New Roman" w:cs="Times New Roman"/>
          <w:sz w:val="24"/>
          <w:szCs w:val="24"/>
        </w:rPr>
        <w:t xml:space="preserve"> RD results are presented in</w:t>
      </w:r>
      <w:r w:rsidR="00F44479" w:rsidRPr="00E03CE0">
        <w:rPr>
          <w:rFonts w:ascii="Times New Roman" w:hAnsi="Times New Roman" w:cs="Times New Roman"/>
          <w:sz w:val="24"/>
          <w:szCs w:val="24"/>
        </w:rPr>
        <w:t xml:space="preserve"> </w:t>
      </w:r>
      <w:r w:rsidR="00F44479" w:rsidRPr="00E03CE0">
        <w:rPr>
          <w:rFonts w:ascii="Times New Roman" w:hAnsi="Times New Roman" w:cs="Times New Roman"/>
          <w:sz w:val="24"/>
          <w:szCs w:val="24"/>
        </w:rPr>
        <w:fldChar w:fldCharType="begin"/>
      </w:r>
      <w:r w:rsidR="00F44479" w:rsidRPr="00E03CE0">
        <w:rPr>
          <w:rFonts w:ascii="Times New Roman" w:hAnsi="Times New Roman" w:cs="Times New Roman"/>
          <w:sz w:val="24"/>
          <w:szCs w:val="24"/>
        </w:rPr>
        <w:instrText xml:space="preserve"> REF _Ref195400959 \h </w:instrText>
      </w:r>
      <w:r w:rsidR="00D82D8A" w:rsidRPr="00E03CE0">
        <w:rPr>
          <w:rFonts w:ascii="Times New Roman" w:hAnsi="Times New Roman" w:cs="Times New Roman"/>
          <w:sz w:val="24"/>
          <w:szCs w:val="24"/>
        </w:rPr>
        <w:instrText xml:space="preserve"> \* MERGEFORMAT </w:instrText>
      </w:r>
      <w:r w:rsidR="00F44479" w:rsidRPr="00E03CE0">
        <w:rPr>
          <w:rFonts w:ascii="Times New Roman" w:hAnsi="Times New Roman" w:cs="Times New Roman"/>
          <w:sz w:val="24"/>
          <w:szCs w:val="24"/>
        </w:rPr>
      </w:r>
      <w:r w:rsidR="00F44479" w:rsidRPr="00E03CE0">
        <w:rPr>
          <w:rFonts w:ascii="Times New Roman" w:hAnsi="Times New Roman" w:cs="Times New Roman"/>
          <w:sz w:val="24"/>
          <w:szCs w:val="24"/>
        </w:rPr>
        <w:fldChar w:fldCharType="separate"/>
      </w:r>
      <w:r w:rsidR="00C941FE" w:rsidRPr="00E03CE0">
        <w:rPr>
          <w:rFonts w:ascii="Times New Roman" w:hAnsi="Times New Roman" w:cs="Times New Roman"/>
          <w:sz w:val="18"/>
          <w:szCs w:val="18"/>
        </w:rPr>
        <w:t xml:space="preserve">Table </w:t>
      </w:r>
      <w:r w:rsidR="00C941FE" w:rsidRPr="00E03CE0">
        <w:rPr>
          <w:rFonts w:ascii="Times New Roman" w:hAnsi="Times New Roman" w:cs="Times New Roman"/>
          <w:noProof/>
        </w:rPr>
        <w:t>2</w:t>
      </w:r>
      <w:r w:rsidR="00F44479" w:rsidRPr="00E03CE0">
        <w:rPr>
          <w:rFonts w:ascii="Times New Roman" w:hAnsi="Times New Roman" w:cs="Times New Roman"/>
          <w:sz w:val="24"/>
          <w:szCs w:val="24"/>
        </w:rPr>
        <w:fldChar w:fldCharType="end"/>
      </w:r>
      <w:r w:rsidRPr="00E03CE0">
        <w:rPr>
          <w:rFonts w:ascii="Times New Roman" w:hAnsi="Times New Roman" w:cs="Times New Roman"/>
          <w:sz w:val="24"/>
          <w:szCs w:val="24"/>
        </w:rPr>
        <w:t>.</w:t>
      </w:r>
      <w:r w:rsidR="00D37C60" w:rsidRPr="00E03CE0">
        <w:rPr>
          <w:rFonts w:ascii="Times New Roman" w:hAnsi="Times New Roman" w:cs="Times New Roman"/>
          <w:sz w:val="24"/>
          <w:szCs w:val="24"/>
        </w:rPr>
        <w:t xml:space="preserve"> </w:t>
      </w:r>
      <w:r w:rsidR="00AD1BE8" w:rsidRPr="00E03CE0">
        <w:rPr>
          <w:rFonts w:ascii="Times New Roman" w:hAnsi="Times New Roman" w:cs="Times New Roman"/>
          <w:sz w:val="24"/>
          <w:szCs w:val="24"/>
        </w:rPr>
        <w:t>The estimated local average treatment effect (LATE) suggests that enterprises with a workforce larger than the average within the respective sector-region group were 21.2% more likely to attract under-skilled job applicants compared to enterprises below the threshold. Among groups with average share of firms attracting under-skilled job applicants above the national threshold, focal firms were 32.6% less likely to attract under-skilled job applicants relative to counterpart firms below the threshold. Expansion of the workforce insignificantly mattered.</w:t>
      </w:r>
      <w:r w:rsidR="00163575" w:rsidRPr="00E03CE0">
        <w:rPr>
          <w:rFonts w:ascii="Times New Roman" w:hAnsi="Times New Roman" w:cs="Times New Roman"/>
          <w:sz w:val="24"/>
          <w:szCs w:val="24"/>
        </w:rPr>
        <w:t xml:space="preserve"> Reported LATE estimates are reliable since the treatment effect derivative, which is not reported, was not statistically different from zero.</w:t>
      </w:r>
      <w:r w:rsidR="00C941FE" w:rsidRPr="00E03CE0">
        <w:rPr>
          <w:rFonts w:ascii="Times New Roman" w:hAnsi="Times New Roman" w:cs="Times New Roman"/>
          <w:sz w:val="24"/>
          <w:szCs w:val="24"/>
        </w:rPr>
        <w:t xml:space="preserve"> A key implication of these findings is that, since under-skilling is given, specific incentives could be given to enterprises to address skills gap. These incentives</w:t>
      </w:r>
      <w:r w:rsidR="00563FA9" w:rsidRPr="00E03CE0">
        <w:rPr>
          <w:rFonts w:ascii="Times New Roman" w:hAnsi="Times New Roman" w:cs="Times New Roman"/>
          <w:sz w:val="24"/>
          <w:szCs w:val="24"/>
        </w:rPr>
        <w:t xml:space="preserve"> could</w:t>
      </w:r>
      <w:r w:rsidR="00C941FE" w:rsidRPr="00E03CE0">
        <w:rPr>
          <w:rFonts w:ascii="Times New Roman" w:hAnsi="Times New Roman" w:cs="Times New Roman"/>
          <w:sz w:val="24"/>
          <w:szCs w:val="24"/>
        </w:rPr>
        <w:t xml:space="preserve"> include </w:t>
      </w:r>
      <w:r w:rsidR="00563FA9" w:rsidRPr="00E03CE0">
        <w:rPr>
          <w:rFonts w:ascii="Times New Roman" w:hAnsi="Times New Roman" w:cs="Times New Roman"/>
          <w:sz w:val="24"/>
          <w:szCs w:val="24"/>
        </w:rPr>
        <w:t xml:space="preserve">wage subsidies for within-firm worker training (Alfonsi et al, 2020; </w:t>
      </w:r>
      <w:proofErr w:type="spellStart"/>
      <w:r w:rsidR="00563FA9" w:rsidRPr="00E03CE0">
        <w:rPr>
          <w:rFonts w:ascii="Times New Roman" w:hAnsi="Times New Roman" w:cs="Times New Roman"/>
          <w:sz w:val="24"/>
          <w:szCs w:val="24"/>
        </w:rPr>
        <w:t>Marcolin</w:t>
      </w:r>
      <w:proofErr w:type="spellEnd"/>
      <w:r w:rsidR="00563FA9" w:rsidRPr="00E03CE0">
        <w:rPr>
          <w:rFonts w:ascii="Times New Roman" w:hAnsi="Times New Roman" w:cs="Times New Roman"/>
          <w:sz w:val="24"/>
          <w:szCs w:val="24"/>
        </w:rPr>
        <w:t xml:space="preserve"> &amp; </w:t>
      </w:r>
      <w:proofErr w:type="spellStart"/>
      <w:r w:rsidR="00563FA9" w:rsidRPr="00E03CE0">
        <w:rPr>
          <w:rFonts w:ascii="Times New Roman" w:hAnsi="Times New Roman" w:cs="Times New Roman"/>
          <w:sz w:val="24"/>
          <w:szCs w:val="24"/>
        </w:rPr>
        <w:t>Quintini</w:t>
      </w:r>
      <w:proofErr w:type="spellEnd"/>
      <w:r w:rsidR="00563FA9" w:rsidRPr="00E03CE0">
        <w:rPr>
          <w:rFonts w:ascii="Times New Roman" w:hAnsi="Times New Roman" w:cs="Times New Roman"/>
          <w:sz w:val="24"/>
          <w:szCs w:val="24"/>
        </w:rPr>
        <w:t>, 2023), aided job-search whereby matching vocational-trained workers with available jobs (Bandiera et al, 2023), and worker-centered workshops to help employees find purpose at work</w:t>
      </w:r>
      <w:r w:rsidR="00563FA9" w:rsidRPr="00E03CE0">
        <w:rPr>
          <w:rStyle w:val="FootnoteReference"/>
          <w:rFonts w:ascii="Times New Roman" w:hAnsi="Times New Roman" w:cs="Times New Roman"/>
          <w:sz w:val="24"/>
          <w:szCs w:val="24"/>
        </w:rPr>
        <w:footnoteReference w:id="12"/>
      </w:r>
      <w:r w:rsidR="00563FA9" w:rsidRPr="00E03CE0">
        <w:rPr>
          <w:rFonts w:ascii="Times New Roman" w:hAnsi="Times New Roman" w:cs="Times New Roman"/>
          <w:sz w:val="24"/>
          <w:szCs w:val="24"/>
        </w:rPr>
        <w:t xml:space="preserve"> (Ashraf et al, 2024). </w:t>
      </w:r>
      <w:r w:rsidR="00C941FE" w:rsidRPr="00E03CE0">
        <w:rPr>
          <w:rFonts w:ascii="Times New Roman" w:hAnsi="Times New Roman" w:cs="Times New Roman"/>
          <w:sz w:val="24"/>
          <w:szCs w:val="24"/>
        </w:rPr>
        <w:t xml:space="preserve"> </w:t>
      </w:r>
    </w:p>
    <w:p w14:paraId="30F33DE1" w14:textId="77777777" w:rsidR="0029777F" w:rsidRPr="00E03CE0" w:rsidRDefault="00163575" w:rsidP="00BC6C7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Estimated coefficients for the covariates suggest that firms were less likely to attract under-skilled job applicants when either older, with fewer sources for new white-collar workers, or small. A decline in the probability of enterprises attracting under-skilled applicants as firms focused on fewer sources could arise from less exposure to noisy signals in external hiring markets. Older firms could have solidified sources for new workers</w:t>
      </w:r>
      <w:r w:rsidR="00497415" w:rsidRPr="00E03CE0">
        <w:rPr>
          <w:rFonts w:ascii="Times New Roman" w:hAnsi="Times New Roman" w:cs="Times New Roman"/>
          <w:sz w:val="24"/>
          <w:szCs w:val="24"/>
        </w:rPr>
        <w:t xml:space="preserve"> which, together with prestige, disincentivized under-skilled workers from seeking employment in older firms. </w:t>
      </w:r>
    </w:p>
    <w:p w14:paraId="04DD4E65" w14:textId="0E08F641" w:rsidR="00F44479" w:rsidRPr="00E03CE0" w:rsidRDefault="00497415" w:rsidP="00BC6C7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Educational attainment of blue-collar workers is associated with the increased likelihood of enterprises attracting under-skilled job applicants. When controlling for the share of enterprises, </w:t>
      </w:r>
      <w:r w:rsidR="0029777F" w:rsidRPr="00E03CE0">
        <w:rPr>
          <w:rFonts w:ascii="Times New Roman" w:hAnsi="Times New Roman" w:cs="Times New Roman"/>
          <w:sz w:val="24"/>
          <w:szCs w:val="24"/>
        </w:rPr>
        <w:t xml:space="preserve">in </w:t>
      </w:r>
      <w:r w:rsidRPr="00E03CE0">
        <w:rPr>
          <w:rFonts w:ascii="Times New Roman" w:hAnsi="Times New Roman" w:cs="Times New Roman"/>
          <w:sz w:val="24"/>
          <w:szCs w:val="24"/>
        </w:rPr>
        <w:t>column 2, white-collar workers’ educational attainment and within-firm training are associated with enterprises attracting under-skilled job applicants. It could be that such job applicants considered enterprises with a large share of educated workers as offering extensive opportunities for learning and job shadowing</w:t>
      </w:r>
      <w:r w:rsidR="0029777F" w:rsidRPr="00E03CE0">
        <w:rPr>
          <w:rFonts w:ascii="Times New Roman" w:hAnsi="Times New Roman" w:cs="Times New Roman"/>
          <w:sz w:val="24"/>
          <w:szCs w:val="24"/>
        </w:rPr>
        <w:t>, thereby resulting into self-selection (Keme</w:t>
      </w:r>
      <w:r w:rsidR="007C6358" w:rsidRPr="00E03CE0">
        <w:rPr>
          <w:rFonts w:ascii="Times New Roman" w:hAnsi="Times New Roman" w:cs="Times New Roman"/>
          <w:sz w:val="24"/>
          <w:szCs w:val="24"/>
        </w:rPr>
        <w:t>n</w:t>
      </w:r>
      <w:r w:rsidR="0029777F" w:rsidRPr="00E03CE0">
        <w:rPr>
          <w:rFonts w:ascii="Times New Roman" w:hAnsi="Times New Roman" w:cs="Times New Roman"/>
          <w:sz w:val="24"/>
          <w:szCs w:val="24"/>
        </w:rPr>
        <w:t>y &amp; Storper, 2020)</w:t>
      </w:r>
      <w:r w:rsidRPr="00E03CE0">
        <w:rPr>
          <w:rFonts w:ascii="Times New Roman" w:hAnsi="Times New Roman" w:cs="Times New Roman"/>
          <w:sz w:val="24"/>
          <w:szCs w:val="24"/>
        </w:rPr>
        <w:t xml:space="preserve">. </w:t>
      </w:r>
      <w:r w:rsidR="00163575" w:rsidRPr="00E03CE0">
        <w:rPr>
          <w:rFonts w:ascii="Times New Roman" w:hAnsi="Times New Roman" w:cs="Times New Roman"/>
          <w:sz w:val="24"/>
          <w:szCs w:val="24"/>
        </w:rPr>
        <w:t xml:space="preserve">  </w:t>
      </w:r>
    </w:p>
    <w:p w14:paraId="6C89478F" w14:textId="63C1C80A" w:rsidR="00F44479" w:rsidRPr="00E03CE0" w:rsidRDefault="00F44479" w:rsidP="00514D5C">
      <w:pPr>
        <w:pStyle w:val="Caption"/>
        <w:keepNext/>
        <w:spacing w:after="0"/>
        <w:jc w:val="both"/>
        <w:rPr>
          <w:rFonts w:ascii="Times New Roman" w:hAnsi="Times New Roman" w:cs="Times New Roman"/>
          <w:color w:val="auto"/>
        </w:rPr>
      </w:pPr>
      <w:bookmarkStart w:id="16" w:name="_Ref195400959"/>
      <w:r w:rsidRPr="00E03CE0">
        <w:rPr>
          <w:rFonts w:ascii="Times New Roman" w:hAnsi="Times New Roman" w:cs="Times New Roman"/>
          <w:color w:val="auto"/>
        </w:rPr>
        <w:lastRenderedPageBreak/>
        <w:t xml:space="preserve">Table </w:t>
      </w:r>
      <w:r w:rsidRPr="00E03CE0">
        <w:rPr>
          <w:rFonts w:ascii="Times New Roman" w:hAnsi="Times New Roman" w:cs="Times New Roman"/>
          <w:color w:val="auto"/>
        </w:rPr>
        <w:fldChar w:fldCharType="begin"/>
      </w:r>
      <w:r w:rsidRPr="00E03CE0">
        <w:rPr>
          <w:rFonts w:ascii="Times New Roman" w:hAnsi="Times New Roman" w:cs="Times New Roman"/>
          <w:color w:val="auto"/>
        </w:rPr>
        <w:instrText xml:space="preserve"> SEQ Table \* ARABIC </w:instrText>
      </w:r>
      <w:r w:rsidRPr="00E03CE0">
        <w:rPr>
          <w:rFonts w:ascii="Times New Roman" w:hAnsi="Times New Roman" w:cs="Times New Roman"/>
          <w:color w:val="auto"/>
        </w:rPr>
        <w:fldChar w:fldCharType="separate"/>
      </w:r>
      <w:r w:rsidR="00C941FE" w:rsidRPr="00E03CE0">
        <w:rPr>
          <w:rFonts w:ascii="Times New Roman" w:hAnsi="Times New Roman" w:cs="Times New Roman"/>
          <w:noProof/>
          <w:color w:val="auto"/>
        </w:rPr>
        <w:t>2</w:t>
      </w:r>
      <w:r w:rsidRPr="00E03CE0">
        <w:rPr>
          <w:rFonts w:ascii="Times New Roman" w:hAnsi="Times New Roman" w:cs="Times New Roman"/>
          <w:color w:val="auto"/>
        </w:rPr>
        <w:fldChar w:fldCharType="end"/>
      </w:r>
      <w:bookmarkEnd w:id="16"/>
      <w:r w:rsidRPr="00E03CE0">
        <w:rPr>
          <w:rFonts w:ascii="Times New Roman" w:hAnsi="Times New Roman" w:cs="Times New Roman"/>
          <w:color w:val="auto"/>
        </w:rPr>
        <w:t>: Estimated skills gap</w:t>
      </w:r>
    </w:p>
    <w:tbl>
      <w:tblPr>
        <w:tblW w:w="7275" w:type="dxa"/>
        <w:jc w:val="center"/>
        <w:tblLayout w:type="fixed"/>
        <w:tblCellMar>
          <w:left w:w="75" w:type="dxa"/>
          <w:right w:w="75" w:type="dxa"/>
        </w:tblCellMar>
        <w:tblLook w:val="0600" w:firstRow="0" w:lastRow="0" w:firstColumn="0" w:lastColumn="0" w:noHBand="1" w:noVBand="1"/>
      </w:tblPr>
      <w:tblGrid>
        <w:gridCol w:w="1947"/>
        <w:gridCol w:w="1728"/>
        <w:gridCol w:w="1872"/>
        <w:gridCol w:w="1728"/>
      </w:tblGrid>
      <w:tr w:rsidR="004049C0" w:rsidRPr="00E03CE0" w14:paraId="22A13414" w14:textId="77777777" w:rsidTr="00F44479">
        <w:trPr>
          <w:jc w:val="center"/>
        </w:trPr>
        <w:tc>
          <w:tcPr>
            <w:tcW w:w="1947" w:type="dxa"/>
            <w:tcBorders>
              <w:top w:val="single" w:sz="4" w:space="0" w:color="auto"/>
              <w:left w:val="nil"/>
              <w:bottom w:val="single" w:sz="6" w:space="0" w:color="auto"/>
              <w:right w:val="nil"/>
            </w:tcBorders>
          </w:tcPr>
          <w:p w14:paraId="28F81476"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5328" w:type="dxa"/>
            <w:gridSpan w:val="3"/>
            <w:tcBorders>
              <w:top w:val="single" w:sz="4" w:space="0" w:color="auto"/>
              <w:left w:val="nil"/>
              <w:bottom w:val="single" w:sz="6" w:space="0" w:color="auto"/>
              <w:right w:val="nil"/>
            </w:tcBorders>
          </w:tcPr>
          <w:p w14:paraId="54B443FD" w14:textId="712FADEA"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Probability of attracting under-skilled applicants</w:t>
            </w:r>
          </w:p>
        </w:tc>
      </w:tr>
      <w:tr w:rsidR="004049C0" w:rsidRPr="00E03CE0" w14:paraId="27DA461C" w14:textId="77777777" w:rsidTr="00F44479">
        <w:trPr>
          <w:jc w:val="center"/>
        </w:trPr>
        <w:tc>
          <w:tcPr>
            <w:tcW w:w="1947" w:type="dxa"/>
            <w:tcBorders>
              <w:top w:val="nil"/>
              <w:left w:val="nil"/>
              <w:bottom w:val="single" w:sz="6" w:space="0" w:color="auto"/>
              <w:right w:val="nil"/>
            </w:tcBorders>
          </w:tcPr>
          <w:p w14:paraId="2DF9544D"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Variables</w:t>
            </w:r>
          </w:p>
        </w:tc>
        <w:tc>
          <w:tcPr>
            <w:tcW w:w="1728" w:type="dxa"/>
            <w:tcBorders>
              <w:top w:val="single" w:sz="4" w:space="0" w:color="auto"/>
              <w:left w:val="nil"/>
              <w:bottom w:val="single" w:sz="6" w:space="0" w:color="auto"/>
              <w:right w:val="nil"/>
            </w:tcBorders>
          </w:tcPr>
          <w:p w14:paraId="5123C68B"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(1)</w:t>
            </w:r>
          </w:p>
        </w:tc>
        <w:tc>
          <w:tcPr>
            <w:tcW w:w="1872" w:type="dxa"/>
            <w:tcBorders>
              <w:top w:val="single" w:sz="4" w:space="0" w:color="auto"/>
              <w:left w:val="nil"/>
              <w:bottom w:val="single" w:sz="6" w:space="0" w:color="auto"/>
              <w:right w:val="nil"/>
            </w:tcBorders>
          </w:tcPr>
          <w:p w14:paraId="111028A3" w14:textId="6B53E12B"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(2)</w:t>
            </w:r>
          </w:p>
        </w:tc>
        <w:tc>
          <w:tcPr>
            <w:tcW w:w="1728" w:type="dxa"/>
            <w:tcBorders>
              <w:top w:val="single" w:sz="4" w:space="0" w:color="auto"/>
              <w:left w:val="nil"/>
              <w:bottom w:val="single" w:sz="6" w:space="0" w:color="auto"/>
              <w:right w:val="nil"/>
            </w:tcBorders>
          </w:tcPr>
          <w:p w14:paraId="33F3B7AD" w14:textId="0BF20DEF"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(3)</w:t>
            </w:r>
          </w:p>
        </w:tc>
      </w:tr>
      <w:tr w:rsidR="004049C0" w:rsidRPr="00E03CE0" w14:paraId="4DB9BB4E" w14:textId="77777777" w:rsidTr="00F44479">
        <w:trPr>
          <w:jc w:val="center"/>
        </w:trPr>
        <w:tc>
          <w:tcPr>
            <w:tcW w:w="1947" w:type="dxa"/>
            <w:tcBorders>
              <w:top w:val="nil"/>
              <w:left w:val="nil"/>
              <w:bottom w:val="nil"/>
              <w:right w:val="nil"/>
            </w:tcBorders>
          </w:tcPr>
          <w:p w14:paraId="7BC066FA"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Running variable</w:t>
            </w:r>
          </w:p>
        </w:tc>
        <w:tc>
          <w:tcPr>
            <w:tcW w:w="1728" w:type="dxa"/>
            <w:tcBorders>
              <w:top w:val="nil"/>
              <w:left w:val="nil"/>
              <w:bottom w:val="nil"/>
              <w:right w:val="nil"/>
            </w:tcBorders>
          </w:tcPr>
          <w:p w14:paraId="1F3B779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-0.00232</w:t>
            </w:r>
          </w:p>
        </w:tc>
        <w:tc>
          <w:tcPr>
            <w:tcW w:w="1872" w:type="dxa"/>
            <w:tcBorders>
              <w:top w:val="nil"/>
              <w:left w:val="nil"/>
              <w:bottom w:val="nil"/>
              <w:right w:val="nil"/>
            </w:tcBorders>
          </w:tcPr>
          <w:p w14:paraId="0FD9706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0.306***</w:t>
            </w:r>
          </w:p>
        </w:tc>
        <w:tc>
          <w:tcPr>
            <w:tcW w:w="1728" w:type="dxa"/>
            <w:tcBorders>
              <w:top w:val="nil"/>
              <w:left w:val="nil"/>
              <w:bottom w:val="nil"/>
              <w:right w:val="nil"/>
            </w:tcBorders>
          </w:tcPr>
          <w:p w14:paraId="23BABB8C"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0.0458</w:t>
            </w:r>
          </w:p>
        </w:tc>
      </w:tr>
      <w:tr w:rsidR="004049C0" w:rsidRPr="00E03CE0" w14:paraId="3B35D0B4" w14:textId="77777777" w:rsidTr="00F44479">
        <w:trPr>
          <w:jc w:val="center"/>
        </w:trPr>
        <w:tc>
          <w:tcPr>
            <w:tcW w:w="1947" w:type="dxa"/>
            <w:tcBorders>
              <w:top w:val="nil"/>
              <w:left w:val="nil"/>
              <w:bottom w:val="nil"/>
              <w:right w:val="nil"/>
            </w:tcBorders>
          </w:tcPr>
          <w:p w14:paraId="69538A2E"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44E907AA"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(0.00216)</w:t>
            </w:r>
          </w:p>
        </w:tc>
        <w:tc>
          <w:tcPr>
            <w:tcW w:w="1872" w:type="dxa"/>
            <w:tcBorders>
              <w:top w:val="nil"/>
              <w:left w:val="nil"/>
              <w:bottom w:val="nil"/>
              <w:right w:val="nil"/>
            </w:tcBorders>
          </w:tcPr>
          <w:p w14:paraId="07FA5034"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(0.111)</w:t>
            </w:r>
          </w:p>
        </w:tc>
        <w:tc>
          <w:tcPr>
            <w:tcW w:w="1728" w:type="dxa"/>
            <w:tcBorders>
              <w:top w:val="nil"/>
              <w:left w:val="nil"/>
              <w:bottom w:val="nil"/>
              <w:right w:val="nil"/>
            </w:tcBorders>
          </w:tcPr>
          <w:p w14:paraId="28E3836E"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(0.462)</w:t>
            </w:r>
          </w:p>
        </w:tc>
      </w:tr>
      <w:tr w:rsidR="004049C0" w:rsidRPr="00E03CE0" w14:paraId="20F98F10" w14:textId="77777777" w:rsidTr="00F44479">
        <w:trPr>
          <w:jc w:val="center"/>
        </w:trPr>
        <w:tc>
          <w:tcPr>
            <w:tcW w:w="1947" w:type="dxa"/>
            <w:tcBorders>
              <w:top w:val="nil"/>
              <w:left w:val="nil"/>
              <w:bottom w:val="nil"/>
              <w:right w:val="nil"/>
            </w:tcBorders>
          </w:tcPr>
          <w:p w14:paraId="1A9456A5"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RD Estimate</w:t>
            </w:r>
          </w:p>
        </w:tc>
        <w:tc>
          <w:tcPr>
            <w:tcW w:w="1728" w:type="dxa"/>
            <w:tcBorders>
              <w:top w:val="nil"/>
              <w:left w:val="nil"/>
              <w:bottom w:val="nil"/>
              <w:right w:val="nil"/>
            </w:tcBorders>
          </w:tcPr>
          <w:p w14:paraId="47CCB5D5"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0.212***</w:t>
            </w:r>
          </w:p>
        </w:tc>
        <w:tc>
          <w:tcPr>
            <w:tcW w:w="1872" w:type="dxa"/>
            <w:tcBorders>
              <w:top w:val="nil"/>
              <w:left w:val="nil"/>
              <w:bottom w:val="nil"/>
              <w:right w:val="nil"/>
            </w:tcBorders>
          </w:tcPr>
          <w:p w14:paraId="3AB8B8E0"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-0.326***</w:t>
            </w:r>
          </w:p>
        </w:tc>
        <w:tc>
          <w:tcPr>
            <w:tcW w:w="1728" w:type="dxa"/>
            <w:tcBorders>
              <w:top w:val="nil"/>
              <w:left w:val="nil"/>
              <w:bottom w:val="nil"/>
              <w:right w:val="nil"/>
            </w:tcBorders>
          </w:tcPr>
          <w:p w14:paraId="5B993E58"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0.00117</w:t>
            </w:r>
          </w:p>
        </w:tc>
      </w:tr>
      <w:tr w:rsidR="004049C0" w:rsidRPr="00E03CE0" w14:paraId="50E7074F" w14:textId="77777777" w:rsidTr="00514D5C">
        <w:trPr>
          <w:jc w:val="center"/>
        </w:trPr>
        <w:tc>
          <w:tcPr>
            <w:tcW w:w="1947" w:type="dxa"/>
            <w:tcBorders>
              <w:top w:val="nil"/>
              <w:left w:val="nil"/>
              <w:bottom w:val="single" w:sz="4" w:space="0" w:color="auto"/>
              <w:right w:val="nil"/>
            </w:tcBorders>
          </w:tcPr>
          <w:p w14:paraId="20F20B2B"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single" w:sz="4" w:space="0" w:color="auto"/>
              <w:right w:val="nil"/>
            </w:tcBorders>
          </w:tcPr>
          <w:p w14:paraId="00A32680"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(0.0617)</w:t>
            </w:r>
          </w:p>
        </w:tc>
        <w:tc>
          <w:tcPr>
            <w:tcW w:w="1872" w:type="dxa"/>
            <w:tcBorders>
              <w:top w:val="nil"/>
              <w:left w:val="nil"/>
              <w:bottom w:val="single" w:sz="4" w:space="0" w:color="auto"/>
              <w:right w:val="nil"/>
            </w:tcBorders>
          </w:tcPr>
          <w:p w14:paraId="23B58A15"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(0.0484)</w:t>
            </w:r>
          </w:p>
        </w:tc>
        <w:tc>
          <w:tcPr>
            <w:tcW w:w="1728" w:type="dxa"/>
            <w:tcBorders>
              <w:top w:val="nil"/>
              <w:left w:val="nil"/>
              <w:bottom w:val="single" w:sz="4" w:space="0" w:color="auto"/>
              <w:right w:val="nil"/>
            </w:tcBorders>
          </w:tcPr>
          <w:p w14:paraId="067EFE1B"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(0.0944)</w:t>
            </w:r>
          </w:p>
        </w:tc>
      </w:tr>
      <w:tr w:rsidR="004049C0" w:rsidRPr="00E03CE0" w14:paraId="49212C6C" w14:textId="77777777" w:rsidTr="00514D5C">
        <w:trPr>
          <w:jc w:val="center"/>
        </w:trPr>
        <w:tc>
          <w:tcPr>
            <w:tcW w:w="1947" w:type="dxa"/>
            <w:tcBorders>
              <w:top w:val="single" w:sz="4" w:space="0" w:color="auto"/>
              <w:left w:val="nil"/>
              <w:bottom w:val="single" w:sz="4" w:space="0" w:color="auto"/>
              <w:right w:val="nil"/>
            </w:tcBorders>
          </w:tcPr>
          <w:p w14:paraId="758C9DBF" w14:textId="1247598F"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 xml:space="preserve">Bandwidth </w:t>
            </w:r>
          </w:p>
        </w:tc>
        <w:tc>
          <w:tcPr>
            <w:tcW w:w="1728" w:type="dxa"/>
            <w:tcBorders>
              <w:top w:val="single" w:sz="4" w:space="0" w:color="auto"/>
              <w:left w:val="nil"/>
              <w:bottom w:val="single" w:sz="4" w:space="0" w:color="auto"/>
              <w:right w:val="nil"/>
            </w:tcBorders>
          </w:tcPr>
          <w:p w14:paraId="2E8C9269" w14:textId="0F8023CF"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61.984</w:t>
            </w:r>
          </w:p>
        </w:tc>
        <w:tc>
          <w:tcPr>
            <w:tcW w:w="1872" w:type="dxa"/>
            <w:tcBorders>
              <w:top w:val="single" w:sz="4" w:space="0" w:color="auto"/>
              <w:left w:val="nil"/>
              <w:bottom w:val="single" w:sz="4" w:space="0" w:color="auto"/>
              <w:right w:val="nil"/>
            </w:tcBorders>
          </w:tcPr>
          <w:p w14:paraId="61D9A0E2" w14:textId="3181746C"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0.500</w:t>
            </w:r>
          </w:p>
        </w:tc>
        <w:tc>
          <w:tcPr>
            <w:tcW w:w="1728" w:type="dxa"/>
            <w:tcBorders>
              <w:top w:val="single" w:sz="4" w:space="0" w:color="auto"/>
              <w:left w:val="nil"/>
              <w:bottom w:val="single" w:sz="4" w:space="0" w:color="auto"/>
              <w:right w:val="nil"/>
            </w:tcBorders>
          </w:tcPr>
          <w:p w14:paraId="74FDD6AA" w14:textId="1B44E073"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0.176</w:t>
            </w:r>
          </w:p>
        </w:tc>
      </w:tr>
      <w:tr w:rsidR="004049C0" w:rsidRPr="00E03CE0" w14:paraId="07AF4031" w14:textId="77777777" w:rsidTr="00514D5C">
        <w:trPr>
          <w:jc w:val="center"/>
        </w:trPr>
        <w:tc>
          <w:tcPr>
            <w:tcW w:w="1947" w:type="dxa"/>
            <w:tcBorders>
              <w:top w:val="single" w:sz="4" w:space="0" w:color="auto"/>
              <w:left w:val="nil"/>
              <w:bottom w:val="nil"/>
              <w:right w:val="nil"/>
            </w:tcBorders>
          </w:tcPr>
          <w:p w14:paraId="4A102FB3"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Type-A education</w:t>
            </w:r>
          </w:p>
        </w:tc>
        <w:tc>
          <w:tcPr>
            <w:tcW w:w="1728" w:type="dxa"/>
            <w:tcBorders>
              <w:top w:val="single" w:sz="4" w:space="0" w:color="auto"/>
              <w:left w:val="nil"/>
              <w:bottom w:val="nil"/>
              <w:right w:val="nil"/>
            </w:tcBorders>
          </w:tcPr>
          <w:p w14:paraId="6A02C33C"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-0.0415</w:t>
            </w:r>
          </w:p>
        </w:tc>
        <w:tc>
          <w:tcPr>
            <w:tcW w:w="1872" w:type="dxa"/>
            <w:tcBorders>
              <w:top w:val="single" w:sz="4" w:space="0" w:color="auto"/>
              <w:left w:val="nil"/>
              <w:bottom w:val="nil"/>
              <w:right w:val="nil"/>
            </w:tcBorders>
          </w:tcPr>
          <w:p w14:paraId="2E848410"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0.144***</w:t>
            </w:r>
          </w:p>
        </w:tc>
        <w:tc>
          <w:tcPr>
            <w:tcW w:w="1728" w:type="dxa"/>
            <w:tcBorders>
              <w:top w:val="single" w:sz="4" w:space="0" w:color="auto"/>
              <w:left w:val="nil"/>
              <w:bottom w:val="nil"/>
              <w:right w:val="nil"/>
            </w:tcBorders>
          </w:tcPr>
          <w:p w14:paraId="2CCB209F"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-0.0678</w:t>
            </w:r>
          </w:p>
        </w:tc>
      </w:tr>
      <w:tr w:rsidR="004049C0" w:rsidRPr="00E03CE0" w14:paraId="0F4E27F5" w14:textId="77777777" w:rsidTr="00F44479">
        <w:trPr>
          <w:jc w:val="center"/>
        </w:trPr>
        <w:tc>
          <w:tcPr>
            <w:tcW w:w="1947" w:type="dxa"/>
            <w:tcBorders>
              <w:top w:val="nil"/>
              <w:left w:val="nil"/>
              <w:bottom w:val="nil"/>
              <w:right w:val="nil"/>
            </w:tcBorders>
          </w:tcPr>
          <w:p w14:paraId="693E55C4"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176D225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(0.0452)</w:t>
            </w:r>
          </w:p>
        </w:tc>
        <w:tc>
          <w:tcPr>
            <w:tcW w:w="1872" w:type="dxa"/>
            <w:tcBorders>
              <w:top w:val="nil"/>
              <w:left w:val="nil"/>
              <w:bottom w:val="nil"/>
              <w:right w:val="nil"/>
            </w:tcBorders>
          </w:tcPr>
          <w:p w14:paraId="70CF1C52"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(0.0389)</w:t>
            </w:r>
          </w:p>
        </w:tc>
        <w:tc>
          <w:tcPr>
            <w:tcW w:w="1728" w:type="dxa"/>
            <w:tcBorders>
              <w:top w:val="nil"/>
              <w:left w:val="nil"/>
              <w:bottom w:val="nil"/>
              <w:right w:val="nil"/>
            </w:tcBorders>
          </w:tcPr>
          <w:p w14:paraId="547E60A3"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(0.0441)</w:t>
            </w:r>
          </w:p>
        </w:tc>
      </w:tr>
      <w:tr w:rsidR="004049C0" w:rsidRPr="00E03CE0" w14:paraId="0322CEB6" w14:textId="77777777" w:rsidTr="00F44479">
        <w:trPr>
          <w:jc w:val="center"/>
        </w:trPr>
        <w:tc>
          <w:tcPr>
            <w:tcW w:w="1947" w:type="dxa"/>
            <w:tcBorders>
              <w:top w:val="nil"/>
              <w:left w:val="nil"/>
              <w:bottom w:val="nil"/>
              <w:right w:val="nil"/>
            </w:tcBorders>
          </w:tcPr>
          <w:p w14:paraId="445F9435"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Type-B education</w:t>
            </w:r>
          </w:p>
        </w:tc>
        <w:tc>
          <w:tcPr>
            <w:tcW w:w="1728" w:type="dxa"/>
            <w:tcBorders>
              <w:top w:val="nil"/>
              <w:left w:val="nil"/>
              <w:bottom w:val="nil"/>
              <w:right w:val="nil"/>
            </w:tcBorders>
          </w:tcPr>
          <w:p w14:paraId="21C5838E"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0.201***</w:t>
            </w:r>
          </w:p>
        </w:tc>
        <w:tc>
          <w:tcPr>
            <w:tcW w:w="1872" w:type="dxa"/>
            <w:tcBorders>
              <w:top w:val="nil"/>
              <w:left w:val="nil"/>
              <w:bottom w:val="nil"/>
              <w:right w:val="nil"/>
            </w:tcBorders>
          </w:tcPr>
          <w:p w14:paraId="6BB387D7"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0.141***</w:t>
            </w:r>
          </w:p>
        </w:tc>
        <w:tc>
          <w:tcPr>
            <w:tcW w:w="1728" w:type="dxa"/>
            <w:tcBorders>
              <w:top w:val="nil"/>
              <w:left w:val="nil"/>
              <w:bottom w:val="nil"/>
              <w:right w:val="nil"/>
            </w:tcBorders>
          </w:tcPr>
          <w:p w14:paraId="616F3A77"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0.127***</w:t>
            </w:r>
          </w:p>
        </w:tc>
      </w:tr>
      <w:tr w:rsidR="004049C0" w:rsidRPr="00E03CE0" w14:paraId="1065C82C" w14:textId="77777777" w:rsidTr="00F44479">
        <w:trPr>
          <w:jc w:val="center"/>
        </w:trPr>
        <w:tc>
          <w:tcPr>
            <w:tcW w:w="1947" w:type="dxa"/>
            <w:tcBorders>
              <w:top w:val="nil"/>
              <w:left w:val="nil"/>
              <w:bottom w:val="nil"/>
              <w:right w:val="nil"/>
            </w:tcBorders>
          </w:tcPr>
          <w:p w14:paraId="6960C9AC"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4125B61C"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(0.0498)</w:t>
            </w:r>
          </w:p>
        </w:tc>
        <w:tc>
          <w:tcPr>
            <w:tcW w:w="1872" w:type="dxa"/>
            <w:tcBorders>
              <w:top w:val="nil"/>
              <w:left w:val="nil"/>
              <w:bottom w:val="nil"/>
              <w:right w:val="nil"/>
            </w:tcBorders>
          </w:tcPr>
          <w:p w14:paraId="4DB27813"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(0.0404)</w:t>
            </w:r>
          </w:p>
        </w:tc>
        <w:tc>
          <w:tcPr>
            <w:tcW w:w="1728" w:type="dxa"/>
            <w:tcBorders>
              <w:top w:val="nil"/>
              <w:left w:val="nil"/>
              <w:bottom w:val="nil"/>
              <w:right w:val="nil"/>
            </w:tcBorders>
          </w:tcPr>
          <w:p w14:paraId="52B54D5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(0.0479)</w:t>
            </w:r>
          </w:p>
        </w:tc>
      </w:tr>
      <w:tr w:rsidR="004049C0" w:rsidRPr="00E03CE0" w14:paraId="3BE097D8" w14:textId="77777777" w:rsidTr="00F44479">
        <w:trPr>
          <w:jc w:val="center"/>
        </w:trPr>
        <w:tc>
          <w:tcPr>
            <w:tcW w:w="1947" w:type="dxa"/>
            <w:tcBorders>
              <w:top w:val="nil"/>
              <w:left w:val="nil"/>
              <w:bottom w:val="nil"/>
              <w:right w:val="nil"/>
            </w:tcBorders>
          </w:tcPr>
          <w:p w14:paraId="2BBCFC3A"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Type-A training</w:t>
            </w:r>
          </w:p>
        </w:tc>
        <w:tc>
          <w:tcPr>
            <w:tcW w:w="1728" w:type="dxa"/>
            <w:tcBorders>
              <w:top w:val="nil"/>
              <w:left w:val="nil"/>
              <w:bottom w:val="nil"/>
              <w:right w:val="nil"/>
            </w:tcBorders>
          </w:tcPr>
          <w:p w14:paraId="0C251869"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0.0958</w:t>
            </w:r>
          </w:p>
        </w:tc>
        <w:tc>
          <w:tcPr>
            <w:tcW w:w="1872" w:type="dxa"/>
            <w:tcBorders>
              <w:top w:val="nil"/>
              <w:left w:val="nil"/>
              <w:bottom w:val="nil"/>
              <w:right w:val="nil"/>
            </w:tcBorders>
          </w:tcPr>
          <w:p w14:paraId="1CCDFA35"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0.144**</w:t>
            </w:r>
          </w:p>
        </w:tc>
        <w:tc>
          <w:tcPr>
            <w:tcW w:w="1728" w:type="dxa"/>
            <w:tcBorders>
              <w:top w:val="nil"/>
              <w:left w:val="nil"/>
              <w:bottom w:val="nil"/>
              <w:right w:val="nil"/>
            </w:tcBorders>
          </w:tcPr>
          <w:p w14:paraId="2504954E"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0.0889</w:t>
            </w:r>
          </w:p>
        </w:tc>
      </w:tr>
      <w:tr w:rsidR="004049C0" w:rsidRPr="00E03CE0" w14:paraId="3DE4D4F0" w14:textId="77777777" w:rsidTr="00F44479">
        <w:trPr>
          <w:jc w:val="center"/>
        </w:trPr>
        <w:tc>
          <w:tcPr>
            <w:tcW w:w="1947" w:type="dxa"/>
            <w:tcBorders>
              <w:top w:val="nil"/>
              <w:left w:val="nil"/>
              <w:bottom w:val="nil"/>
              <w:right w:val="nil"/>
            </w:tcBorders>
          </w:tcPr>
          <w:p w14:paraId="322E1063"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2C37746B"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(0.0761)</w:t>
            </w:r>
          </w:p>
        </w:tc>
        <w:tc>
          <w:tcPr>
            <w:tcW w:w="1872" w:type="dxa"/>
            <w:tcBorders>
              <w:top w:val="nil"/>
              <w:left w:val="nil"/>
              <w:bottom w:val="nil"/>
              <w:right w:val="nil"/>
            </w:tcBorders>
          </w:tcPr>
          <w:p w14:paraId="18960BCE"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(0.0584)</w:t>
            </w:r>
          </w:p>
        </w:tc>
        <w:tc>
          <w:tcPr>
            <w:tcW w:w="1728" w:type="dxa"/>
            <w:tcBorders>
              <w:top w:val="nil"/>
              <w:left w:val="nil"/>
              <w:bottom w:val="nil"/>
              <w:right w:val="nil"/>
            </w:tcBorders>
          </w:tcPr>
          <w:p w14:paraId="4F4FA7CA"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(0.0748)</w:t>
            </w:r>
          </w:p>
        </w:tc>
      </w:tr>
      <w:tr w:rsidR="004049C0" w:rsidRPr="00E03CE0" w14:paraId="24F0AD2E" w14:textId="77777777" w:rsidTr="00F44479">
        <w:trPr>
          <w:jc w:val="center"/>
        </w:trPr>
        <w:tc>
          <w:tcPr>
            <w:tcW w:w="1947" w:type="dxa"/>
            <w:tcBorders>
              <w:top w:val="nil"/>
              <w:left w:val="nil"/>
              <w:bottom w:val="nil"/>
              <w:right w:val="nil"/>
            </w:tcBorders>
          </w:tcPr>
          <w:p w14:paraId="0EC9CBE3"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Type-B training</w:t>
            </w:r>
          </w:p>
        </w:tc>
        <w:tc>
          <w:tcPr>
            <w:tcW w:w="1728" w:type="dxa"/>
            <w:tcBorders>
              <w:top w:val="nil"/>
              <w:left w:val="nil"/>
              <w:bottom w:val="nil"/>
              <w:right w:val="nil"/>
            </w:tcBorders>
          </w:tcPr>
          <w:p w14:paraId="6E9F8EF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-0.0524</w:t>
            </w:r>
          </w:p>
        </w:tc>
        <w:tc>
          <w:tcPr>
            <w:tcW w:w="1872" w:type="dxa"/>
            <w:tcBorders>
              <w:top w:val="nil"/>
              <w:left w:val="nil"/>
              <w:bottom w:val="nil"/>
              <w:right w:val="nil"/>
            </w:tcBorders>
          </w:tcPr>
          <w:p w14:paraId="0B8D4758"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-0.0652</w:t>
            </w:r>
          </w:p>
        </w:tc>
        <w:tc>
          <w:tcPr>
            <w:tcW w:w="1728" w:type="dxa"/>
            <w:tcBorders>
              <w:top w:val="nil"/>
              <w:left w:val="nil"/>
              <w:bottom w:val="nil"/>
              <w:right w:val="nil"/>
            </w:tcBorders>
          </w:tcPr>
          <w:p w14:paraId="45F6B7A9"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-0.126</w:t>
            </w:r>
          </w:p>
        </w:tc>
      </w:tr>
      <w:tr w:rsidR="004049C0" w:rsidRPr="00E03CE0" w14:paraId="39A31341" w14:textId="77777777" w:rsidTr="00F44479">
        <w:trPr>
          <w:jc w:val="center"/>
        </w:trPr>
        <w:tc>
          <w:tcPr>
            <w:tcW w:w="1947" w:type="dxa"/>
            <w:tcBorders>
              <w:top w:val="nil"/>
              <w:left w:val="nil"/>
              <w:bottom w:val="nil"/>
              <w:right w:val="nil"/>
            </w:tcBorders>
          </w:tcPr>
          <w:p w14:paraId="40308EEF"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21E83CC5"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(0.135)</w:t>
            </w:r>
          </w:p>
        </w:tc>
        <w:tc>
          <w:tcPr>
            <w:tcW w:w="1872" w:type="dxa"/>
            <w:tcBorders>
              <w:top w:val="nil"/>
              <w:left w:val="nil"/>
              <w:bottom w:val="nil"/>
              <w:right w:val="nil"/>
            </w:tcBorders>
          </w:tcPr>
          <w:p w14:paraId="0AD90461"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(0.107)</w:t>
            </w:r>
          </w:p>
        </w:tc>
        <w:tc>
          <w:tcPr>
            <w:tcW w:w="1728" w:type="dxa"/>
            <w:tcBorders>
              <w:top w:val="nil"/>
              <w:left w:val="nil"/>
              <w:bottom w:val="nil"/>
              <w:right w:val="nil"/>
            </w:tcBorders>
          </w:tcPr>
          <w:p w14:paraId="4289C04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(0.121)</w:t>
            </w:r>
          </w:p>
        </w:tc>
      </w:tr>
      <w:tr w:rsidR="004049C0" w:rsidRPr="00E03CE0" w14:paraId="57D9E555" w14:textId="77777777" w:rsidTr="00F44479">
        <w:trPr>
          <w:jc w:val="center"/>
        </w:trPr>
        <w:tc>
          <w:tcPr>
            <w:tcW w:w="1947" w:type="dxa"/>
            <w:tcBorders>
              <w:top w:val="nil"/>
              <w:left w:val="nil"/>
              <w:bottom w:val="nil"/>
              <w:right w:val="nil"/>
            </w:tcBorders>
          </w:tcPr>
          <w:p w14:paraId="402670D1"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Firm size</w:t>
            </w:r>
          </w:p>
        </w:tc>
        <w:tc>
          <w:tcPr>
            <w:tcW w:w="1728" w:type="dxa"/>
            <w:tcBorders>
              <w:top w:val="nil"/>
              <w:left w:val="nil"/>
              <w:bottom w:val="nil"/>
              <w:right w:val="nil"/>
            </w:tcBorders>
          </w:tcPr>
          <w:p w14:paraId="1DC2D15A"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c>
          <w:tcPr>
            <w:tcW w:w="1872" w:type="dxa"/>
            <w:tcBorders>
              <w:top w:val="nil"/>
              <w:left w:val="nil"/>
              <w:bottom w:val="nil"/>
              <w:right w:val="nil"/>
            </w:tcBorders>
          </w:tcPr>
          <w:p w14:paraId="2EC91A3F"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14:paraId="7400A57F"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r>
      <w:tr w:rsidR="004049C0" w:rsidRPr="00E03CE0" w14:paraId="157CDA2C" w14:textId="77777777" w:rsidTr="00F44479">
        <w:trPr>
          <w:jc w:val="center"/>
        </w:trPr>
        <w:tc>
          <w:tcPr>
            <w:tcW w:w="1947" w:type="dxa"/>
            <w:tcBorders>
              <w:top w:val="nil"/>
              <w:left w:val="nil"/>
              <w:bottom w:val="nil"/>
              <w:right w:val="nil"/>
            </w:tcBorders>
          </w:tcPr>
          <w:p w14:paraId="5D3FD2CE"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Small (rf)</w:t>
            </w:r>
          </w:p>
        </w:tc>
        <w:tc>
          <w:tcPr>
            <w:tcW w:w="1728" w:type="dxa"/>
            <w:tcBorders>
              <w:top w:val="nil"/>
              <w:left w:val="nil"/>
              <w:bottom w:val="nil"/>
              <w:right w:val="nil"/>
            </w:tcBorders>
          </w:tcPr>
          <w:p w14:paraId="74871C5F"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c>
          <w:tcPr>
            <w:tcW w:w="1872" w:type="dxa"/>
            <w:tcBorders>
              <w:top w:val="nil"/>
              <w:left w:val="nil"/>
              <w:bottom w:val="nil"/>
              <w:right w:val="nil"/>
            </w:tcBorders>
          </w:tcPr>
          <w:p w14:paraId="52C0C679"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14:paraId="488AF243"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r>
      <w:tr w:rsidR="004049C0" w:rsidRPr="00E03CE0" w14:paraId="09868474" w14:textId="77777777" w:rsidTr="00F44479">
        <w:trPr>
          <w:jc w:val="center"/>
        </w:trPr>
        <w:tc>
          <w:tcPr>
            <w:tcW w:w="1947" w:type="dxa"/>
            <w:tcBorders>
              <w:top w:val="nil"/>
              <w:left w:val="nil"/>
              <w:bottom w:val="nil"/>
              <w:right w:val="nil"/>
            </w:tcBorders>
          </w:tcPr>
          <w:p w14:paraId="71CA77B0"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 xml:space="preserve">Medium </w:t>
            </w:r>
          </w:p>
        </w:tc>
        <w:tc>
          <w:tcPr>
            <w:tcW w:w="1728" w:type="dxa"/>
            <w:tcBorders>
              <w:top w:val="nil"/>
              <w:left w:val="nil"/>
              <w:bottom w:val="nil"/>
              <w:right w:val="nil"/>
            </w:tcBorders>
          </w:tcPr>
          <w:p w14:paraId="7F5E937E"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0.199***</w:t>
            </w:r>
          </w:p>
        </w:tc>
        <w:tc>
          <w:tcPr>
            <w:tcW w:w="1872" w:type="dxa"/>
            <w:tcBorders>
              <w:top w:val="nil"/>
              <w:left w:val="nil"/>
              <w:bottom w:val="nil"/>
              <w:right w:val="nil"/>
            </w:tcBorders>
          </w:tcPr>
          <w:p w14:paraId="68C7B861"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0.148***</w:t>
            </w:r>
          </w:p>
        </w:tc>
        <w:tc>
          <w:tcPr>
            <w:tcW w:w="1728" w:type="dxa"/>
            <w:tcBorders>
              <w:top w:val="nil"/>
              <w:left w:val="nil"/>
              <w:bottom w:val="nil"/>
              <w:right w:val="nil"/>
            </w:tcBorders>
          </w:tcPr>
          <w:p w14:paraId="50F95D8B"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0.183***</w:t>
            </w:r>
          </w:p>
        </w:tc>
      </w:tr>
      <w:tr w:rsidR="004049C0" w:rsidRPr="00E03CE0" w14:paraId="6182B700" w14:textId="77777777" w:rsidTr="00F44479">
        <w:trPr>
          <w:jc w:val="center"/>
        </w:trPr>
        <w:tc>
          <w:tcPr>
            <w:tcW w:w="1947" w:type="dxa"/>
            <w:tcBorders>
              <w:top w:val="nil"/>
              <w:left w:val="nil"/>
              <w:bottom w:val="nil"/>
              <w:right w:val="nil"/>
            </w:tcBorders>
          </w:tcPr>
          <w:p w14:paraId="0893F949"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2FCF2044"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(0.0622)</w:t>
            </w:r>
          </w:p>
        </w:tc>
        <w:tc>
          <w:tcPr>
            <w:tcW w:w="1872" w:type="dxa"/>
            <w:tcBorders>
              <w:top w:val="nil"/>
              <w:left w:val="nil"/>
              <w:bottom w:val="nil"/>
              <w:right w:val="nil"/>
            </w:tcBorders>
          </w:tcPr>
          <w:p w14:paraId="5ED7543F"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(0.0477)</w:t>
            </w:r>
          </w:p>
        </w:tc>
        <w:tc>
          <w:tcPr>
            <w:tcW w:w="1728" w:type="dxa"/>
            <w:tcBorders>
              <w:top w:val="nil"/>
              <w:left w:val="nil"/>
              <w:bottom w:val="nil"/>
              <w:right w:val="nil"/>
            </w:tcBorders>
          </w:tcPr>
          <w:p w14:paraId="05C7EAAE"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(0.0552)</w:t>
            </w:r>
          </w:p>
        </w:tc>
      </w:tr>
      <w:tr w:rsidR="004049C0" w:rsidRPr="00E03CE0" w14:paraId="1512B1A4" w14:textId="77777777" w:rsidTr="00F44479">
        <w:trPr>
          <w:jc w:val="center"/>
        </w:trPr>
        <w:tc>
          <w:tcPr>
            <w:tcW w:w="1947" w:type="dxa"/>
            <w:tcBorders>
              <w:top w:val="nil"/>
              <w:left w:val="nil"/>
              <w:bottom w:val="nil"/>
              <w:right w:val="nil"/>
            </w:tcBorders>
          </w:tcPr>
          <w:p w14:paraId="6EB37821"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 xml:space="preserve">Large </w:t>
            </w:r>
          </w:p>
        </w:tc>
        <w:tc>
          <w:tcPr>
            <w:tcW w:w="1728" w:type="dxa"/>
            <w:tcBorders>
              <w:top w:val="nil"/>
              <w:left w:val="nil"/>
              <w:bottom w:val="nil"/>
              <w:right w:val="nil"/>
            </w:tcBorders>
          </w:tcPr>
          <w:p w14:paraId="761470D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0.211</w:t>
            </w:r>
          </w:p>
        </w:tc>
        <w:tc>
          <w:tcPr>
            <w:tcW w:w="1872" w:type="dxa"/>
            <w:tcBorders>
              <w:top w:val="nil"/>
              <w:left w:val="nil"/>
              <w:bottom w:val="nil"/>
              <w:right w:val="nil"/>
            </w:tcBorders>
          </w:tcPr>
          <w:p w14:paraId="76749BC8"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0.126**</w:t>
            </w:r>
          </w:p>
        </w:tc>
        <w:tc>
          <w:tcPr>
            <w:tcW w:w="1728" w:type="dxa"/>
            <w:tcBorders>
              <w:top w:val="nil"/>
              <w:left w:val="nil"/>
              <w:bottom w:val="nil"/>
              <w:right w:val="nil"/>
            </w:tcBorders>
          </w:tcPr>
          <w:p w14:paraId="72893712"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0.167**</w:t>
            </w:r>
          </w:p>
        </w:tc>
      </w:tr>
      <w:tr w:rsidR="004049C0" w:rsidRPr="00E03CE0" w14:paraId="5F59F025" w14:textId="77777777" w:rsidTr="00F44479">
        <w:trPr>
          <w:jc w:val="center"/>
        </w:trPr>
        <w:tc>
          <w:tcPr>
            <w:tcW w:w="1947" w:type="dxa"/>
            <w:tcBorders>
              <w:top w:val="nil"/>
              <w:left w:val="nil"/>
              <w:bottom w:val="nil"/>
              <w:right w:val="nil"/>
            </w:tcBorders>
          </w:tcPr>
          <w:p w14:paraId="09359D0D"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68D69F3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(0.146)</w:t>
            </w:r>
          </w:p>
        </w:tc>
        <w:tc>
          <w:tcPr>
            <w:tcW w:w="1872" w:type="dxa"/>
            <w:tcBorders>
              <w:top w:val="nil"/>
              <w:left w:val="nil"/>
              <w:bottom w:val="nil"/>
              <w:right w:val="nil"/>
            </w:tcBorders>
          </w:tcPr>
          <w:p w14:paraId="27C8C469"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(0.0583)</w:t>
            </w:r>
          </w:p>
        </w:tc>
        <w:tc>
          <w:tcPr>
            <w:tcW w:w="1728" w:type="dxa"/>
            <w:tcBorders>
              <w:top w:val="nil"/>
              <w:left w:val="nil"/>
              <w:bottom w:val="nil"/>
              <w:right w:val="nil"/>
            </w:tcBorders>
          </w:tcPr>
          <w:p w14:paraId="5C23AAB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(0.0699)</w:t>
            </w:r>
          </w:p>
        </w:tc>
      </w:tr>
      <w:tr w:rsidR="004049C0" w:rsidRPr="00E03CE0" w14:paraId="20431A38" w14:textId="77777777" w:rsidTr="00F44479">
        <w:trPr>
          <w:jc w:val="center"/>
        </w:trPr>
        <w:tc>
          <w:tcPr>
            <w:tcW w:w="1947" w:type="dxa"/>
            <w:tcBorders>
              <w:top w:val="nil"/>
              <w:left w:val="nil"/>
              <w:bottom w:val="nil"/>
              <w:right w:val="nil"/>
            </w:tcBorders>
          </w:tcPr>
          <w:p w14:paraId="185EB354"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Negotiable wage</w:t>
            </w:r>
          </w:p>
        </w:tc>
        <w:tc>
          <w:tcPr>
            <w:tcW w:w="1728" w:type="dxa"/>
            <w:tcBorders>
              <w:top w:val="nil"/>
              <w:left w:val="nil"/>
              <w:bottom w:val="nil"/>
              <w:right w:val="nil"/>
            </w:tcBorders>
          </w:tcPr>
          <w:p w14:paraId="041268F9"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0.115**</w:t>
            </w:r>
          </w:p>
        </w:tc>
        <w:tc>
          <w:tcPr>
            <w:tcW w:w="1872" w:type="dxa"/>
            <w:tcBorders>
              <w:top w:val="nil"/>
              <w:left w:val="nil"/>
              <w:bottom w:val="nil"/>
              <w:right w:val="nil"/>
            </w:tcBorders>
          </w:tcPr>
          <w:p w14:paraId="028D8173"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0.0628</w:t>
            </w:r>
          </w:p>
        </w:tc>
        <w:tc>
          <w:tcPr>
            <w:tcW w:w="1728" w:type="dxa"/>
            <w:tcBorders>
              <w:top w:val="nil"/>
              <w:left w:val="nil"/>
              <w:bottom w:val="nil"/>
              <w:right w:val="nil"/>
            </w:tcBorders>
          </w:tcPr>
          <w:p w14:paraId="09ABD626"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0.0848*</w:t>
            </w:r>
          </w:p>
        </w:tc>
      </w:tr>
      <w:tr w:rsidR="004049C0" w:rsidRPr="00E03CE0" w14:paraId="5AE08EE8" w14:textId="77777777" w:rsidTr="00F44479">
        <w:trPr>
          <w:jc w:val="center"/>
        </w:trPr>
        <w:tc>
          <w:tcPr>
            <w:tcW w:w="1947" w:type="dxa"/>
            <w:tcBorders>
              <w:top w:val="nil"/>
              <w:left w:val="nil"/>
              <w:bottom w:val="nil"/>
              <w:right w:val="nil"/>
            </w:tcBorders>
          </w:tcPr>
          <w:p w14:paraId="49519978"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5A7977F5"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(0.0538)</w:t>
            </w:r>
          </w:p>
        </w:tc>
        <w:tc>
          <w:tcPr>
            <w:tcW w:w="1872" w:type="dxa"/>
            <w:tcBorders>
              <w:top w:val="nil"/>
              <w:left w:val="nil"/>
              <w:bottom w:val="nil"/>
              <w:right w:val="nil"/>
            </w:tcBorders>
          </w:tcPr>
          <w:p w14:paraId="3F5B5F6C"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(0.0444)</w:t>
            </w:r>
          </w:p>
        </w:tc>
        <w:tc>
          <w:tcPr>
            <w:tcW w:w="1728" w:type="dxa"/>
            <w:tcBorders>
              <w:top w:val="nil"/>
              <w:left w:val="nil"/>
              <w:bottom w:val="nil"/>
              <w:right w:val="nil"/>
            </w:tcBorders>
          </w:tcPr>
          <w:p w14:paraId="2F6899C9"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(0.0508)</w:t>
            </w:r>
          </w:p>
        </w:tc>
      </w:tr>
      <w:tr w:rsidR="004049C0" w:rsidRPr="00E03CE0" w14:paraId="422BD487" w14:textId="77777777" w:rsidTr="00F44479">
        <w:trPr>
          <w:jc w:val="center"/>
        </w:trPr>
        <w:tc>
          <w:tcPr>
            <w:tcW w:w="1947" w:type="dxa"/>
            <w:tcBorders>
              <w:top w:val="nil"/>
              <w:left w:val="nil"/>
              <w:bottom w:val="nil"/>
              <w:right w:val="nil"/>
            </w:tcBorders>
          </w:tcPr>
          <w:p w14:paraId="73D740C8"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 xml:space="preserve">Sector </w:t>
            </w:r>
          </w:p>
        </w:tc>
        <w:tc>
          <w:tcPr>
            <w:tcW w:w="1728" w:type="dxa"/>
            <w:tcBorders>
              <w:top w:val="nil"/>
              <w:left w:val="nil"/>
              <w:bottom w:val="nil"/>
              <w:right w:val="nil"/>
            </w:tcBorders>
          </w:tcPr>
          <w:p w14:paraId="23DD2514"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c>
          <w:tcPr>
            <w:tcW w:w="1872" w:type="dxa"/>
            <w:tcBorders>
              <w:top w:val="nil"/>
              <w:left w:val="nil"/>
              <w:bottom w:val="nil"/>
              <w:right w:val="nil"/>
            </w:tcBorders>
          </w:tcPr>
          <w:p w14:paraId="12D2EC69"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14:paraId="40C434D6"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r>
      <w:tr w:rsidR="004049C0" w:rsidRPr="00E03CE0" w14:paraId="4E21C48E" w14:textId="77777777" w:rsidTr="00F44479">
        <w:trPr>
          <w:jc w:val="center"/>
        </w:trPr>
        <w:tc>
          <w:tcPr>
            <w:tcW w:w="1947" w:type="dxa"/>
            <w:tcBorders>
              <w:top w:val="nil"/>
              <w:left w:val="nil"/>
              <w:bottom w:val="nil"/>
              <w:right w:val="nil"/>
            </w:tcBorders>
          </w:tcPr>
          <w:p w14:paraId="26851044"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Manufacture (rf)</w:t>
            </w:r>
          </w:p>
        </w:tc>
        <w:tc>
          <w:tcPr>
            <w:tcW w:w="1728" w:type="dxa"/>
            <w:tcBorders>
              <w:top w:val="nil"/>
              <w:left w:val="nil"/>
              <w:bottom w:val="nil"/>
              <w:right w:val="nil"/>
            </w:tcBorders>
          </w:tcPr>
          <w:p w14:paraId="59CDD6A5"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c>
          <w:tcPr>
            <w:tcW w:w="1872" w:type="dxa"/>
            <w:tcBorders>
              <w:top w:val="nil"/>
              <w:left w:val="nil"/>
              <w:bottom w:val="nil"/>
              <w:right w:val="nil"/>
            </w:tcBorders>
          </w:tcPr>
          <w:p w14:paraId="62FFCDC5"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14:paraId="0A85E7FE"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p>
        </w:tc>
      </w:tr>
      <w:tr w:rsidR="004049C0" w:rsidRPr="00E03CE0" w14:paraId="0BD79FDA" w14:textId="77777777" w:rsidTr="00F44479">
        <w:trPr>
          <w:jc w:val="center"/>
        </w:trPr>
        <w:tc>
          <w:tcPr>
            <w:tcW w:w="1947" w:type="dxa"/>
            <w:tcBorders>
              <w:top w:val="nil"/>
              <w:left w:val="nil"/>
              <w:bottom w:val="nil"/>
              <w:right w:val="nil"/>
            </w:tcBorders>
          </w:tcPr>
          <w:p w14:paraId="007E47CB"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Retail or wholesale</w:t>
            </w:r>
          </w:p>
        </w:tc>
        <w:tc>
          <w:tcPr>
            <w:tcW w:w="1728" w:type="dxa"/>
            <w:tcBorders>
              <w:top w:val="nil"/>
              <w:left w:val="nil"/>
              <w:bottom w:val="nil"/>
              <w:right w:val="nil"/>
            </w:tcBorders>
          </w:tcPr>
          <w:p w14:paraId="0794DFD0"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-0.0194</w:t>
            </w:r>
          </w:p>
        </w:tc>
        <w:tc>
          <w:tcPr>
            <w:tcW w:w="1872" w:type="dxa"/>
            <w:tcBorders>
              <w:top w:val="nil"/>
              <w:left w:val="nil"/>
              <w:bottom w:val="nil"/>
              <w:right w:val="nil"/>
            </w:tcBorders>
          </w:tcPr>
          <w:p w14:paraId="435706B7"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0.00999</w:t>
            </w:r>
          </w:p>
        </w:tc>
        <w:tc>
          <w:tcPr>
            <w:tcW w:w="1728" w:type="dxa"/>
            <w:tcBorders>
              <w:top w:val="nil"/>
              <w:left w:val="nil"/>
              <w:bottom w:val="nil"/>
              <w:right w:val="nil"/>
            </w:tcBorders>
          </w:tcPr>
          <w:p w14:paraId="7CA97417"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-0.00382</w:t>
            </w:r>
          </w:p>
        </w:tc>
      </w:tr>
      <w:tr w:rsidR="004049C0" w:rsidRPr="00E03CE0" w14:paraId="5F422AC1" w14:textId="77777777" w:rsidTr="00F44479">
        <w:trPr>
          <w:jc w:val="center"/>
        </w:trPr>
        <w:tc>
          <w:tcPr>
            <w:tcW w:w="1947" w:type="dxa"/>
            <w:tcBorders>
              <w:top w:val="nil"/>
              <w:left w:val="nil"/>
              <w:bottom w:val="nil"/>
              <w:right w:val="nil"/>
            </w:tcBorders>
          </w:tcPr>
          <w:p w14:paraId="6A1C2DA8"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56108077"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(0.0701)</w:t>
            </w:r>
          </w:p>
        </w:tc>
        <w:tc>
          <w:tcPr>
            <w:tcW w:w="1872" w:type="dxa"/>
            <w:tcBorders>
              <w:top w:val="nil"/>
              <w:left w:val="nil"/>
              <w:bottom w:val="nil"/>
              <w:right w:val="nil"/>
            </w:tcBorders>
          </w:tcPr>
          <w:p w14:paraId="62DE9B28"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(0.0567)</w:t>
            </w:r>
          </w:p>
        </w:tc>
        <w:tc>
          <w:tcPr>
            <w:tcW w:w="1728" w:type="dxa"/>
            <w:tcBorders>
              <w:top w:val="nil"/>
              <w:left w:val="nil"/>
              <w:bottom w:val="nil"/>
              <w:right w:val="nil"/>
            </w:tcBorders>
          </w:tcPr>
          <w:p w14:paraId="10F34246"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(0.0684)</w:t>
            </w:r>
          </w:p>
        </w:tc>
      </w:tr>
      <w:tr w:rsidR="004049C0" w:rsidRPr="00E03CE0" w14:paraId="1B7BF098" w14:textId="77777777" w:rsidTr="00F44479">
        <w:trPr>
          <w:jc w:val="center"/>
        </w:trPr>
        <w:tc>
          <w:tcPr>
            <w:tcW w:w="1947" w:type="dxa"/>
            <w:tcBorders>
              <w:top w:val="nil"/>
              <w:left w:val="nil"/>
              <w:bottom w:val="nil"/>
              <w:right w:val="nil"/>
            </w:tcBorders>
          </w:tcPr>
          <w:p w14:paraId="086F1837"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 xml:space="preserve">Other service </w:t>
            </w:r>
          </w:p>
        </w:tc>
        <w:tc>
          <w:tcPr>
            <w:tcW w:w="1728" w:type="dxa"/>
            <w:tcBorders>
              <w:top w:val="nil"/>
              <w:left w:val="nil"/>
              <w:bottom w:val="nil"/>
              <w:right w:val="nil"/>
            </w:tcBorders>
          </w:tcPr>
          <w:p w14:paraId="2900B140"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-0.0613</w:t>
            </w:r>
          </w:p>
        </w:tc>
        <w:tc>
          <w:tcPr>
            <w:tcW w:w="1872" w:type="dxa"/>
            <w:tcBorders>
              <w:top w:val="nil"/>
              <w:left w:val="nil"/>
              <w:bottom w:val="nil"/>
              <w:right w:val="nil"/>
            </w:tcBorders>
          </w:tcPr>
          <w:p w14:paraId="260387FA"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-0.0845</w:t>
            </w:r>
          </w:p>
        </w:tc>
        <w:tc>
          <w:tcPr>
            <w:tcW w:w="1728" w:type="dxa"/>
            <w:tcBorders>
              <w:top w:val="nil"/>
              <w:left w:val="nil"/>
              <w:bottom w:val="nil"/>
              <w:right w:val="nil"/>
            </w:tcBorders>
          </w:tcPr>
          <w:p w14:paraId="70843897"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-0.0777</w:t>
            </w:r>
          </w:p>
        </w:tc>
      </w:tr>
      <w:tr w:rsidR="004049C0" w:rsidRPr="00E03CE0" w14:paraId="2CF71760" w14:textId="77777777" w:rsidTr="00F44479">
        <w:trPr>
          <w:jc w:val="center"/>
        </w:trPr>
        <w:tc>
          <w:tcPr>
            <w:tcW w:w="1947" w:type="dxa"/>
            <w:tcBorders>
              <w:top w:val="nil"/>
              <w:left w:val="nil"/>
              <w:bottom w:val="nil"/>
              <w:right w:val="nil"/>
            </w:tcBorders>
          </w:tcPr>
          <w:p w14:paraId="7CC9B4E2"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612D2EBF"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(0.0668)</w:t>
            </w:r>
          </w:p>
        </w:tc>
        <w:tc>
          <w:tcPr>
            <w:tcW w:w="1872" w:type="dxa"/>
            <w:tcBorders>
              <w:top w:val="nil"/>
              <w:left w:val="nil"/>
              <w:bottom w:val="nil"/>
              <w:right w:val="nil"/>
            </w:tcBorders>
          </w:tcPr>
          <w:p w14:paraId="65E585FB"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(0.0540)</w:t>
            </w:r>
          </w:p>
        </w:tc>
        <w:tc>
          <w:tcPr>
            <w:tcW w:w="1728" w:type="dxa"/>
            <w:tcBorders>
              <w:top w:val="nil"/>
              <w:left w:val="nil"/>
              <w:bottom w:val="nil"/>
              <w:right w:val="nil"/>
            </w:tcBorders>
          </w:tcPr>
          <w:p w14:paraId="3151DF7A"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(0.0622)</w:t>
            </w:r>
          </w:p>
        </w:tc>
      </w:tr>
      <w:tr w:rsidR="004049C0" w:rsidRPr="00E03CE0" w14:paraId="6F3000CE" w14:textId="77777777" w:rsidTr="00F44479">
        <w:trPr>
          <w:jc w:val="center"/>
        </w:trPr>
        <w:tc>
          <w:tcPr>
            <w:tcW w:w="1947" w:type="dxa"/>
            <w:tcBorders>
              <w:top w:val="nil"/>
              <w:left w:val="nil"/>
              <w:bottom w:val="nil"/>
              <w:right w:val="nil"/>
            </w:tcBorders>
          </w:tcPr>
          <w:p w14:paraId="1E487F5D"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Wage bill ratio</w:t>
            </w:r>
          </w:p>
        </w:tc>
        <w:tc>
          <w:tcPr>
            <w:tcW w:w="1728" w:type="dxa"/>
            <w:tcBorders>
              <w:top w:val="nil"/>
              <w:left w:val="nil"/>
              <w:bottom w:val="nil"/>
              <w:right w:val="nil"/>
            </w:tcBorders>
          </w:tcPr>
          <w:p w14:paraId="5E4AE32F"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0.0441*</w:t>
            </w:r>
          </w:p>
        </w:tc>
        <w:tc>
          <w:tcPr>
            <w:tcW w:w="1872" w:type="dxa"/>
            <w:tcBorders>
              <w:top w:val="nil"/>
              <w:left w:val="nil"/>
              <w:bottom w:val="nil"/>
              <w:right w:val="nil"/>
            </w:tcBorders>
          </w:tcPr>
          <w:p w14:paraId="1ED16141"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0.0405**</w:t>
            </w:r>
          </w:p>
        </w:tc>
        <w:tc>
          <w:tcPr>
            <w:tcW w:w="1728" w:type="dxa"/>
            <w:tcBorders>
              <w:top w:val="nil"/>
              <w:left w:val="nil"/>
              <w:bottom w:val="nil"/>
              <w:right w:val="nil"/>
            </w:tcBorders>
          </w:tcPr>
          <w:p w14:paraId="618CBCB3"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0.0404*</w:t>
            </w:r>
          </w:p>
        </w:tc>
      </w:tr>
      <w:tr w:rsidR="004049C0" w:rsidRPr="00E03CE0" w14:paraId="5829B377" w14:textId="77777777" w:rsidTr="00F44479">
        <w:trPr>
          <w:jc w:val="center"/>
        </w:trPr>
        <w:tc>
          <w:tcPr>
            <w:tcW w:w="1947" w:type="dxa"/>
            <w:tcBorders>
              <w:top w:val="nil"/>
              <w:left w:val="nil"/>
              <w:bottom w:val="nil"/>
              <w:right w:val="nil"/>
            </w:tcBorders>
          </w:tcPr>
          <w:p w14:paraId="1F9BE09D"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3A04B197"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(0.0235)</w:t>
            </w:r>
          </w:p>
        </w:tc>
        <w:tc>
          <w:tcPr>
            <w:tcW w:w="1872" w:type="dxa"/>
            <w:tcBorders>
              <w:top w:val="nil"/>
              <w:left w:val="nil"/>
              <w:bottom w:val="nil"/>
              <w:right w:val="nil"/>
            </w:tcBorders>
          </w:tcPr>
          <w:p w14:paraId="06C4169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(0.0206)</w:t>
            </w:r>
          </w:p>
        </w:tc>
        <w:tc>
          <w:tcPr>
            <w:tcW w:w="1728" w:type="dxa"/>
            <w:tcBorders>
              <w:top w:val="nil"/>
              <w:left w:val="nil"/>
              <w:bottom w:val="nil"/>
              <w:right w:val="nil"/>
            </w:tcBorders>
          </w:tcPr>
          <w:p w14:paraId="2BA4464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(0.0239)</w:t>
            </w:r>
          </w:p>
        </w:tc>
      </w:tr>
      <w:tr w:rsidR="004049C0" w:rsidRPr="00E03CE0" w14:paraId="7551019C" w14:textId="77777777" w:rsidTr="00F44479">
        <w:trPr>
          <w:jc w:val="center"/>
        </w:trPr>
        <w:tc>
          <w:tcPr>
            <w:tcW w:w="1947" w:type="dxa"/>
            <w:tcBorders>
              <w:top w:val="nil"/>
              <w:left w:val="nil"/>
              <w:bottom w:val="nil"/>
              <w:right w:val="nil"/>
            </w:tcBorders>
          </w:tcPr>
          <w:p w14:paraId="52D6BE9C"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Type-A sources</w:t>
            </w:r>
          </w:p>
        </w:tc>
        <w:tc>
          <w:tcPr>
            <w:tcW w:w="1728" w:type="dxa"/>
            <w:tcBorders>
              <w:top w:val="nil"/>
              <w:left w:val="nil"/>
              <w:bottom w:val="nil"/>
              <w:right w:val="nil"/>
            </w:tcBorders>
          </w:tcPr>
          <w:p w14:paraId="135B5379"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0.0442**</w:t>
            </w:r>
          </w:p>
        </w:tc>
        <w:tc>
          <w:tcPr>
            <w:tcW w:w="1872" w:type="dxa"/>
            <w:tcBorders>
              <w:top w:val="nil"/>
              <w:left w:val="nil"/>
              <w:bottom w:val="nil"/>
              <w:right w:val="nil"/>
            </w:tcBorders>
          </w:tcPr>
          <w:p w14:paraId="13C01976"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0.0607***</w:t>
            </w:r>
          </w:p>
        </w:tc>
        <w:tc>
          <w:tcPr>
            <w:tcW w:w="1728" w:type="dxa"/>
            <w:tcBorders>
              <w:top w:val="nil"/>
              <w:left w:val="nil"/>
              <w:bottom w:val="nil"/>
              <w:right w:val="nil"/>
            </w:tcBorders>
          </w:tcPr>
          <w:p w14:paraId="4B9D8701"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0.0735***</w:t>
            </w:r>
          </w:p>
        </w:tc>
      </w:tr>
      <w:tr w:rsidR="004049C0" w:rsidRPr="00E03CE0" w14:paraId="614A7E16" w14:textId="77777777" w:rsidTr="00F44479">
        <w:trPr>
          <w:jc w:val="center"/>
        </w:trPr>
        <w:tc>
          <w:tcPr>
            <w:tcW w:w="1947" w:type="dxa"/>
            <w:tcBorders>
              <w:top w:val="nil"/>
              <w:left w:val="nil"/>
              <w:bottom w:val="nil"/>
              <w:right w:val="nil"/>
            </w:tcBorders>
          </w:tcPr>
          <w:p w14:paraId="3FB7AC1E"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0452CADA"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(0.0185)</w:t>
            </w:r>
          </w:p>
        </w:tc>
        <w:tc>
          <w:tcPr>
            <w:tcW w:w="1872" w:type="dxa"/>
            <w:tcBorders>
              <w:top w:val="nil"/>
              <w:left w:val="nil"/>
              <w:bottom w:val="nil"/>
              <w:right w:val="nil"/>
            </w:tcBorders>
          </w:tcPr>
          <w:p w14:paraId="226CB09A"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(0.0157)</w:t>
            </w:r>
          </w:p>
        </w:tc>
        <w:tc>
          <w:tcPr>
            <w:tcW w:w="1728" w:type="dxa"/>
            <w:tcBorders>
              <w:top w:val="nil"/>
              <w:left w:val="nil"/>
              <w:bottom w:val="nil"/>
              <w:right w:val="nil"/>
            </w:tcBorders>
          </w:tcPr>
          <w:p w14:paraId="3EBFDB3D"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(0.0179)</w:t>
            </w:r>
          </w:p>
        </w:tc>
      </w:tr>
      <w:tr w:rsidR="004049C0" w:rsidRPr="00E03CE0" w14:paraId="71E580F4" w14:textId="77777777" w:rsidTr="00F44479">
        <w:trPr>
          <w:jc w:val="center"/>
        </w:trPr>
        <w:tc>
          <w:tcPr>
            <w:tcW w:w="1947" w:type="dxa"/>
            <w:tcBorders>
              <w:top w:val="nil"/>
              <w:left w:val="nil"/>
              <w:bottom w:val="nil"/>
              <w:right w:val="nil"/>
            </w:tcBorders>
          </w:tcPr>
          <w:p w14:paraId="01D40469"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Firm age</w:t>
            </w:r>
          </w:p>
        </w:tc>
        <w:tc>
          <w:tcPr>
            <w:tcW w:w="1728" w:type="dxa"/>
            <w:tcBorders>
              <w:top w:val="nil"/>
              <w:left w:val="nil"/>
              <w:bottom w:val="nil"/>
              <w:right w:val="nil"/>
            </w:tcBorders>
          </w:tcPr>
          <w:p w14:paraId="3DB9F1A2"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-0.00528***</w:t>
            </w:r>
          </w:p>
        </w:tc>
        <w:tc>
          <w:tcPr>
            <w:tcW w:w="1872" w:type="dxa"/>
            <w:tcBorders>
              <w:top w:val="nil"/>
              <w:left w:val="nil"/>
              <w:bottom w:val="nil"/>
              <w:right w:val="nil"/>
            </w:tcBorders>
          </w:tcPr>
          <w:p w14:paraId="40E0F3EC"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-0.00411**</w:t>
            </w:r>
          </w:p>
        </w:tc>
        <w:tc>
          <w:tcPr>
            <w:tcW w:w="1728" w:type="dxa"/>
            <w:tcBorders>
              <w:top w:val="nil"/>
              <w:left w:val="nil"/>
              <w:bottom w:val="nil"/>
              <w:right w:val="nil"/>
            </w:tcBorders>
          </w:tcPr>
          <w:p w14:paraId="10FA6AF2"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-0.00554***</w:t>
            </w:r>
          </w:p>
        </w:tc>
      </w:tr>
      <w:tr w:rsidR="004049C0" w:rsidRPr="00E03CE0" w14:paraId="1DCE7AC0" w14:textId="77777777" w:rsidTr="00F44479">
        <w:trPr>
          <w:jc w:val="center"/>
        </w:trPr>
        <w:tc>
          <w:tcPr>
            <w:tcW w:w="1947" w:type="dxa"/>
            <w:tcBorders>
              <w:top w:val="nil"/>
              <w:left w:val="nil"/>
              <w:bottom w:val="single" w:sz="4" w:space="0" w:color="auto"/>
              <w:right w:val="nil"/>
            </w:tcBorders>
          </w:tcPr>
          <w:p w14:paraId="0C9115F1"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single" w:sz="4" w:space="0" w:color="auto"/>
              <w:right w:val="nil"/>
            </w:tcBorders>
          </w:tcPr>
          <w:p w14:paraId="3503776C"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(0.00197)</w:t>
            </w:r>
          </w:p>
        </w:tc>
        <w:tc>
          <w:tcPr>
            <w:tcW w:w="1872" w:type="dxa"/>
            <w:tcBorders>
              <w:top w:val="nil"/>
              <w:left w:val="nil"/>
              <w:bottom w:val="single" w:sz="4" w:space="0" w:color="auto"/>
              <w:right w:val="nil"/>
            </w:tcBorders>
          </w:tcPr>
          <w:p w14:paraId="4D8F7C56"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(0.00161)</w:t>
            </w:r>
          </w:p>
        </w:tc>
        <w:tc>
          <w:tcPr>
            <w:tcW w:w="1728" w:type="dxa"/>
            <w:tcBorders>
              <w:top w:val="nil"/>
              <w:left w:val="nil"/>
              <w:bottom w:val="single" w:sz="4" w:space="0" w:color="auto"/>
              <w:right w:val="nil"/>
            </w:tcBorders>
          </w:tcPr>
          <w:p w14:paraId="14A1C9FC"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(0.00182)</w:t>
            </w:r>
          </w:p>
        </w:tc>
      </w:tr>
      <w:tr w:rsidR="004049C0" w:rsidRPr="00E03CE0" w14:paraId="31C44363" w14:textId="77777777" w:rsidTr="00F44479">
        <w:tblPrEx>
          <w:tblBorders>
            <w:bottom w:val="single" w:sz="6" w:space="0" w:color="auto"/>
          </w:tblBorders>
        </w:tblPrEx>
        <w:trPr>
          <w:jc w:val="center"/>
        </w:trPr>
        <w:tc>
          <w:tcPr>
            <w:tcW w:w="1947" w:type="dxa"/>
            <w:tcBorders>
              <w:top w:val="single" w:sz="4" w:space="0" w:color="auto"/>
              <w:left w:val="nil"/>
              <w:bottom w:val="single" w:sz="6" w:space="0" w:color="auto"/>
              <w:right w:val="nil"/>
            </w:tcBorders>
          </w:tcPr>
          <w:p w14:paraId="1547E60E" w14:textId="77777777" w:rsidR="00F44479" w:rsidRPr="00E03CE0" w:rsidRDefault="00F44479" w:rsidP="008A3872">
            <w:pPr>
              <w:widowControl w:val="0"/>
              <w:autoSpaceDE w:val="0"/>
              <w:autoSpaceDN w:val="0"/>
              <w:adjustRightInd w:val="0"/>
              <w:spacing w:after="0" w:line="240" w:lineRule="auto"/>
              <w:rPr>
                <w:rFonts w:ascii="Times New Roman" w:hAnsi="Times New Roman" w:cs="Times New Roman"/>
                <w:sz w:val="20"/>
                <w:szCs w:val="20"/>
              </w:rPr>
            </w:pPr>
            <w:r w:rsidRPr="00E03CE0">
              <w:rPr>
                <w:rFonts w:ascii="Times New Roman" w:hAnsi="Times New Roman" w:cs="Times New Roman"/>
                <w:sz w:val="20"/>
                <w:szCs w:val="20"/>
              </w:rPr>
              <w:t>Observations</w:t>
            </w:r>
          </w:p>
        </w:tc>
        <w:tc>
          <w:tcPr>
            <w:tcW w:w="1728" w:type="dxa"/>
            <w:tcBorders>
              <w:top w:val="single" w:sz="4" w:space="0" w:color="auto"/>
              <w:left w:val="nil"/>
              <w:bottom w:val="single" w:sz="6" w:space="0" w:color="auto"/>
              <w:right w:val="nil"/>
            </w:tcBorders>
          </w:tcPr>
          <w:p w14:paraId="02515373"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367</w:t>
            </w:r>
          </w:p>
        </w:tc>
        <w:tc>
          <w:tcPr>
            <w:tcW w:w="1872" w:type="dxa"/>
            <w:tcBorders>
              <w:top w:val="single" w:sz="4" w:space="0" w:color="auto"/>
              <w:left w:val="nil"/>
              <w:bottom w:val="single" w:sz="6" w:space="0" w:color="auto"/>
              <w:right w:val="nil"/>
            </w:tcBorders>
          </w:tcPr>
          <w:p w14:paraId="1BE2D425"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459</w:t>
            </w:r>
          </w:p>
        </w:tc>
        <w:tc>
          <w:tcPr>
            <w:tcW w:w="1728" w:type="dxa"/>
            <w:tcBorders>
              <w:top w:val="single" w:sz="4" w:space="0" w:color="auto"/>
              <w:left w:val="nil"/>
              <w:bottom w:val="single" w:sz="6" w:space="0" w:color="auto"/>
              <w:right w:val="nil"/>
            </w:tcBorders>
          </w:tcPr>
          <w:p w14:paraId="67F15E87" w14:textId="77777777" w:rsidR="00F44479" w:rsidRPr="00E03CE0" w:rsidRDefault="00F44479" w:rsidP="008A3872">
            <w:pPr>
              <w:widowControl w:val="0"/>
              <w:autoSpaceDE w:val="0"/>
              <w:autoSpaceDN w:val="0"/>
              <w:adjustRightInd w:val="0"/>
              <w:spacing w:after="0" w:line="240" w:lineRule="auto"/>
              <w:jc w:val="center"/>
              <w:rPr>
                <w:rFonts w:ascii="Times New Roman" w:hAnsi="Times New Roman" w:cs="Times New Roman"/>
                <w:sz w:val="20"/>
                <w:szCs w:val="20"/>
              </w:rPr>
            </w:pPr>
            <w:r w:rsidRPr="00E03CE0">
              <w:rPr>
                <w:rFonts w:ascii="Times New Roman" w:hAnsi="Times New Roman" w:cs="Times New Roman"/>
                <w:sz w:val="20"/>
                <w:szCs w:val="20"/>
              </w:rPr>
              <w:t>388</w:t>
            </w:r>
          </w:p>
        </w:tc>
      </w:tr>
    </w:tbl>
    <w:p w14:paraId="515A0322" w14:textId="3FF93359" w:rsidR="00BC6C72" w:rsidRPr="00E03CE0" w:rsidRDefault="00BC6C72" w:rsidP="00BC6C72">
      <w:pPr>
        <w:widowControl w:val="0"/>
        <w:autoSpaceDE w:val="0"/>
        <w:autoSpaceDN w:val="0"/>
        <w:adjustRightInd w:val="0"/>
        <w:spacing w:after="0" w:line="240" w:lineRule="auto"/>
        <w:jc w:val="both"/>
        <w:rPr>
          <w:rFonts w:ascii="Times New Roman" w:hAnsi="Times New Roman" w:cs="Times New Roman"/>
          <w:sz w:val="20"/>
          <w:szCs w:val="20"/>
        </w:rPr>
      </w:pPr>
      <w:r w:rsidRPr="00E03CE0">
        <w:rPr>
          <w:rFonts w:ascii="Times New Roman" w:hAnsi="Times New Roman" w:cs="Times New Roman"/>
          <w:sz w:val="20"/>
          <w:szCs w:val="20"/>
        </w:rPr>
        <w:t xml:space="preserve">The explained variable captures the probability that a firm attracted under-skilled job applicants for at least one occupational position. Reported coefficients capture marginal effects after probability unit model estimation using analytical weights computed following sharp RD, where the estimates are available. </w:t>
      </w:r>
    </w:p>
    <w:p w14:paraId="50AE1756" w14:textId="77777777" w:rsidR="004049C0" w:rsidRPr="00E03CE0" w:rsidRDefault="004049C0" w:rsidP="00BC6C72">
      <w:pPr>
        <w:widowControl w:val="0"/>
        <w:autoSpaceDE w:val="0"/>
        <w:autoSpaceDN w:val="0"/>
        <w:adjustRightInd w:val="0"/>
        <w:spacing w:after="0" w:line="240" w:lineRule="auto"/>
        <w:jc w:val="both"/>
        <w:rPr>
          <w:rFonts w:ascii="Times New Roman" w:hAnsi="Times New Roman" w:cs="Times New Roman"/>
          <w:sz w:val="20"/>
          <w:szCs w:val="20"/>
        </w:rPr>
      </w:pPr>
    </w:p>
    <w:p w14:paraId="3C269C09" w14:textId="3E39CE95" w:rsidR="004049C0" w:rsidRPr="00E03CE0" w:rsidRDefault="00D712B4" w:rsidP="004049C0">
      <w:pPr>
        <w:pStyle w:val="Heading2"/>
        <w:spacing w:after="240" w:line="240" w:lineRule="auto"/>
        <w:jc w:val="both"/>
        <w:rPr>
          <w:rFonts w:ascii="Times New Roman" w:hAnsi="Times New Roman" w:cs="Times New Roman"/>
          <w:b/>
          <w:bCs/>
          <w:color w:val="auto"/>
          <w:sz w:val="24"/>
          <w:szCs w:val="24"/>
        </w:rPr>
      </w:pPr>
      <w:r w:rsidRPr="00E03CE0">
        <w:rPr>
          <w:rFonts w:ascii="Times New Roman" w:hAnsi="Times New Roman" w:cs="Times New Roman"/>
          <w:b/>
          <w:bCs/>
          <w:color w:val="auto"/>
          <w:sz w:val="24"/>
          <w:szCs w:val="24"/>
        </w:rPr>
        <w:t xml:space="preserve">ADDITIONAL </w:t>
      </w:r>
      <w:r w:rsidR="004049C0" w:rsidRPr="00E03CE0">
        <w:rPr>
          <w:rFonts w:ascii="Times New Roman" w:hAnsi="Times New Roman" w:cs="Times New Roman"/>
          <w:b/>
          <w:bCs/>
          <w:color w:val="auto"/>
          <w:sz w:val="24"/>
          <w:szCs w:val="24"/>
        </w:rPr>
        <w:t>ROBUSTNESS CHECK</w:t>
      </w:r>
    </w:p>
    <w:p w14:paraId="28BE6CC6" w14:textId="0B2EDE9A" w:rsidR="004049C0" w:rsidRPr="00E03CE0" w:rsidRDefault="009A246A" w:rsidP="004049C0">
      <w:pPr>
        <w:spacing w:after="240" w:line="240" w:lineRule="auto"/>
        <w:jc w:val="both"/>
        <w:rPr>
          <w:rFonts w:ascii="Times New Roman" w:hAnsi="Times New Roman" w:cs="Times New Roman"/>
          <w:sz w:val="24"/>
          <w:szCs w:val="24"/>
        </w:rPr>
      </w:pPr>
      <w:r w:rsidRPr="00E03CE0">
        <w:rPr>
          <w:rFonts w:ascii="Times New Roman" w:hAnsi="Times New Roman" w:cs="Times New Roman"/>
          <w:sz w:val="24"/>
          <w:szCs w:val="24"/>
        </w:rPr>
        <w:t>We analyze bunching around the thresholds for respective running variables. For bunching to be absent, the truncated Tobit plot closely matches the histogram reflecting no sudden drops/ jumps/ spikes around the threshold (</w:t>
      </w:r>
      <w:proofErr w:type="spellStart"/>
      <w:r w:rsidRPr="00E03CE0">
        <w:rPr>
          <w:rFonts w:ascii="Times New Roman" w:hAnsi="Times New Roman" w:cs="Times New Roman"/>
          <w:sz w:val="24"/>
          <w:szCs w:val="24"/>
        </w:rPr>
        <w:t>Bertanha</w:t>
      </w:r>
      <w:proofErr w:type="spellEnd"/>
      <w:r w:rsidRPr="00E03CE0">
        <w:rPr>
          <w:rFonts w:ascii="Times New Roman" w:hAnsi="Times New Roman" w:cs="Times New Roman"/>
          <w:sz w:val="24"/>
          <w:szCs w:val="24"/>
        </w:rPr>
        <w:t xml:space="preserve"> et al, 2024). This corresponds with a horizontal elasticity line.</w:t>
      </w:r>
      <w:r w:rsidR="009B55E5" w:rsidRPr="00E03CE0">
        <w:rPr>
          <w:rFonts w:ascii="Times New Roman" w:hAnsi="Times New Roman" w:cs="Times New Roman"/>
          <w:sz w:val="24"/>
          <w:szCs w:val="24"/>
        </w:rPr>
        <w:t xml:space="preserve"> Plots captured in </w:t>
      </w:r>
      <w:r w:rsidR="009B55E5" w:rsidRPr="00E03CE0">
        <w:rPr>
          <w:rFonts w:ascii="Times New Roman" w:hAnsi="Times New Roman" w:cs="Times New Roman"/>
          <w:sz w:val="24"/>
          <w:szCs w:val="24"/>
        </w:rPr>
        <w:fldChar w:fldCharType="begin"/>
      </w:r>
      <w:r w:rsidR="009B55E5" w:rsidRPr="00E03CE0">
        <w:rPr>
          <w:rFonts w:ascii="Times New Roman" w:hAnsi="Times New Roman" w:cs="Times New Roman"/>
          <w:sz w:val="24"/>
          <w:szCs w:val="24"/>
        </w:rPr>
        <w:instrText xml:space="preserve"> REF _Ref195911009 \h  \* MERGEFORMAT </w:instrText>
      </w:r>
      <w:r w:rsidR="009B55E5" w:rsidRPr="00E03CE0">
        <w:rPr>
          <w:rFonts w:ascii="Times New Roman" w:hAnsi="Times New Roman" w:cs="Times New Roman"/>
          <w:sz w:val="24"/>
          <w:szCs w:val="24"/>
        </w:rPr>
      </w:r>
      <w:r w:rsidR="009B55E5" w:rsidRPr="00E03CE0">
        <w:rPr>
          <w:rFonts w:ascii="Times New Roman" w:hAnsi="Times New Roman" w:cs="Times New Roman"/>
          <w:sz w:val="24"/>
          <w:szCs w:val="24"/>
        </w:rPr>
        <w:fldChar w:fldCharType="separate"/>
      </w:r>
      <w:r w:rsidR="009B55E5" w:rsidRPr="00E03CE0">
        <w:rPr>
          <w:rFonts w:ascii="Times New Roman" w:hAnsi="Times New Roman" w:cs="Times New Roman"/>
          <w:sz w:val="24"/>
          <w:szCs w:val="24"/>
        </w:rPr>
        <w:t xml:space="preserve">Figure </w:t>
      </w:r>
      <w:r w:rsidR="009B55E5" w:rsidRPr="00E03CE0">
        <w:rPr>
          <w:rFonts w:ascii="Times New Roman" w:hAnsi="Times New Roman" w:cs="Times New Roman"/>
          <w:noProof/>
          <w:sz w:val="24"/>
          <w:szCs w:val="24"/>
        </w:rPr>
        <w:t>1</w:t>
      </w:r>
      <w:r w:rsidR="009B55E5" w:rsidRPr="00E03CE0">
        <w:rPr>
          <w:rFonts w:ascii="Times New Roman" w:hAnsi="Times New Roman" w:cs="Times New Roman"/>
          <w:sz w:val="24"/>
          <w:szCs w:val="24"/>
        </w:rPr>
        <w:fldChar w:fldCharType="end"/>
      </w:r>
      <w:r w:rsidR="009B55E5" w:rsidRPr="00E03CE0">
        <w:rPr>
          <w:rFonts w:ascii="Times New Roman" w:hAnsi="Times New Roman" w:cs="Times New Roman"/>
          <w:sz w:val="24"/>
          <w:szCs w:val="24"/>
        </w:rPr>
        <w:t xml:space="preserve">, </w:t>
      </w:r>
      <w:r w:rsidR="009B55E5" w:rsidRPr="00E03CE0">
        <w:rPr>
          <w:rFonts w:ascii="Times New Roman" w:hAnsi="Times New Roman" w:cs="Times New Roman"/>
          <w:sz w:val="24"/>
          <w:szCs w:val="24"/>
        </w:rPr>
        <w:fldChar w:fldCharType="begin"/>
      </w:r>
      <w:r w:rsidR="009B55E5" w:rsidRPr="00E03CE0">
        <w:rPr>
          <w:rFonts w:ascii="Times New Roman" w:hAnsi="Times New Roman" w:cs="Times New Roman"/>
          <w:sz w:val="24"/>
          <w:szCs w:val="24"/>
        </w:rPr>
        <w:instrText xml:space="preserve"> REF _Ref195911020 \h  \* MERGEFORMAT </w:instrText>
      </w:r>
      <w:r w:rsidR="009B55E5" w:rsidRPr="00E03CE0">
        <w:rPr>
          <w:rFonts w:ascii="Times New Roman" w:hAnsi="Times New Roman" w:cs="Times New Roman"/>
          <w:sz w:val="24"/>
          <w:szCs w:val="24"/>
        </w:rPr>
      </w:r>
      <w:r w:rsidR="009B55E5" w:rsidRPr="00E03CE0">
        <w:rPr>
          <w:rFonts w:ascii="Times New Roman" w:hAnsi="Times New Roman" w:cs="Times New Roman"/>
          <w:sz w:val="24"/>
          <w:szCs w:val="24"/>
        </w:rPr>
        <w:fldChar w:fldCharType="separate"/>
      </w:r>
      <w:r w:rsidR="009B55E5" w:rsidRPr="00E03CE0">
        <w:rPr>
          <w:rFonts w:ascii="Times New Roman" w:hAnsi="Times New Roman" w:cs="Times New Roman"/>
          <w:sz w:val="24"/>
          <w:szCs w:val="24"/>
        </w:rPr>
        <w:t xml:space="preserve">Figure </w:t>
      </w:r>
      <w:r w:rsidR="009B55E5" w:rsidRPr="00E03CE0">
        <w:rPr>
          <w:rFonts w:ascii="Times New Roman" w:hAnsi="Times New Roman" w:cs="Times New Roman"/>
          <w:noProof/>
          <w:sz w:val="24"/>
          <w:szCs w:val="24"/>
        </w:rPr>
        <w:t>2</w:t>
      </w:r>
      <w:r w:rsidR="009B55E5" w:rsidRPr="00E03CE0">
        <w:rPr>
          <w:rFonts w:ascii="Times New Roman" w:hAnsi="Times New Roman" w:cs="Times New Roman"/>
          <w:sz w:val="24"/>
          <w:szCs w:val="24"/>
        </w:rPr>
        <w:fldChar w:fldCharType="end"/>
      </w:r>
      <w:r w:rsidR="009B55E5" w:rsidRPr="00E03CE0">
        <w:rPr>
          <w:rFonts w:ascii="Times New Roman" w:hAnsi="Times New Roman" w:cs="Times New Roman"/>
          <w:sz w:val="24"/>
          <w:szCs w:val="24"/>
        </w:rPr>
        <w:t xml:space="preserve">, and </w:t>
      </w:r>
      <w:r w:rsidR="009B55E5" w:rsidRPr="00E03CE0">
        <w:rPr>
          <w:rFonts w:ascii="Times New Roman" w:hAnsi="Times New Roman" w:cs="Times New Roman"/>
          <w:sz w:val="24"/>
          <w:szCs w:val="24"/>
        </w:rPr>
        <w:fldChar w:fldCharType="begin"/>
      </w:r>
      <w:r w:rsidR="009B55E5" w:rsidRPr="00E03CE0">
        <w:rPr>
          <w:rFonts w:ascii="Times New Roman" w:hAnsi="Times New Roman" w:cs="Times New Roman"/>
          <w:sz w:val="24"/>
          <w:szCs w:val="24"/>
        </w:rPr>
        <w:instrText xml:space="preserve"> REF _Ref195911023 \h  \* MERGEFORMAT </w:instrText>
      </w:r>
      <w:r w:rsidR="009B55E5" w:rsidRPr="00E03CE0">
        <w:rPr>
          <w:rFonts w:ascii="Times New Roman" w:hAnsi="Times New Roman" w:cs="Times New Roman"/>
          <w:sz w:val="24"/>
          <w:szCs w:val="24"/>
        </w:rPr>
      </w:r>
      <w:r w:rsidR="009B55E5" w:rsidRPr="00E03CE0">
        <w:rPr>
          <w:rFonts w:ascii="Times New Roman" w:hAnsi="Times New Roman" w:cs="Times New Roman"/>
          <w:sz w:val="24"/>
          <w:szCs w:val="24"/>
        </w:rPr>
        <w:fldChar w:fldCharType="separate"/>
      </w:r>
      <w:r w:rsidR="009B55E5" w:rsidRPr="00E03CE0">
        <w:rPr>
          <w:rFonts w:ascii="Times New Roman" w:hAnsi="Times New Roman" w:cs="Times New Roman"/>
          <w:sz w:val="24"/>
          <w:szCs w:val="24"/>
        </w:rPr>
        <w:t xml:space="preserve">Figure </w:t>
      </w:r>
      <w:r w:rsidR="009B55E5" w:rsidRPr="00E03CE0">
        <w:rPr>
          <w:rFonts w:ascii="Times New Roman" w:hAnsi="Times New Roman" w:cs="Times New Roman"/>
          <w:noProof/>
          <w:sz w:val="24"/>
          <w:szCs w:val="24"/>
        </w:rPr>
        <w:t>3</w:t>
      </w:r>
      <w:r w:rsidR="009B55E5" w:rsidRPr="00E03CE0">
        <w:rPr>
          <w:rFonts w:ascii="Times New Roman" w:hAnsi="Times New Roman" w:cs="Times New Roman"/>
          <w:sz w:val="24"/>
          <w:szCs w:val="24"/>
        </w:rPr>
        <w:fldChar w:fldCharType="end"/>
      </w:r>
      <w:r w:rsidR="009B55E5" w:rsidRPr="00E03CE0">
        <w:rPr>
          <w:rFonts w:ascii="Times New Roman" w:hAnsi="Times New Roman" w:cs="Times New Roman"/>
          <w:sz w:val="24"/>
          <w:szCs w:val="24"/>
        </w:rPr>
        <w:t xml:space="preserve"> indicate bunching around the respective cutoffs.</w:t>
      </w:r>
    </w:p>
    <w:p w14:paraId="0AF7353A" w14:textId="77777777" w:rsidR="00BC6C72" w:rsidRPr="00E03CE0" w:rsidRDefault="00BC6C72" w:rsidP="00514D5C">
      <w:pPr>
        <w:spacing w:line="240" w:lineRule="auto"/>
        <w:jc w:val="both"/>
        <w:rPr>
          <w:rFonts w:ascii="Times New Roman" w:hAnsi="Times New Roman" w:cs="Times New Roman"/>
          <w:sz w:val="20"/>
          <w:szCs w:val="20"/>
        </w:rPr>
      </w:pPr>
    </w:p>
    <w:p w14:paraId="67BEED33" w14:textId="77777777" w:rsidR="009A246A" w:rsidRPr="00E03CE0" w:rsidRDefault="00E302B7">
      <w:pPr>
        <w:spacing w:line="240" w:lineRule="auto"/>
        <w:jc w:val="both"/>
      </w:pPr>
      <w:r w:rsidRPr="00E03CE0">
        <w:rPr>
          <w:rFonts w:ascii="Times New Roman" w:hAnsi="Times New Roman" w:cs="Times New Roman"/>
          <w:sz w:val="20"/>
          <w:szCs w:val="20"/>
        </w:rPr>
        <w:t xml:space="preserve"> </w:t>
      </w:r>
    </w:p>
    <w:p w14:paraId="229E9E1D" w14:textId="3B9A83D5" w:rsidR="009A246A" w:rsidRPr="00E03CE0" w:rsidRDefault="009A246A" w:rsidP="009A246A">
      <w:pPr>
        <w:pStyle w:val="Caption"/>
        <w:keepNext/>
        <w:spacing w:after="0"/>
        <w:jc w:val="both"/>
        <w:rPr>
          <w:rFonts w:ascii="Times New Roman" w:hAnsi="Times New Roman" w:cs="Times New Roman"/>
          <w:sz w:val="20"/>
          <w:szCs w:val="20"/>
        </w:rPr>
      </w:pPr>
      <w:bookmarkStart w:id="17" w:name="_Ref195911009"/>
      <w:r w:rsidRPr="00E03CE0">
        <w:rPr>
          <w:rFonts w:ascii="Times New Roman" w:hAnsi="Times New Roman" w:cs="Times New Roman"/>
          <w:sz w:val="20"/>
          <w:szCs w:val="20"/>
        </w:rPr>
        <w:lastRenderedPageBreak/>
        <w:t xml:space="preserve">Figure </w:t>
      </w:r>
      <w:r w:rsidRPr="00E03CE0">
        <w:rPr>
          <w:rFonts w:ascii="Times New Roman" w:hAnsi="Times New Roman" w:cs="Times New Roman"/>
          <w:sz w:val="20"/>
          <w:szCs w:val="20"/>
        </w:rPr>
        <w:fldChar w:fldCharType="begin"/>
      </w:r>
      <w:r w:rsidRPr="00E03CE0">
        <w:rPr>
          <w:rFonts w:ascii="Times New Roman" w:hAnsi="Times New Roman" w:cs="Times New Roman"/>
          <w:sz w:val="20"/>
          <w:szCs w:val="20"/>
        </w:rPr>
        <w:instrText xml:space="preserve"> SEQ Figure \* ARABIC </w:instrText>
      </w:r>
      <w:r w:rsidRPr="00E03CE0">
        <w:rPr>
          <w:rFonts w:ascii="Times New Roman" w:hAnsi="Times New Roman" w:cs="Times New Roman"/>
          <w:sz w:val="20"/>
          <w:szCs w:val="20"/>
        </w:rPr>
        <w:fldChar w:fldCharType="separate"/>
      </w:r>
      <w:r w:rsidRPr="00E03CE0">
        <w:rPr>
          <w:rFonts w:ascii="Times New Roman" w:hAnsi="Times New Roman" w:cs="Times New Roman"/>
          <w:noProof/>
          <w:sz w:val="20"/>
          <w:szCs w:val="20"/>
        </w:rPr>
        <w:t>1</w:t>
      </w:r>
      <w:r w:rsidRPr="00E03CE0">
        <w:rPr>
          <w:rFonts w:ascii="Times New Roman" w:hAnsi="Times New Roman" w:cs="Times New Roman"/>
          <w:sz w:val="20"/>
          <w:szCs w:val="20"/>
        </w:rPr>
        <w:fldChar w:fldCharType="end"/>
      </w:r>
      <w:bookmarkEnd w:id="17"/>
      <w:r w:rsidRPr="00E03CE0">
        <w:rPr>
          <w:rFonts w:ascii="Times New Roman" w:hAnsi="Times New Roman" w:cs="Times New Roman"/>
          <w:sz w:val="20"/>
          <w:szCs w:val="20"/>
        </w:rPr>
        <w:t>: Truncated Tobit Method for Workforce Size</w:t>
      </w:r>
    </w:p>
    <w:p w14:paraId="4C59CF6B" w14:textId="4E993CD1" w:rsidR="00591B78" w:rsidRPr="00E03CE0" w:rsidRDefault="00591B78">
      <w:pPr>
        <w:spacing w:line="240" w:lineRule="auto"/>
        <w:jc w:val="both"/>
        <w:rPr>
          <w:rFonts w:ascii="Times New Roman" w:hAnsi="Times New Roman" w:cs="Times New Roman"/>
          <w:sz w:val="24"/>
          <w:szCs w:val="24"/>
        </w:rPr>
      </w:pPr>
      <w:r w:rsidRPr="00E03CE0">
        <w:rPr>
          <w:rFonts w:ascii="Times New Roman" w:hAnsi="Times New Roman" w:cs="Times New Roman"/>
          <w:noProof/>
          <w:sz w:val="24"/>
          <w:szCs w:val="24"/>
        </w:rPr>
        <w:drawing>
          <wp:inline distT="0" distB="0" distL="0" distR="0" wp14:anchorId="2BC86E9D" wp14:editId="31B998D2">
            <wp:extent cx="5746652" cy="4185888"/>
            <wp:effectExtent l="0" t="0" r="6985" b="5715"/>
            <wp:docPr id="1942700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583" cy="4188023"/>
                    </a:xfrm>
                    <a:prstGeom prst="rect">
                      <a:avLst/>
                    </a:prstGeom>
                    <a:noFill/>
                    <a:ln>
                      <a:noFill/>
                    </a:ln>
                  </pic:spPr>
                </pic:pic>
              </a:graphicData>
            </a:graphic>
          </wp:inline>
        </w:drawing>
      </w:r>
    </w:p>
    <w:p w14:paraId="242BEE70" w14:textId="77777777" w:rsidR="00591B78" w:rsidRPr="00E03CE0" w:rsidRDefault="00591B78">
      <w:pPr>
        <w:spacing w:line="240" w:lineRule="auto"/>
        <w:jc w:val="both"/>
        <w:rPr>
          <w:rFonts w:ascii="Times New Roman" w:hAnsi="Times New Roman" w:cs="Times New Roman"/>
          <w:sz w:val="24"/>
          <w:szCs w:val="24"/>
        </w:rPr>
      </w:pPr>
    </w:p>
    <w:p w14:paraId="48F1F5FF" w14:textId="7DF05DB4" w:rsidR="009A246A" w:rsidRPr="00E03CE0" w:rsidRDefault="009A246A" w:rsidP="009A246A">
      <w:pPr>
        <w:pStyle w:val="Caption"/>
        <w:keepNext/>
        <w:spacing w:after="0"/>
        <w:jc w:val="both"/>
        <w:rPr>
          <w:rFonts w:ascii="Times New Roman" w:hAnsi="Times New Roman" w:cs="Times New Roman"/>
          <w:sz w:val="20"/>
          <w:szCs w:val="20"/>
        </w:rPr>
      </w:pPr>
      <w:bookmarkStart w:id="18" w:name="_Ref195911020"/>
      <w:r w:rsidRPr="00E03CE0">
        <w:rPr>
          <w:rFonts w:ascii="Times New Roman" w:hAnsi="Times New Roman" w:cs="Times New Roman"/>
          <w:sz w:val="20"/>
          <w:szCs w:val="20"/>
        </w:rPr>
        <w:lastRenderedPageBreak/>
        <w:t xml:space="preserve">Figure </w:t>
      </w:r>
      <w:r w:rsidRPr="00E03CE0">
        <w:rPr>
          <w:rFonts w:ascii="Times New Roman" w:hAnsi="Times New Roman" w:cs="Times New Roman"/>
          <w:sz w:val="20"/>
          <w:szCs w:val="20"/>
        </w:rPr>
        <w:fldChar w:fldCharType="begin"/>
      </w:r>
      <w:r w:rsidRPr="00E03CE0">
        <w:rPr>
          <w:rFonts w:ascii="Times New Roman" w:hAnsi="Times New Roman" w:cs="Times New Roman"/>
          <w:sz w:val="20"/>
          <w:szCs w:val="20"/>
        </w:rPr>
        <w:instrText xml:space="preserve"> SEQ Figure \* ARABIC </w:instrText>
      </w:r>
      <w:r w:rsidRPr="00E03CE0">
        <w:rPr>
          <w:rFonts w:ascii="Times New Roman" w:hAnsi="Times New Roman" w:cs="Times New Roman"/>
          <w:sz w:val="20"/>
          <w:szCs w:val="20"/>
        </w:rPr>
        <w:fldChar w:fldCharType="separate"/>
      </w:r>
      <w:r w:rsidRPr="00E03CE0">
        <w:rPr>
          <w:rFonts w:ascii="Times New Roman" w:hAnsi="Times New Roman" w:cs="Times New Roman"/>
          <w:noProof/>
          <w:sz w:val="20"/>
          <w:szCs w:val="20"/>
        </w:rPr>
        <w:t>2</w:t>
      </w:r>
      <w:r w:rsidRPr="00E03CE0">
        <w:rPr>
          <w:rFonts w:ascii="Times New Roman" w:hAnsi="Times New Roman" w:cs="Times New Roman"/>
          <w:sz w:val="20"/>
          <w:szCs w:val="20"/>
        </w:rPr>
        <w:fldChar w:fldCharType="end"/>
      </w:r>
      <w:bookmarkEnd w:id="18"/>
      <w:r w:rsidRPr="00E03CE0">
        <w:rPr>
          <w:rFonts w:ascii="Times New Roman" w:hAnsi="Times New Roman" w:cs="Times New Roman"/>
          <w:sz w:val="20"/>
          <w:szCs w:val="20"/>
        </w:rPr>
        <w:t>: Truncated Tobit Method for Workforce Expansion</w:t>
      </w:r>
    </w:p>
    <w:p w14:paraId="22EC448A" w14:textId="6E0A4C44" w:rsidR="00EB692D" w:rsidRPr="00E03CE0" w:rsidRDefault="00EB692D">
      <w:pPr>
        <w:spacing w:line="240" w:lineRule="auto"/>
        <w:jc w:val="both"/>
        <w:rPr>
          <w:rFonts w:ascii="Times New Roman" w:hAnsi="Times New Roman" w:cs="Times New Roman"/>
          <w:sz w:val="24"/>
          <w:szCs w:val="24"/>
        </w:rPr>
      </w:pPr>
      <w:r w:rsidRPr="00E03CE0">
        <w:rPr>
          <w:rFonts w:ascii="Times New Roman" w:hAnsi="Times New Roman" w:cs="Times New Roman"/>
          <w:noProof/>
          <w:sz w:val="24"/>
          <w:szCs w:val="24"/>
        </w:rPr>
        <w:drawing>
          <wp:inline distT="0" distB="0" distL="0" distR="0" wp14:anchorId="3D6B05FE" wp14:editId="312DEA16">
            <wp:extent cx="5507502" cy="4011689"/>
            <wp:effectExtent l="0" t="0" r="0" b="8255"/>
            <wp:docPr id="1858332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5791" cy="4017727"/>
                    </a:xfrm>
                    <a:prstGeom prst="rect">
                      <a:avLst/>
                    </a:prstGeom>
                    <a:noFill/>
                    <a:ln>
                      <a:noFill/>
                    </a:ln>
                  </pic:spPr>
                </pic:pic>
              </a:graphicData>
            </a:graphic>
          </wp:inline>
        </w:drawing>
      </w:r>
    </w:p>
    <w:p w14:paraId="76247439" w14:textId="77777777" w:rsidR="00EB692D" w:rsidRPr="00E03CE0" w:rsidRDefault="00EB692D">
      <w:pPr>
        <w:spacing w:line="240" w:lineRule="auto"/>
        <w:jc w:val="both"/>
        <w:rPr>
          <w:rFonts w:ascii="Times New Roman" w:hAnsi="Times New Roman" w:cs="Times New Roman"/>
          <w:sz w:val="24"/>
          <w:szCs w:val="24"/>
        </w:rPr>
      </w:pPr>
    </w:p>
    <w:p w14:paraId="7EBBCFB5" w14:textId="24783C32" w:rsidR="009A246A" w:rsidRPr="00E03CE0" w:rsidRDefault="009A246A" w:rsidP="009B55E5">
      <w:pPr>
        <w:pStyle w:val="Caption"/>
        <w:keepNext/>
        <w:spacing w:after="0"/>
        <w:jc w:val="both"/>
        <w:rPr>
          <w:rFonts w:ascii="Times New Roman" w:hAnsi="Times New Roman" w:cs="Times New Roman"/>
          <w:sz w:val="20"/>
          <w:szCs w:val="20"/>
        </w:rPr>
      </w:pPr>
      <w:bookmarkStart w:id="19" w:name="_Ref195911023"/>
      <w:r w:rsidRPr="00E03CE0">
        <w:rPr>
          <w:rFonts w:ascii="Times New Roman" w:hAnsi="Times New Roman" w:cs="Times New Roman"/>
          <w:sz w:val="20"/>
          <w:szCs w:val="20"/>
        </w:rPr>
        <w:lastRenderedPageBreak/>
        <w:t xml:space="preserve">Figure </w:t>
      </w:r>
      <w:r w:rsidRPr="00E03CE0">
        <w:rPr>
          <w:rFonts w:ascii="Times New Roman" w:hAnsi="Times New Roman" w:cs="Times New Roman"/>
          <w:sz w:val="20"/>
          <w:szCs w:val="20"/>
        </w:rPr>
        <w:fldChar w:fldCharType="begin"/>
      </w:r>
      <w:r w:rsidRPr="00E03CE0">
        <w:rPr>
          <w:rFonts w:ascii="Times New Roman" w:hAnsi="Times New Roman" w:cs="Times New Roman"/>
          <w:sz w:val="20"/>
          <w:szCs w:val="20"/>
        </w:rPr>
        <w:instrText xml:space="preserve"> SEQ Figure \* ARABIC </w:instrText>
      </w:r>
      <w:r w:rsidRPr="00E03CE0">
        <w:rPr>
          <w:rFonts w:ascii="Times New Roman" w:hAnsi="Times New Roman" w:cs="Times New Roman"/>
          <w:sz w:val="20"/>
          <w:szCs w:val="20"/>
        </w:rPr>
        <w:fldChar w:fldCharType="separate"/>
      </w:r>
      <w:r w:rsidRPr="00E03CE0">
        <w:rPr>
          <w:rFonts w:ascii="Times New Roman" w:hAnsi="Times New Roman" w:cs="Times New Roman"/>
          <w:noProof/>
          <w:sz w:val="20"/>
          <w:szCs w:val="20"/>
        </w:rPr>
        <w:t>3</w:t>
      </w:r>
      <w:r w:rsidRPr="00E03CE0">
        <w:rPr>
          <w:rFonts w:ascii="Times New Roman" w:hAnsi="Times New Roman" w:cs="Times New Roman"/>
          <w:sz w:val="20"/>
          <w:szCs w:val="20"/>
        </w:rPr>
        <w:fldChar w:fldCharType="end"/>
      </w:r>
      <w:bookmarkEnd w:id="19"/>
      <w:r w:rsidRPr="00E03CE0">
        <w:rPr>
          <w:rFonts w:ascii="Times New Roman" w:hAnsi="Times New Roman" w:cs="Times New Roman"/>
          <w:sz w:val="20"/>
          <w:szCs w:val="20"/>
        </w:rPr>
        <w:t>: Truncated Tobit Method for Share of Firms Which Attracted Under-skilled Job Applicants</w:t>
      </w:r>
    </w:p>
    <w:p w14:paraId="777CCE4C" w14:textId="78F4B914" w:rsidR="008A5B5C" w:rsidRPr="00E03CE0" w:rsidRDefault="00E638DE" w:rsidP="00563FA9">
      <w:pPr>
        <w:spacing w:line="240" w:lineRule="auto"/>
        <w:jc w:val="both"/>
        <w:rPr>
          <w:rFonts w:ascii="Times New Roman" w:hAnsi="Times New Roman" w:cs="Times New Roman"/>
          <w:sz w:val="24"/>
          <w:szCs w:val="24"/>
        </w:rPr>
      </w:pPr>
      <w:r w:rsidRPr="00E03CE0">
        <w:rPr>
          <w:rFonts w:ascii="Times New Roman" w:hAnsi="Times New Roman" w:cs="Times New Roman"/>
          <w:noProof/>
          <w:sz w:val="24"/>
          <w:szCs w:val="24"/>
        </w:rPr>
        <w:drawing>
          <wp:inline distT="0" distB="0" distL="0" distR="0" wp14:anchorId="07059D3E" wp14:editId="4FEA4A9A">
            <wp:extent cx="5254283" cy="3827244"/>
            <wp:effectExtent l="0" t="0" r="3810" b="1905"/>
            <wp:docPr id="13511121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4283" cy="3827244"/>
                    </a:xfrm>
                    <a:prstGeom prst="rect">
                      <a:avLst/>
                    </a:prstGeom>
                    <a:noFill/>
                    <a:ln>
                      <a:noFill/>
                    </a:ln>
                  </pic:spPr>
                </pic:pic>
              </a:graphicData>
            </a:graphic>
          </wp:inline>
        </w:drawing>
      </w:r>
      <w:r w:rsidR="00900B61" w:rsidRPr="00E03CE0">
        <w:rPr>
          <w:rFonts w:ascii="Times New Roman" w:hAnsi="Times New Roman" w:cs="Times New Roman"/>
          <w:sz w:val="20"/>
          <w:szCs w:val="20"/>
        </w:rPr>
        <w:t xml:space="preserve"> </w:t>
      </w:r>
    </w:p>
    <w:p w14:paraId="0A033B17" w14:textId="3EBEBCC4" w:rsidR="008A5B5C" w:rsidRPr="00E03CE0" w:rsidRDefault="002B11D9" w:rsidP="002B11D9">
      <w:pPr>
        <w:pStyle w:val="Heading2"/>
        <w:spacing w:line="240" w:lineRule="auto"/>
        <w:jc w:val="both"/>
        <w:rPr>
          <w:rFonts w:ascii="Times New Roman" w:hAnsi="Times New Roman" w:cs="Times New Roman"/>
          <w:b/>
          <w:bCs/>
          <w:color w:val="auto"/>
          <w:sz w:val="24"/>
          <w:szCs w:val="24"/>
        </w:rPr>
      </w:pPr>
      <w:bookmarkStart w:id="20" w:name="_Toc162614829"/>
      <w:r w:rsidRPr="00E03CE0">
        <w:rPr>
          <w:rFonts w:ascii="Times New Roman" w:hAnsi="Times New Roman" w:cs="Times New Roman"/>
          <w:b/>
          <w:bCs/>
          <w:color w:val="auto"/>
          <w:sz w:val="24"/>
          <w:szCs w:val="24"/>
        </w:rPr>
        <w:t>SUMMARY OF KEY FINDINGS</w:t>
      </w:r>
      <w:bookmarkEnd w:id="20"/>
    </w:p>
    <w:p w14:paraId="54FFC25D" w14:textId="28604273" w:rsidR="00BC2755" w:rsidRPr="00E03CE0" w:rsidRDefault="00154BD9" w:rsidP="002B11D9">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This paper</w:t>
      </w:r>
      <w:r w:rsidR="009F6319" w:rsidRPr="00E03CE0">
        <w:rPr>
          <w:rFonts w:ascii="Times New Roman" w:hAnsi="Times New Roman" w:cs="Times New Roman"/>
          <w:sz w:val="24"/>
          <w:szCs w:val="24"/>
        </w:rPr>
        <w:t xml:space="preserve"> aimed at analyzing the extent to which under-skilling among related enterprises affect under-skilling within focal firms</w:t>
      </w:r>
      <w:r w:rsidRPr="00E03CE0">
        <w:rPr>
          <w:rFonts w:ascii="Times New Roman" w:hAnsi="Times New Roman" w:cs="Times New Roman"/>
          <w:sz w:val="24"/>
          <w:szCs w:val="24"/>
        </w:rPr>
        <w:t>.</w:t>
      </w:r>
      <w:r w:rsidR="009F6319" w:rsidRPr="00E03CE0">
        <w:rPr>
          <w:rFonts w:ascii="Times New Roman" w:hAnsi="Times New Roman" w:cs="Times New Roman"/>
          <w:sz w:val="24"/>
          <w:szCs w:val="24"/>
        </w:rPr>
        <w:t xml:space="preserve"> Across the three sectors—manufacture, retail or wholesale, and other services—under-skilled was high, with 66-70% of enterprises reporting to have attracted under-skilled job applicants. Parametric estimation suggested that focal enterprises were less likely to attract under-skilled job seekers when under-skilling was high among their peers relative to when low.</w:t>
      </w:r>
      <w:r w:rsidR="00BC2755" w:rsidRPr="00E03CE0">
        <w:rPr>
          <w:rFonts w:ascii="Times New Roman" w:hAnsi="Times New Roman" w:cs="Times New Roman"/>
          <w:sz w:val="24"/>
          <w:szCs w:val="24"/>
        </w:rPr>
        <w:t xml:space="preserve"> This finding hints at social norm deviation as a behavioral response across enterprises—which could have been actualized via targeted employee sourcing, e.g., via high-quality referral mechanism or poaching. In terms of other factors, analyses hint at self-selection such that under-skilled job applicants were more likely to seek for employment in enterprises with a large number of employees relative to their peers. The first robustness </w:t>
      </w:r>
      <w:proofErr w:type="gramStart"/>
      <w:r w:rsidR="00BC2755" w:rsidRPr="00E03CE0">
        <w:rPr>
          <w:rFonts w:ascii="Times New Roman" w:hAnsi="Times New Roman" w:cs="Times New Roman"/>
          <w:sz w:val="24"/>
          <w:szCs w:val="24"/>
        </w:rPr>
        <w:t>check</w:t>
      </w:r>
      <w:proofErr w:type="gramEnd"/>
      <w:r w:rsidR="00BC2755" w:rsidRPr="00E03CE0">
        <w:rPr>
          <w:rFonts w:ascii="Times New Roman" w:hAnsi="Times New Roman" w:cs="Times New Roman"/>
          <w:sz w:val="24"/>
          <w:szCs w:val="24"/>
        </w:rPr>
        <w:t xml:space="preserve"> suggested that the reported regression discontinuity results were reliable. The second robustness check indicated bunching around the threshold for respective running variables. </w:t>
      </w:r>
    </w:p>
    <w:p w14:paraId="4B125614" w14:textId="51E0E2D2" w:rsidR="00876966" w:rsidRPr="00E03CE0" w:rsidRDefault="00325412" w:rsidP="00876966">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In line with the paper’s objective, and based on the findings, we conclude that focal enterprises countered under-skilling among their peers by being less attractive to under-skilled job seekers. Since focal firms’ behavior could drive up under-skilling among peers, by pulling skilled applicants, we recommend broad-based </w:t>
      </w:r>
      <w:r w:rsidR="00F85A50" w:rsidRPr="00E03CE0">
        <w:rPr>
          <w:rFonts w:ascii="Times New Roman" w:hAnsi="Times New Roman" w:cs="Times New Roman"/>
          <w:sz w:val="24"/>
          <w:szCs w:val="24"/>
        </w:rPr>
        <w:t>measures in combating under-skilling at the sector-region level. One such a measure could be regular coordination of skills training</w:t>
      </w:r>
      <w:r w:rsidR="00755974" w:rsidRPr="00E03CE0">
        <w:rPr>
          <w:rFonts w:ascii="Times New Roman" w:hAnsi="Times New Roman" w:cs="Times New Roman"/>
          <w:sz w:val="24"/>
          <w:szCs w:val="24"/>
        </w:rPr>
        <w:t xml:space="preserve"> workshops</w:t>
      </w:r>
      <w:r w:rsidR="00F85A50" w:rsidRPr="00E03CE0">
        <w:rPr>
          <w:rFonts w:ascii="Times New Roman" w:hAnsi="Times New Roman" w:cs="Times New Roman"/>
          <w:sz w:val="24"/>
          <w:szCs w:val="24"/>
        </w:rPr>
        <w:t xml:space="preserve"> at the sector-region level.</w:t>
      </w:r>
    </w:p>
    <w:p w14:paraId="62847FF5" w14:textId="77777777" w:rsidR="00876966" w:rsidRPr="00E03CE0" w:rsidRDefault="00876966" w:rsidP="00F85A50">
      <w:pPr>
        <w:spacing w:line="240" w:lineRule="auto"/>
        <w:jc w:val="both"/>
        <w:rPr>
          <w:rFonts w:ascii="Times New Roman" w:hAnsi="Times New Roman" w:cs="Times New Roman"/>
          <w:sz w:val="24"/>
          <w:szCs w:val="24"/>
        </w:rPr>
      </w:pPr>
    </w:p>
    <w:p w14:paraId="6C655A0C" w14:textId="0E6796B7" w:rsidR="00A93AEC" w:rsidRPr="00E03CE0" w:rsidRDefault="003F6E10" w:rsidP="001365F2">
      <w:pPr>
        <w:spacing w:line="240" w:lineRule="auto"/>
        <w:jc w:val="both"/>
        <w:rPr>
          <w:rFonts w:ascii="Times New Roman" w:hAnsi="Times New Roman" w:cs="Times New Roman"/>
          <w:sz w:val="24"/>
          <w:szCs w:val="24"/>
        </w:rPr>
      </w:pPr>
      <w:r w:rsidRPr="00E03CE0">
        <w:rPr>
          <w:rFonts w:ascii="Times New Roman" w:hAnsi="Times New Roman" w:cs="Times New Roman"/>
          <w:sz w:val="24"/>
          <w:szCs w:val="24"/>
        </w:rPr>
        <w:t xml:space="preserve">  </w:t>
      </w:r>
    </w:p>
    <w:p w14:paraId="37633078" w14:textId="31BAA973" w:rsidR="003A041D" w:rsidRPr="00E03CE0" w:rsidRDefault="00CE1D74" w:rsidP="001365F2">
      <w:pPr>
        <w:pStyle w:val="Heading1"/>
        <w:spacing w:line="240" w:lineRule="auto"/>
        <w:jc w:val="both"/>
        <w:rPr>
          <w:rFonts w:ascii="Times New Roman" w:hAnsi="Times New Roman" w:cs="Times New Roman"/>
          <w:b/>
          <w:bCs/>
          <w:color w:val="auto"/>
          <w:sz w:val="24"/>
          <w:szCs w:val="24"/>
        </w:rPr>
      </w:pPr>
      <w:bookmarkStart w:id="21" w:name="_Toc162614832"/>
      <w:r w:rsidRPr="00E03CE0">
        <w:rPr>
          <w:rFonts w:ascii="Times New Roman" w:hAnsi="Times New Roman" w:cs="Times New Roman"/>
          <w:b/>
          <w:bCs/>
          <w:color w:val="auto"/>
          <w:sz w:val="24"/>
          <w:szCs w:val="24"/>
        </w:rPr>
        <w:lastRenderedPageBreak/>
        <w:t>REFERENCES</w:t>
      </w:r>
      <w:bookmarkEnd w:id="21"/>
    </w:p>
    <w:p w14:paraId="1252BC47" w14:textId="19946A04"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Acemoglu, Daron, Gary W. Anderson, David N. Beede, Cathy Buffington, Eric E. Childress, Emin Dinlersoz, Lucia S. Foster, et al. “Automation and the Workforce: A Firm-Level View from the 2019 Annual Business Survey.” Working Paper. Working Paper Series. National Bureau of Economic Research, November 2022. </w:t>
      </w:r>
      <w:hyperlink r:id="rId11" w:history="1">
        <w:r w:rsidRPr="00E03CE0">
          <w:rPr>
            <w:rFonts w:ascii="Times New Roman" w:eastAsia="Times New Roman" w:hAnsi="Times New Roman" w:cs="Times New Roman"/>
            <w:sz w:val="20"/>
            <w:szCs w:val="20"/>
            <w:u w:val="single"/>
          </w:rPr>
          <w:t>https://doi.org/10.3386/w30659</w:t>
        </w:r>
      </w:hyperlink>
      <w:r w:rsidRPr="00E03CE0">
        <w:rPr>
          <w:rFonts w:ascii="Times New Roman" w:eastAsia="Times New Roman" w:hAnsi="Times New Roman" w:cs="Times New Roman"/>
          <w:sz w:val="20"/>
          <w:szCs w:val="20"/>
        </w:rPr>
        <w:t>.</w:t>
      </w:r>
    </w:p>
    <w:p w14:paraId="0B0DB601" w14:textId="4DD5C244"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Alfonsi, Livia, Oriana Bandiera, Vittorio Bassi, Robin Burgess, Imran Rasul, Munshi Sulaiman, and Anna Vitali. “Tackling Youth Unemployment: Evidence </w:t>
      </w:r>
      <w:r w:rsidR="00D712B4" w:rsidRPr="00E03CE0">
        <w:rPr>
          <w:rFonts w:ascii="Times New Roman" w:eastAsia="Times New Roman" w:hAnsi="Times New Roman" w:cs="Times New Roman"/>
          <w:sz w:val="20"/>
          <w:szCs w:val="20"/>
        </w:rPr>
        <w:t>f</w:t>
      </w:r>
      <w:r w:rsidRPr="00E03CE0">
        <w:rPr>
          <w:rFonts w:ascii="Times New Roman" w:eastAsia="Times New Roman" w:hAnsi="Times New Roman" w:cs="Times New Roman"/>
          <w:sz w:val="20"/>
          <w:szCs w:val="20"/>
        </w:rPr>
        <w:t xml:space="preserve">rom a Labor Market Experiment in Uganda.” </w:t>
      </w:r>
      <w:proofErr w:type="spellStart"/>
      <w:r w:rsidRPr="00E03CE0">
        <w:rPr>
          <w:rFonts w:ascii="Times New Roman" w:eastAsia="Times New Roman" w:hAnsi="Times New Roman" w:cs="Times New Roman"/>
          <w:i/>
          <w:iCs/>
          <w:sz w:val="20"/>
          <w:szCs w:val="20"/>
        </w:rPr>
        <w:t>Econometrica</w:t>
      </w:r>
      <w:proofErr w:type="spellEnd"/>
      <w:r w:rsidRPr="00E03CE0">
        <w:rPr>
          <w:rFonts w:ascii="Times New Roman" w:eastAsia="Times New Roman" w:hAnsi="Times New Roman" w:cs="Times New Roman"/>
          <w:sz w:val="20"/>
          <w:szCs w:val="20"/>
        </w:rPr>
        <w:t xml:space="preserve"> 88, no. 6 (2020): 2369–2414. </w:t>
      </w:r>
      <w:hyperlink r:id="rId12" w:history="1">
        <w:r w:rsidRPr="00E03CE0">
          <w:rPr>
            <w:rFonts w:ascii="Times New Roman" w:eastAsia="Times New Roman" w:hAnsi="Times New Roman" w:cs="Times New Roman"/>
            <w:sz w:val="20"/>
            <w:szCs w:val="20"/>
            <w:u w:val="single"/>
          </w:rPr>
          <w:t>https://doi.org/10.3982/ECTA15959</w:t>
        </w:r>
      </w:hyperlink>
      <w:r w:rsidRPr="00E03CE0">
        <w:rPr>
          <w:rFonts w:ascii="Times New Roman" w:eastAsia="Times New Roman" w:hAnsi="Times New Roman" w:cs="Times New Roman"/>
          <w:sz w:val="20"/>
          <w:szCs w:val="20"/>
        </w:rPr>
        <w:t>.</w:t>
      </w:r>
    </w:p>
    <w:p w14:paraId="280BFF69" w14:textId="7F7E6FE3"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Amutabi</w:t>
      </w:r>
      <w:proofErr w:type="spellEnd"/>
      <w:r w:rsidRPr="00E03CE0">
        <w:rPr>
          <w:rFonts w:ascii="Times New Roman" w:eastAsia="Times New Roman" w:hAnsi="Times New Roman" w:cs="Times New Roman"/>
          <w:sz w:val="20"/>
          <w:szCs w:val="20"/>
        </w:rPr>
        <w:t xml:space="preserve">, Cyprian, and Anthony Wambugu. “Determinants of Labor Productivity among SMEs and Large-Sized Private Service Firms in Kenya.” </w:t>
      </w:r>
      <w:r w:rsidRPr="00E03CE0">
        <w:rPr>
          <w:rFonts w:ascii="Times New Roman" w:eastAsia="Times New Roman" w:hAnsi="Times New Roman" w:cs="Times New Roman"/>
          <w:i/>
          <w:iCs/>
          <w:sz w:val="20"/>
          <w:szCs w:val="20"/>
        </w:rPr>
        <w:t>African Development Review</w:t>
      </w:r>
      <w:r w:rsidRPr="00E03CE0">
        <w:rPr>
          <w:rFonts w:ascii="Times New Roman" w:eastAsia="Times New Roman" w:hAnsi="Times New Roman" w:cs="Times New Roman"/>
          <w:sz w:val="20"/>
          <w:szCs w:val="20"/>
        </w:rPr>
        <w:t xml:space="preserve"> 32, no. 4 (2020): 591–604. </w:t>
      </w:r>
      <w:hyperlink r:id="rId13" w:history="1">
        <w:r w:rsidRPr="00E03CE0">
          <w:rPr>
            <w:rFonts w:ascii="Times New Roman" w:eastAsia="Times New Roman" w:hAnsi="Times New Roman" w:cs="Times New Roman"/>
            <w:sz w:val="20"/>
            <w:szCs w:val="20"/>
            <w:u w:val="single"/>
          </w:rPr>
          <w:t>https://doi.org/10.1111/1467-8268.12463</w:t>
        </w:r>
      </w:hyperlink>
      <w:r w:rsidRPr="00E03CE0">
        <w:rPr>
          <w:rFonts w:ascii="Times New Roman" w:eastAsia="Times New Roman" w:hAnsi="Times New Roman" w:cs="Times New Roman"/>
          <w:sz w:val="20"/>
          <w:szCs w:val="20"/>
        </w:rPr>
        <w:t>.</w:t>
      </w:r>
    </w:p>
    <w:p w14:paraId="3B64A6A4" w14:textId="6F597F6B"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Andreoni, Antonio, Pamela </w:t>
      </w:r>
      <w:proofErr w:type="spellStart"/>
      <w:r w:rsidRPr="00E03CE0">
        <w:rPr>
          <w:rFonts w:ascii="Times New Roman" w:eastAsia="Times New Roman" w:hAnsi="Times New Roman" w:cs="Times New Roman"/>
          <w:sz w:val="20"/>
          <w:szCs w:val="20"/>
        </w:rPr>
        <w:t>Mondliwa</w:t>
      </w:r>
      <w:proofErr w:type="spellEnd"/>
      <w:r w:rsidRPr="00E03CE0">
        <w:rPr>
          <w:rFonts w:ascii="Times New Roman" w:eastAsia="Times New Roman" w:hAnsi="Times New Roman" w:cs="Times New Roman"/>
          <w:sz w:val="20"/>
          <w:szCs w:val="20"/>
        </w:rPr>
        <w:t xml:space="preserve">, Simon Roberts, and Fiona Tregenna, eds. </w:t>
      </w:r>
      <w:r w:rsidRPr="00E03CE0">
        <w:rPr>
          <w:rFonts w:ascii="Times New Roman" w:eastAsia="Times New Roman" w:hAnsi="Times New Roman" w:cs="Times New Roman"/>
          <w:i/>
          <w:iCs/>
          <w:sz w:val="20"/>
          <w:szCs w:val="20"/>
        </w:rPr>
        <w:t>Structural Transformation in South Africa: The Challenges of Inclusive Industrial Development in a Middle-Income Country</w:t>
      </w:r>
      <w:r w:rsidRPr="00E03CE0">
        <w:rPr>
          <w:rFonts w:ascii="Times New Roman" w:eastAsia="Times New Roman" w:hAnsi="Times New Roman" w:cs="Times New Roman"/>
          <w:sz w:val="20"/>
          <w:szCs w:val="20"/>
        </w:rPr>
        <w:t xml:space="preserve">. 1st ed. Oxford University </w:t>
      </w:r>
      <w:proofErr w:type="spellStart"/>
      <w:r w:rsidRPr="00E03CE0">
        <w:rPr>
          <w:rFonts w:ascii="Times New Roman" w:eastAsia="Times New Roman" w:hAnsi="Times New Roman" w:cs="Times New Roman"/>
          <w:sz w:val="20"/>
          <w:szCs w:val="20"/>
        </w:rPr>
        <w:t>PressOxford</w:t>
      </w:r>
      <w:proofErr w:type="spellEnd"/>
      <w:r w:rsidRPr="00E03CE0">
        <w:rPr>
          <w:rFonts w:ascii="Times New Roman" w:eastAsia="Times New Roman" w:hAnsi="Times New Roman" w:cs="Times New Roman"/>
          <w:sz w:val="20"/>
          <w:szCs w:val="20"/>
        </w:rPr>
        <w:t xml:space="preserve">, 2021. </w:t>
      </w:r>
      <w:hyperlink r:id="rId14" w:history="1">
        <w:r w:rsidRPr="00E03CE0">
          <w:rPr>
            <w:rFonts w:ascii="Times New Roman" w:eastAsia="Times New Roman" w:hAnsi="Times New Roman" w:cs="Times New Roman"/>
            <w:sz w:val="20"/>
            <w:szCs w:val="20"/>
            <w:u w:val="single"/>
          </w:rPr>
          <w:t>https://doi.org/10.1093/oso/9780192894311.001.0001</w:t>
        </w:r>
      </w:hyperlink>
      <w:r w:rsidRPr="00E03CE0">
        <w:rPr>
          <w:rFonts w:ascii="Times New Roman" w:eastAsia="Times New Roman" w:hAnsi="Times New Roman" w:cs="Times New Roman"/>
          <w:sz w:val="20"/>
          <w:szCs w:val="20"/>
        </w:rPr>
        <w:t>.</w:t>
      </w:r>
    </w:p>
    <w:p w14:paraId="1F59AF6E" w14:textId="77777777"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Ashraf, Nava, Oriana Bandiera, Virginia Minni, and Luigi Zingales. “Meaning at Work.” (February 2024). </w:t>
      </w:r>
    </w:p>
    <w:p w14:paraId="4EABDE3C" w14:textId="3B626158"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Audretsch</w:t>
      </w:r>
      <w:proofErr w:type="spellEnd"/>
      <w:r w:rsidRPr="00E03CE0">
        <w:rPr>
          <w:rFonts w:ascii="Times New Roman" w:eastAsia="Times New Roman" w:hAnsi="Times New Roman" w:cs="Times New Roman"/>
          <w:sz w:val="20"/>
          <w:szCs w:val="20"/>
        </w:rPr>
        <w:t xml:space="preserve">, David B., Maksim </w:t>
      </w:r>
      <w:proofErr w:type="spellStart"/>
      <w:r w:rsidRPr="00E03CE0">
        <w:rPr>
          <w:rFonts w:ascii="Times New Roman" w:eastAsia="Times New Roman" w:hAnsi="Times New Roman" w:cs="Times New Roman"/>
          <w:sz w:val="20"/>
          <w:szCs w:val="20"/>
        </w:rPr>
        <w:t>Belitski</w:t>
      </w:r>
      <w:proofErr w:type="spellEnd"/>
      <w:r w:rsidRPr="00E03CE0">
        <w:rPr>
          <w:rFonts w:ascii="Times New Roman" w:eastAsia="Times New Roman" w:hAnsi="Times New Roman" w:cs="Times New Roman"/>
          <w:sz w:val="20"/>
          <w:szCs w:val="20"/>
        </w:rPr>
        <w:t xml:space="preserve">, Rosa Caiazza, and Phillip Phan. “Collaboration Strategies and SME Innovation Performance.” </w:t>
      </w:r>
      <w:r w:rsidRPr="00E03CE0">
        <w:rPr>
          <w:rFonts w:ascii="Times New Roman" w:eastAsia="Times New Roman" w:hAnsi="Times New Roman" w:cs="Times New Roman"/>
          <w:i/>
          <w:iCs/>
          <w:sz w:val="20"/>
          <w:szCs w:val="20"/>
        </w:rPr>
        <w:t>Journal of Business Research</w:t>
      </w:r>
      <w:r w:rsidRPr="00E03CE0">
        <w:rPr>
          <w:rFonts w:ascii="Times New Roman" w:eastAsia="Times New Roman" w:hAnsi="Times New Roman" w:cs="Times New Roman"/>
          <w:sz w:val="20"/>
          <w:szCs w:val="20"/>
        </w:rPr>
        <w:t xml:space="preserve"> 164 (September 1, 2023): 114018. </w:t>
      </w:r>
      <w:hyperlink r:id="rId15" w:history="1">
        <w:r w:rsidRPr="00E03CE0">
          <w:rPr>
            <w:rFonts w:ascii="Times New Roman" w:eastAsia="Times New Roman" w:hAnsi="Times New Roman" w:cs="Times New Roman"/>
            <w:sz w:val="20"/>
            <w:szCs w:val="20"/>
            <w:u w:val="single"/>
          </w:rPr>
          <w:t>https://doi.org/10.1016/j.jbusres.2023.114018</w:t>
        </w:r>
      </w:hyperlink>
      <w:r w:rsidRPr="00E03CE0">
        <w:rPr>
          <w:rFonts w:ascii="Times New Roman" w:eastAsia="Times New Roman" w:hAnsi="Times New Roman" w:cs="Times New Roman"/>
          <w:sz w:val="20"/>
          <w:szCs w:val="20"/>
        </w:rPr>
        <w:t>.</w:t>
      </w:r>
    </w:p>
    <w:p w14:paraId="7AD85C3E" w14:textId="2D60D6D7"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Bandiera, Oriana, Vittorio Bassi, Robin Burgess, Imran Rasul, Munshi Sulaiman, and Anna Vitali. “The Search for Good Jobs: Evidence from a Six-Year Field Experiment in Uganda.” Working Paper. Working Paper Series. National Bureau of Economic Research, August 2023. </w:t>
      </w:r>
      <w:hyperlink r:id="rId16" w:history="1">
        <w:r w:rsidRPr="00E03CE0">
          <w:rPr>
            <w:rFonts w:ascii="Times New Roman" w:eastAsia="Times New Roman" w:hAnsi="Times New Roman" w:cs="Times New Roman"/>
            <w:sz w:val="20"/>
            <w:szCs w:val="20"/>
            <w:u w:val="single"/>
          </w:rPr>
          <w:t>https://doi.org/10.3386/w31570</w:t>
        </w:r>
      </w:hyperlink>
      <w:r w:rsidRPr="00E03CE0">
        <w:rPr>
          <w:rFonts w:ascii="Times New Roman" w:eastAsia="Times New Roman" w:hAnsi="Times New Roman" w:cs="Times New Roman"/>
          <w:sz w:val="20"/>
          <w:szCs w:val="20"/>
        </w:rPr>
        <w:t>.</w:t>
      </w:r>
    </w:p>
    <w:p w14:paraId="5957C303" w14:textId="6FAACC88"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Barrios, John Manuel, Laura M. Giuliano, and Andrew J. Leone. “In Living Color: Does In-Person Screening Affect Who Gets Hired?” SSRN Scholarly Paper. Rochester, NY, March 31, 2020. </w:t>
      </w:r>
      <w:hyperlink r:id="rId17" w:history="1">
        <w:r w:rsidRPr="00E03CE0">
          <w:rPr>
            <w:rFonts w:ascii="Times New Roman" w:eastAsia="Times New Roman" w:hAnsi="Times New Roman" w:cs="Times New Roman"/>
            <w:sz w:val="20"/>
            <w:szCs w:val="20"/>
            <w:u w:val="single"/>
          </w:rPr>
          <w:t>https://doi.org/10.2139/ssrn.3571595</w:t>
        </w:r>
      </w:hyperlink>
      <w:r w:rsidRPr="00E03CE0">
        <w:rPr>
          <w:rFonts w:ascii="Times New Roman" w:eastAsia="Times New Roman" w:hAnsi="Times New Roman" w:cs="Times New Roman"/>
          <w:sz w:val="20"/>
          <w:szCs w:val="20"/>
        </w:rPr>
        <w:t>.</w:t>
      </w:r>
    </w:p>
    <w:p w14:paraId="24D4BB16" w14:textId="77777777" w:rsidR="00876966"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Beaman, Lori, and Jeremy Magruder. “Who Gets the Job Referral? Evidence from a Social Networks Experiment.” </w:t>
      </w:r>
      <w:r w:rsidRPr="00E03CE0">
        <w:rPr>
          <w:rFonts w:ascii="Times New Roman" w:eastAsia="Times New Roman" w:hAnsi="Times New Roman" w:cs="Times New Roman"/>
          <w:i/>
          <w:iCs/>
          <w:sz w:val="20"/>
          <w:szCs w:val="20"/>
        </w:rPr>
        <w:t>American Economic Review</w:t>
      </w:r>
      <w:r w:rsidRPr="00E03CE0">
        <w:rPr>
          <w:rFonts w:ascii="Times New Roman" w:eastAsia="Times New Roman" w:hAnsi="Times New Roman" w:cs="Times New Roman"/>
          <w:sz w:val="20"/>
          <w:szCs w:val="20"/>
        </w:rPr>
        <w:t xml:space="preserve"> 102, no. 7 (December 2012): 3574–93. </w:t>
      </w:r>
      <w:hyperlink r:id="rId18" w:history="1">
        <w:r w:rsidRPr="00E03CE0">
          <w:rPr>
            <w:rFonts w:ascii="Times New Roman" w:eastAsia="Times New Roman" w:hAnsi="Times New Roman" w:cs="Times New Roman"/>
            <w:sz w:val="20"/>
            <w:szCs w:val="20"/>
            <w:u w:val="single"/>
          </w:rPr>
          <w:t>https://doi.org/10.1257/aer.102.7.3574</w:t>
        </w:r>
      </w:hyperlink>
      <w:r w:rsidRPr="00E03CE0">
        <w:rPr>
          <w:rFonts w:ascii="Times New Roman" w:eastAsia="Times New Roman" w:hAnsi="Times New Roman" w:cs="Times New Roman"/>
          <w:sz w:val="20"/>
          <w:szCs w:val="20"/>
        </w:rPr>
        <w:t>.</w:t>
      </w:r>
    </w:p>
    <w:p w14:paraId="31878400" w14:textId="77777777" w:rsidR="00876966" w:rsidRPr="00E03CE0" w:rsidRDefault="00876966"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hAnsi="Times New Roman" w:cs="Times New Roman"/>
          <w:sz w:val="20"/>
          <w:szCs w:val="20"/>
        </w:rPr>
        <w:t>Bertanha</w:t>
      </w:r>
      <w:proofErr w:type="spellEnd"/>
      <w:r w:rsidRPr="00E03CE0">
        <w:rPr>
          <w:rFonts w:ascii="Times New Roman" w:hAnsi="Times New Roman" w:cs="Times New Roman"/>
          <w:sz w:val="20"/>
          <w:szCs w:val="20"/>
        </w:rPr>
        <w:t xml:space="preserve">, Marinho, Carolina Caetano, Hugo Jales, and Nathan Seegert. “Bunching Estimation Methods.” In </w:t>
      </w:r>
      <w:r w:rsidRPr="00E03CE0">
        <w:rPr>
          <w:rFonts w:ascii="Times New Roman" w:hAnsi="Times New Roman" w:cs="Times New Roman"/>
          <w:i/>
          <w:iCs/>
          <w:sz w:val="20"/>
          <w:szCs w:val="20"/>
        </w:rPr>
        <w:t>Handbook of Labor, Human Resources and Population Economics</w:t>
      </w:r>
      <w:r w:rsidRPr="00E03CE0">
        <w:rPr>
          <w:rFonts w:ascii="Times New Roman" w:hAnsi="Times New Roman" w:cs="Times New Roman"/>
          <w:sz w:val="20"/>
          <w:szCs w:val="20"/>
        </w:rPr>
        <w:t xml:space="preserve">, edited by Klaus F. Zimmermann, 1–44. Cham: Springer International Publishing, 2024. </w:t>
      </w:r>
      <w:hyperlink r:id="rId19" w:history="1">
        <w:r w:rsidRPr="00E03CE0">
          <w:rPr>
            <w:rStyle w:val="Hyperlink"/>
            <w:rFonts w:ascii="Times New Roman" w:hAnsi="Times New Roman" w:cs="Times New Roman"/>
            <w:sz w:val="20"/>
            <w:szCs w:val="20"/>
          </w:rPr>
          <w:t>https://doi.org/10.1007/978-3-319-57365-6_382-1</w:t>
        </w:r>
      </w:hyperlink>
      <w:r w:rsidRPr="00E03CE0">
        <w:rPr>
          <w:rFonts w:ascii="Times New Roman" w:hAnsi="Times New Roman" w:cs="Times New Roman"/>
          <w:sz w:val="20"/>
          <w:szCs w:val="20"/>
        </w:rPr>
        <w:t>.</w:t>
      </w:r>
    </w:p>
    <w:p w14:paraId="320C772A" w14:textId="77777777" w:rsidR="00876966" w:rsidRPr="00E03CE0" w:rsidRDefault="00876966"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hAnsi="Times New Roman" w:cs="Times New Roman"/>
          <w:sz w:val="20"/>
          <w:szCs w:val="20"/>
        </w:rPr>
        <w:t>Bertanha</w:t>
      </w:r>
      <w:proofErr w:type="spellEnd"/>
      <w:r w:rsidRPr="00E03CE0">
        <w:rPr>
          <w:rFonts w:ascii="Times New Roman" w:hAnsi="Times New Roman" w:cs="Times New Roman"/>
          <w:sz w:val="20"/>
          <w:szCs w:val="20"/>
        </w:rPr>
        <w:t xml:space="preserve">, Marinho, Andrew H. McCallum, Alexis Payne, and Nathan Seegert. “Bunching Estimation of Elasticities Using Stata.” </w:t>
      </w:r>
      <w:r w:rsidRPr="00E03CE0">
        <w:rPr>
          <w:rFonts w:ascii="Times New Roman" w:hAnsi="Times New Roman" w:cs="Times New Roman"/>
          <w:i/>
          <w:iCs/>
          <w:sz w:val="20"/>
          <w:szCs w:val="20"/>
        </w:rPr>
        <w:t>Finance and Economics Discussion Series</w:t>
      </w:r>
      <w:r w:rsidRPr="00E03CE0">
        <w:rPr>
          <w:rFonts w:ascii="Times New Roman" w:hAnsi="Times New Roman" w:cs="Times New Roman"/>
          <w:sz w:val="20"/>
          <w:szCs w:val="20"/>
        </w:rPr>
        <w:t xml:space="preserve"> 2021.0, no. 4 (January 2021): 1–21. </w:t>
      </w:r>
      <w:hyperlink r:id="rId20" w:history="1">
        <w:r w:rsidRPr="00E03CE0">
          <w:rPr>
            <w:rStyle w:val="Hyperlink"/>
            <w:rFonts w:ascii="Times New Roman" w:hAnsi="Times New Roman" w:cs="Times New Roman"/>
            <w:sz w:val="20"/>
            <w:szCs w:val="20"/>
          </w:rPr>
          <w:t>https://doi.org/10.17016/feds.2021.006</w:t>
        </w:r>
      </w:hyperlink>
      <w:r w:rsidRPr="00E03CE0">
        <w:rPr>
          <w:rFonts w:ascii="Times New Roman" w:hAnsi="Times New Roman" w:cs="Times New Roman"/>
          <w:sz w:val="20"/>
          <w:szCs w:val="20"/>
        </w:rPr>
        <w:t>.</w:t>
      </w:r>
    </w:p>
    <w:p w14:paraId="5F75A0EB" w14:textId="41BAB05B" w:rsidR="00876966" w:rsidRPr="00E03CE0" w:rsidRDefault="00876966"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hAnsi="Times New Roman" w:cs="Times New Roman"/>
          <w:sz w:val="20"/>
          <w:szCs w:val="20"/>
        </w:rPr>
        <w:t xml:space="preserve">Boerma, Job, Aleh </w:t>
      </w:r>
      <w:proofErr w:type="spellStart"/>
      <w:r w:rsidRPr="00E03CE0">
        <w:rPr>
          <w:rFonts w:ascii="Times New Roman" w:hAnsi="Times New Roman" w:cs="Times New Roman"/>
          <w:sz w:val="20"/>
          <w:szCs w:val="20"/>
        </w:rPr>
        <w:t>Tsyvinski</w:t>
      </w:r>
      <w:proofErr w:type="spellEnd"/>
      <w:r w:rsidRPr="00E03CE0">
        <w:rPr>
          <w:rFonts w:ascii="Times New Roman" w:hAnsi="Times New Roman" w:cs="Times New Roman"/>
          <w:sz w:val="20"/>
          <w:szCs w:val="20"/>
        </w:rPr>
        <w:t>, and Alexander P. Zimin. “Bunching and Taxing Multidimensional Skills,” April 2022.</w:t>
      </w:r>
    </w:p>
    <w:p w14:paraId="52506B39" w14:textId="0120C6E7"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Braunerhjelm</w:t>
      </w:r>
      <w:proofErr w:type="spellEnd"/>
      <w:r w:rsidRPr="00E03CE0">
        <w:rPr>
          <w:rFonts w:ascii="Times New Roman" w:eastAsia="Times New Roman" w:hAnsi="Times New Roman" w:cs="Times New Roman"/>
          <w:sz w:val="20"/>
          <w:szCs w:val="20"/>
        </w:rPr>
        <w:t xml:space="preserve">, Pontus, Ding </w:t>
      </w:r>
      <w:proofErr w:type="spellStart"/>
      <w:r w:rsidRPr="00E03CE0">
        <w:rPr>
          <w:rFonts w:ascii="Times New Roman" w:eastAsia="Times New Roman" w:hAnsi="Times New Roman" w:cs="Times New Roman"/>
          <w:sz w:val="20"/>
          <w:szCs w:val="20"/>
        </w:rPr>
        <w:t>Ding</w:t>
      </w:r>
      <w:proofErr w:type="spellEnd"/>
      <w:r w:rsidRPr="00E03CE0">
        <w:rPr>
          <w:rFonts w:ascii="Times New Roman" w:eastAsia="Times New Roman" w:hAnsi="Times New Roman" w:cs="Times New Roman"/>
          <w:sz w:val="20"/>
          <w:szCs w:val="20"/>
        </w:rPr>
        <w:t xml:space="preserve">, and Per Thulin. “Labour Market Mobility, Knowledge Diffusion and Innovation.” </w:t>
      </w:r>
      <w:r w:rsidRPr="00E03CE0">
        <w:rPr>
          <w:rFonts w:ascii="Times New Roman" w:eastAsia="Times New Roman" w:hAnsi="Times New Roman" w:cs="Times New Roman"/>
          <w:i/>
          <w:iCs/>
          <w:sz w:val="20"/>
          <w:szCs w:val="20"/>
        </w:rPr>
        <w:t>European Economic Review</w:t>
      </w:r>
      <w:r w:rsidRPr="00E03CE0">
        <w:rPr>
          <w:rFonts w:ascii="Times New Roman" w:eastAsia="Times New Roman" w:hAnsi="Times New Roman" w:cs="Times New Roman"/>
          <w:sz w:val="20"/>
          <w:szCs w:val="20"/>
        </w:rPr>
        <w:t xml:space="preserve"> 123 (April 1, 2020): 103386. </w:t>
      </w:r>
      <w:hyperlink r:id="rId21" w:history="1">
        <w:r w:rsidRPr="00E03CE0">
          <w:rPr>
            <w:rFonts w:ascii="Times New Roman" w:eastAsia="Times New Roman" w:hAnsi="Times New Roman" w:cs="Times New Roman"/>
            <w:sz w:val="20"/>
            <w:szCs w:val="20"/>
            <w:u w:val="single"/>
          </w:rPr>
          <w:t>https://doi.org/10.1016/j.euroecorev.2020.103386</w:t>
        </w:r>
      </w:hyperlink>
      <w:r w:rsidRPr="00E03CE0">
        <w:rPr>
          <w:rFonts w:ascii="Times New Roman" w:eastAsia="Times New Roman" w:hAnsi="Times New Roman" w:cs="Times New Roman"/>
          <w:sz w:val="20"/>
          <w:szCs w:val="20"/>
        </w:rPr>
        <w:t>.</w:t>
      </w:r>
    </w:p>
    <w:p w14:paraId="722E5CA5" w14:textId="4E840B27"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Brunello, Giorgio, and Patricia </w:t>
      </w:r>
      <w:proofErr w:type="spellStart"/>
      <w:r w:rsidRPr="00E03CE0">
        <w:rPr>
          <w:rFonts w:ascii="Times New Roman" w:eastAsia="Times New Roman" w:hAnsi="Times New Roman" w:cs="Times New Roman"/>
          <w:sz w:val="20"/>
          <w:szCs w:val="20"/>
        </w:rPr>
        <w:t>Wruuck</w:t>
      </w:r>
      <w:proofErr w:type="spellEnd"/>
      <w:r w:rsidRPr="00E03CE0">
        <w:rPr>
          <w:rFonts w:ascii="Times New Roman" w:eastAsia="Times New Roman" w:hAnsi="Times New Roman" w:cs="Times New Roman"/>
          <w:sz w:val="20"/>
          <w:szCs w:val="20"/>
        </w:rPr>
        <w:t xml:space="preserve">. “Skill Shortages and Skill Mismatch: A Review of the Literature.” </w:t>
      </w:r>
      <w:r w:rsidRPr="00E03CE0">
        <w:rPr>
          <w:rFonts w:ascii="Times New Roman" w:eastAsia="Times New Roman" w:hAnsi="Times New Roman" w:cs="Times New Roman"/>
          <w:i/>
          <w:iCs/>
          <w:sz w:val="20"/>
          <w:szCs w:val="20"/>
        </w:rPr>
        <w:t>Journal of Economic Surveys</w:t>
      </w:r>
      <w:r w:rsidRPr="00E03CE0">
        <w:rPr>
          <w:rFonts w:ascii="Times New Roman" w:eastAsia="Times New Roman" w:hAnsi="Times New Roman" w:cs="Times New Roman"/>
          <w:sz w:val="20"/>
          <w:szCs w:val="20"/>
        </w:rPr>
        <w:t xml:space="preserve"> 35, no. 4 (2021): 1145–67. </w:t>
      </w:r>
      <w:hyperlink r:id="rId22" w:history="1">
        <w:r w:rsidRPr="00E03CE0">
          <w:rPr>
            <w:rFonts w:ascii="Times New Roman" w:eastAsia="Times New Roman" w:hAnsi="Times New Roman" w:cs="Times New Roman"/>
            <w:sz w:val="20"/>
            <w:szCs w:val="20"/>
            <w:u w:val="single"/>
          </w:rPr>
          <w:t>https://doi.org/10.1111/joes.12424</w:t>
        </w:r>
      </w:hyperlink>
      <w:r w:rsidRPr="00E03CE0">
        <w:rPr>
          <w:rFonts w:ascii="Times New Roman" w:eastAsia="Times New Roman" w:hAnsi="Times New Roman" w:cs="Times New Roman"/>
          <w:sz w:val="20"/>
          <w:szCs w:val="20"/>
        </w:rPr>
        <w:t>.</w:t>
      </w:r>
    </w:p>
    <w:p w14:paraId="1956E459" w14:textId="400BE20D" w:rsidR="007D7574"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Bustos, Paula, Juan Manuel Castro-Vincenzi, Joan </w:t>
      </w:r>
      <w:proofErr w:type="spellStart"/>
      <w:r w:rsidRPr="00E03CE0">
        <w:rPr>
          <w:rFonts w:ascii="Times New Roman" w:eastAsia="Times New Roman" w:hAnsi="Times New Roman" w:cs="Times New Roman"/>
          <w:sz w:val="20"/>
          <w:szCs w:val="20"/>
        </w:rPr>
        <w:t>Monras</w:t>
      </w:r>
      <w:proofErr w:type="spellEnd"/>
      <w:r w:rsidRPr="00E03CE0">
        <w:rPr>
          <w:rFonts w:ascii="Times New Roman" w:eastAsia="Times New Roman" w:hAnsi="Times New Roman" w:cs="Times New Roman"/>
          <w:sz w:val="20"/>
          <w:szCs w:val="20"/>
        </w:rPr>
        <w:t xml:space="preserve">, and Jacopo Ponticelli. “Industrialization without Innovation.” Working Paper. Working Paper Series. National Bureau of Economic Research, May 2019. </w:t>
      </w:r>
      <w:hyperlink r:id="rId23" w:history="1">
        <w:r w:rsidRPr="00E03CE0">
          <w:rPr>
            <w:rFonts w:ascii="Times New Roman" w:eastAsia="Times New Roman" w:hAnsi="Times New Roman" w:cs="Times New Roman"/>
            <w:sz w:val="20"/>
            <w:szCs w:val="20"/>
            <w:u w:val="single"/>
          </w:rPr>
          <w:t>https://doi.org/10.3386/w25871</w:t>
        </w:r>
      </w:hyperlink>
      <w:r w:rsidRPr="00E03CE0">
        <w:rPr>
          <w:rFonts w:ascii="Times New Roman" w:eastAsia="Times New Roman" w:hAnsi="Times New Roman" w:cs="Times New Roman"/>
          <w:sz w:val="20"/>
          <w:szCs w:val="20"/>
        </w:rPr>
        <w:t>.</w:t>
      </w:r>
    </w:p>
    <w:p w14:paraId="281D0207" w14:textId="7BE37C1D" w:rsidR="00876966" w:rsidRPr="00E03CE0" w:rsidRDefault="00876966"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hAnsi="Times New Roman" w:cs="Times New Roman"/>
          <w:sz w:val="20"/>
          <w:szCs w:val="20"/>
        </w:rPr>
        <w:t xml:space="preserve">Caetano, Carolina, Gregorio Caetano, Hao Fe, and Eric Nielsen. “A Dummy Test of Identification in Models with Bunching.” </w:t>
      </w:r>
      <w:r w:rsidRPr="00E03CE0">
        <w:rPr>
          <w:rFonts w:ascii="Times New Roman" w:hAnsi="Times New Roman" w:cs="Times New Roman"/>
          <w:i/>
          <w:iCs/>
          <w:sz w:val="20"/>
          <w:szCs w:val="20"/>
        </w:rPr>
        <w:t>Finance and Economics Discussion Series</w:t>
      </w:r>
      <w:r w:rsidRPr="00E03CE0">
        <w:rPr>
          <w:rFonts w:ascii="Times New Roman" w:hAnsi="Times New Roman" w:cs="Times New Roman"/>
          <w:sz w:val="20"/>
          <w:szCs w:val="20"/>
        </w:rPr>
        <w:t xml:space="preserve"> 2021.0, no. 66 (October 2021): 1–28. </w:t>
      </w:r>
      <w:hyperlink r:id="rId24" w:history="1">
        <w:r w:rsidRPr="00E03CE0">
          <w:rPr>
            <w:rStyle w:val="Hyperlink"/>
            <w:rFonts w:ascii="Times New Roman" w:hAnsi="Times New Roman" w:cs="Times New Roman"/>
            <w:sz w:val="20"/>
            <w:szCs w:val="20"/>
          </w:rPr>
          <w:t>https://doi.org/10.17016/feds.2021.068</w:t>
        </w:r>
      </w:hyperlink>
      <w:r w:rsidRPr="00E03CE0">
        <w:rPr>
          <w:rFonts w:ascii="Times New Roman" w:hAnsi="Times New Roman" w:cs="Times New Roman"/>
          <w:sz w:val="20"/>
          <w:szCs w:val="20"/>
        </w:rPr>
        <w:t>.</w:t>
      </w:r>
    </w:p>
    <w:p w14:paraId="139E833F" w14:textId="77777777"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Calvó</w:t>
      </w:r>
      <w:proofErr w:type="spellEnd"/>
      <w:r w:rsidRPr="00E03CE0">
        <w:rPr>
          <w:rFonts w:ascii="Times New Roman" w:eastAsia="Times New Roman" w:hAnsi="Times New Roman" w:cs="Times New Roman"/>
          <w:sz w:val="20"/>
          <w:szCs w:val="20"/>
        </w:rPr>
        <w:t xml:space="preserve">-Armengol, Antoni, and Matthew O. Jackson. “The Effects of Social Networks on Employment and Inequality.” </w:t>
      </w:r>
      <w:r w:rsidRPr="00E03CE0">
        <w:rPr>
          <w:rFonts w:ascii="Times New Roman" w:eastAsia="Times New Roman" w:hAnsi="Times New Roman" w:cs="Times New Roman"/>
          <w:i/>
          <w:iCs/>
          <w:sz w:val="20"/>
          <w:szCs w:val="20"/>
        </w:rPr>
        <w:t>The American Economic Review</w:t>
      </w:r>
      <w:r w:rsidRPr="00E03CE0">
        <w:rPr>
          <w:rFonts w:ascii="Times New Roman" w:eastAsia="Times New Roman" w:hAnsi="Times New Roman" w:cs="Times New Roman"/>
          <w:sz w:val="20"/>
          <w:szCs w:val="20"/>
        </w:rPr>
        <w:t xml:space="preserve"> 94, no. 3 (2004): 426–54.</w:t>
      </w:r>
    </w:p>
    <w:p w14:paraId="6789E65E" w14:textId="655AD7D8"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Carranza, Eliana, and David McKenzie. “Job Training and Job Search Assistance Policies in Developing Countries.” </w:t>
      </w:r>
      <w:r w:rsidRPr="00E03CE0">
        <w:rPr>
          <w:rFonts w:ascii="Times New Roman" w:eastAsia="Times New Roman" w:hAnsi="Times New Roman" w:cs="Times New Roman"/>
          <w:i/>
          <w:iCs/>
          <w:sz w:val="20"/>
          <w:szCs w:val="20"/>
        </w:rPr>
        <w:t>Journal of Economic Perspectives</w:t>
      </w:r>
      <w:r w:rsidRPr="00E03CE0">
        <w:rPr>
          <w:rFonts w:ascii="Times New Roman" w:eastAsia="Times New Roman" w:hAnsi="Times New Roman" w:cs="Times New Roman"/>
          <w:sz w:val="20"/>
          <w:szCs w:val="20"/>
        </w:rPr>
        <w:t xml:space="preserve"> 38, no. 1 (February 1, 2024): 221–44. </w:t>
      </w:r>
      <w:hyperlink r:id="rId25" w:history="1">
        <w:r w:rsidRPr="00E03CE0">
          <w:rPr>
            <w:rFonts w:ascii="Times New Roman" w:eastAsia="Times New Roman" w:hAnsi="Times New Roman" w:cs="Times New Roman"/>
            <w:sz w:val="20"/>
            <w:szCs w:val="20"/>
            <w:u w:val="single"/>
          </w:rPr>
          <w:t>https://doi.org/10.1257/jep.38.1.221</w:t>
        </w:r>
      </w:hyperlink>
      <w:r w:rsidRPr="00E03CE0">
        <w:rPr>
          <w:rFonts w:ascii="Times New Roman" w:eastAsia="Times New Roman" w:hAnsi="Times New Roman" w:cs="Times New Roman"/>
          <w:sz w:val="20"/>
          <w:szCs w:val="20"/>
        </w:rPr>
        <w:t>.</w:t>
      </w:r>
    </w:p>
    <w:p w14:paraId="3057955E" w14:textId="483A46E3"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Chen, Chunhua, Dequan Jiang, and Weiping Li. “Keeping up with the CSR Joneses: The Impact of Industry Peers on Focal Firms’ CSR Performance.” </w:t>
      </w:r>
      <w:r w:rsidRPr="00E03CE0">
        <w:rPr>
          <w:rFonts w:ascii="Times New Roman" w:eastAsia="Times New Roman" w:hAnsi="Times New Roman" w:cs="Times New Roman"/>
          <w:i/>
          <w:iCs/>
          <w:sz w:val="20"/>
          <w:szCs w:val="20"/>
        </w:rPr>
        <w:t>Humanities and Social Sciences Communications</w:t>
      </w:r>
      <w:r w:rsidRPr="00E03CE0">
        <w:rPr>
          <w:rFonts w:ascii="Times New Roman" w:eastAsia="Times New Roman" w:hAnsi="Times New Roman" w:cs="Times New Roman"/>
          <w:sz w:val="20"/>
          <w:szCs w:val="20"/>
        </w:rPr>
        <w:t xml:space="preserve"> 10, no. 1 (March 15, 2023): 1–12. </w:t>
      </w:r>
      <w:hyperlink r:id="rId26" w:history="1">
        <w:r w:rsidRPr="00E03CE0">
          <w:rPr>
            <w:rFonts w:ascii="Times New Roman" w:eastAsia="Times New Roman" w:hAnsi="Times New Roman" w:cs="Times New Roman"/>
            <w:sz w:val="20"/>
            <w:szCs w:val="20"/>
            <w:u w:val="single"/>
          </w:rPr>
          <w:t>https://doi.org/10.1057/s41599-023-01590-5</w:t>
        </w:r>
      </w:hyperlink>
      <w:r w:rsidRPr="00E03CE0">
        <w:rPr>
          <w:rFonts w:ascii="Times New Roman" w:eastAsia="Times New Roman" w:hAnsi="Times New Roman" w:cs="Times New Roman"/>
          <w:sz w:val="20"/>
          <w:szCs w:val="20"/>
        </w:rPr>
        <w:t>.</w:t>
      </w:r>
    </w:p>
    <w:p w14:paraId="2B09FC3C" w14:textId="639973FE"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Ciccolini, Giuseppe. “It Takes a Village: Economic Decay, Rootedness, and Voting,” December 22, 2023. </w:t>
      </w:r>
      <w:hyperlink r:id="rId27" w:history="1">
        <w:r w:rsidRPr="00E03CE0">
          <w:rPr>
            <w:rFonts w:ascii="Times New Roman" w:eastAsia="Times New Roman" w:hAnsi="Times New Roman" w:cs="Times New Roman"/>
            <w:sz w:val="20"/>
            <w:szCs w:val="20"/>
            <w:u w:val="single"/>
          </w:rPr>
          <w:t>https://doi.org/10.31235/osf.io/wamxs</w:t>
        </w:r>
      </w:hyperlink>
      <w:r w:rsidRPr="00E03CE0">
        <w:rPr>
          <w:rFonts w:ascii="Times New Roman" w:eastAsia="Times New Roman" w:hAnsi="Times New Roman" w:cs="Times New Roman"/>
          <w:sz w:val="20"/>
          <w:szCs w:val="20"/>
        </w:rPr>
        <w:t>.</w:t>
      </w:r>
    </w:p>
    <w:p w14:paraId="391E4F68" w14:textId="571E66A7"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Conzelmann, Johnathan G., Steven W. Hemelt, Brad </w:t>
      </w:r>
      <w:proofErr w:type="spellStart"/>
      <w:r w:rsidRPr="00E03CE0">
        <w:rPr>
          <w:rFonts w:ascii="Times New Roman" w:eastAsia="Times New Roman" w:hAnsi="Times New Roman" w:cs="Times New Roman"/>
          <w:sz w:val="20"/>
          <w:szCs w:val="20"/>
        </w:rPr>
        <w:t>Hershbein</w:t>
      </w:r>
      <w:proofErr w:type="spellEnd"/>
      <w:r w:rsidRPr="00E03CE0">
        <w:rPr>
          <w:rFonts w:ascii="Times New Roman" w:eastAsia="Times New Roman" w:hAnsi="Times New Roman" w:cs="Times New Roman"/>
          <w:sz w:val="20"/>
          <w:szCs w:val="20"/>
        </w:rPr>
        <w:t xml:space="preserve">, Shawn M. Martin, Andrew Simon, and Kevin M. Stange. “Skills, Majors, and Jobs: Does Higher Education Respond?” Working Paper. Working Paper Series. National Bureau of Economic Research, August 2023. </w:t>
      </w:r>
      <w:hyperlink r:id="rId28" w:history="1">
        <w:r w:rsidRPr="00E03CE0">
          <w:rPr>
            <w:rFonts w:ascii="Times New Roman" w:eastAsia="Times New Roman" w:hAnsi="Times New Roman" w:cs="Times New Roman"/>
            <w:sz w:val="20"/>
            <w:szCs w:val="20"/>
            <w:u w:val="single"/>
          </w:rPr>
          <w:t>https://doi.org/10.3386/w31572</w:t>
        </w:r>
      </w:hyperlink>
      <w:r w:rsidRPr="00E03CE0">
        <w:rPr>
          <w:rFonts w:ascii="Times New Roman" w:eastAsia="Times New Roman" w:hAnsi="Times New Roman" w:cs="Times New Roman"/>
          <w:sz w:val="20"/>
          <w:szCs w:val="20"/>
        </w:rPr>
        <w:t>.</w:t>
      </w:r>
    </w:p>
    <w:p w14:paraId="5AD918CE" w14:textId="0AAD7320"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lastRenderedPageBreak/>
        <w:t xml:space="preserve">Costan, Emily, Gamaliel Gonzales, Roselyn Gonzales, Lynne Enriquez, Felix Costan, Decem </w:t>
      </w:r>
      <w:proofErr w:type="spellStart"/>
      <w:r w:rsidRPr="00E03CE0">
        <w:rPr>
          <w:rFonts w:ascii="Times New Roman" w:eastAsia="Times New Roman" w:hAnsi="Times New Roman" w:cs="Times New Roman"/>
          <w:sz w:val="20"/>
          <w:szCs w:val="20"/>
        </w:rPr>
        <w:t>Suladay</w:t>
      </w:r>
      <w:proofErr w:type="spellEnd"/>
      <w:r w:rsidRPr="00E03CE0">
        <w:rPr>
          <w:rFonts w:ascii="Times New Roman" w:eastAsia="Times New Roman" w:hAnsi="Times New Roman" w:cs="Times New Roman"/>
          <w:sz w:val="20"/>
          <w:szCs w:val="20"/>
        </w:rPr>
        <w:t xml:space="preserve">, Nadine May </w:t>
      </w:r>
      <w:proofErr w:type="spellStart"/>
      <w:r w:rsidRPr="00E03CE0">
        <w:rPr>
          <w:rFonts w:ascii="Times New Roman" w:eastAsia="Times New Roman" w:hAnsi="Times New Roman" w:cs="Times New Roman"/>
          <w:sz w:val="20"/>
          <w:szCs w:val="20"/>
        </w:rPr>
        <w:t>Atibing</w:t>
      </w:r>
      <w:proofErr w:type="spellEnd"/>
      <w:r w:rsidRPr="00E03CE0">
        <w:rPr>
          <w:rFonts w:ascii="Times New Roman" w:eastAsia="Times New Roman" w:hAnsi="Times New Roman" w:cs="Times New Roman"/>
          <w:sz w:val="20"/>
          <w:szCs w:val="20"/>
        </w:rPr>
        <w:t xml:space="preserve">, et al. “Education 4.0 in Developing Economies: A Systematic Literature Review of Implementation Barriers and Future Research Agenda.” </w:t>
      </w:r>
      <w:r w:rsidRPr="00E03CE0">
        <w:rPr>
          <w:rFonts w:ascii="Times New Roman" w:eastAsia="Times New Roman" w:hAnsi="Times New Roman" w:cs="Times New Roman"/>
          <w:i/>
          <w:iCs/>
          <w:sz w:val="20"/>
          <w:szCs w:val="20"/>
        </w:rPr>
        <w:t>Sustainability</w:t>
      </w:r>
      <w:r w:rsidRPr="00E03CE0">
        <w:rPr>
          <w:rFonts w:ascii="Times New Roman" w:eastAsia="Times New Roman" w:hAnsi="Times New Roman" w:cs="Times New Roman"/>
          <w:sz w:val="20"/>
          <w:szCs w:val="20"/>
        </w:rPr>
        <w:t xml:space="preserve"> 13, no. 22 (January 2021): 12763. </w:t>
      </w:r>
      <w:hyperlink r:id="rId29" w:history="1">
        <w:r w:rsidRPr="00E03CE0">
          <w:rPr>
            <w:rFonts w:ascii="Times New Roman" w:eastAsia="Times New Roman" w:hAnsi="Times New Roman" w:cs="Times New Roman"/>
            <w:sz w:val="20"/>
            <w:szCs w:val="20"/>
            <w:u w:val="single"/>
          </w:rPr>
          <w:t>https://doi.org/10.3390/su132212763</w:t>
        </w:r>
      </w:hyperlink>
      <w:r w:rsidRPr="00E03CE0">
        <w:rPr>
          <w:rFonts w:ascii="Times New Roman" w:eastAsia="Times New Roman" w:hAnsi="Times New Roman" w:cs="Times New Roman"/>
          <w:sz w:val="20"/>
          <w:szCs w:val="20"/>
        </w:rPr>
        <w:t>.</w:t>
      </w:r>
    </w:p>
    <w:p w14:paraId="70ED67B4" w14:textId="025D65B9" w:rsidR="0020317F" w:rsidRPr="00E03CE0" w:rsidRDefault="0020317F"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Diamond, Peter A. “Aggregate Demand Management in Search Equilibrium.” </w:t>
      </w:r>
      <w:r w:rsidRPr="00E03CE0">
        <w:rPr>
          <w:rFonts w:ascii="Times New Roman" w:eastAsia="Times New Roman" w:hAnsi="Times New Roman" w:cs="Times New Roman"/>
          <w:i/>
          <w:iCs/>
          <w:sz w:val="20"/>
          <w:szCs w:val="20"/>
        </w:rPr>
        <w:t>Journal of Political Economy</w:t>
      </w:r>
      <w:r w:rsidRPr="00E03CE0">
        <w:rPr>
          <w:rFonts w:ascii="Times New Roman" w:eastAsia="Times New Roman" w:hAnsi="Times New Roman" w:cs="Times New Roman"/>
          <w:sz w:val="20"/>
          <w:szCs w:val="20"/>
        </w:rPr>
        <w:t xml:space="preserve"> 90 (October 1982).: 881-994. </w:t>
      </w:r>
    </w:p>
    <w:p w14:paraId="55997060" w14:textId="45AFACE0"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Dhillon, Amrita, Ronald Peeters, Oliver Bartrum, and Ayşe Müge Yüksel. “Hiring an Employee’s Friends Is Good for Business: Overcoming Moral Hazard with Social Networks.” </w:t>
      </w:r>
      <w:r w:rsidRPr="00E03CE0">
        <w:rPr>
          <w:rFonts w:ascii="Times New Roman" w:eastAsia="Times New Roman" w:hAnsi="Times New Roman" w:cs="Times New Roman"/>
          <w:i/>
          <w:iCs/>
          <w:sz w:val="20"/>
          <w:szCs w:val="20"/>
        </w:rPr>
        <w:t>Labour Economics</w:t>
      </w:r>
      <w:r w:rsidRPr="00E03CE0">
        <w:rPr>
          <w:rFonts w:ascii="Times New Roman" w:eastAsia="Times New Roman" w:hAnsi="Times New Roman" w:cs="Times New Roman"/>
          <w:sz w:val="20"/>
          <w:szCs w:val="20"/>
        </w:rPr>
        <w:t xml:space="preserve"> 67 (December 1, 2020): 101928. </w:t>
      </w:r>
      <w:hyperlink r:id="rId30" w:history="1">
        <w:r w:rsidRPr="00E03CE0">
          <w:rPr>
            <w:rFonts w:ascii="Times New Roman" w:eastAsia="Times New Roman" w:hAnsi="Times New Roman" w:cs="Times New Roman"/>
            <w:sz w:val="20"/>
            <w:szCs w:val="20"/>
            <w:u w:val="single"/>
          </w:rPr>
          <w:t>https://doi.org/10.1016/j.labeco.2020.101928</w:t>
        </w:r>
      </w:hyperlink>
      <w:r w:rsidRPr="00E03CE0">
        <w:rPr>
          <w:rFonts w:ascii="Times New Roman" w:eastAsia="Times New Roman" w:hAnsi="Times New Roman" w:cs="Times New Roman"/>
          <w:sz w:val="20"/>
          <w:szCs w:val="20"/>
        </w:rPr>
        <w:t>.</w:t>
      </w:r>
    </w:p>
    <w:p w14:paraId="7A78EF09" w14:textId="1E3C1DF2"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Di Berardino, Claudio, Ilaria </w:t>
      </w:r>
      <w:proofErr w:type="spellStart"/>
      <w:r w:rsidRPr="00E03CE0">
        <w:rPr>
          <w:rFonts w:ascii="Times New Roman" w:eastAsia="Times New Roman" w:hAnsi="Times New Roman" w:cs="Times New Roman"/>
          <w:sz w:val="20"/>
          <w:szCs w:val="20"/>
        </w:rPr>
        <w:t>Doganieri</w:t>
      </w:r>
      <w:proofErr w:type="spellEnd"/>
      <w:r w:rsidRPr="00E03CE0">
        <w:rPr>
          <w:rFonts w:ascii="Times New Roman" w:eastAsia="Times New Roman" w:hAnsi="Times New Roman" w:cs="Times New Roman"/>
          <w:sz w:val="20"/>
          <w:szCs w:val="20"/>
        </w:rPr>
        <w:t xml:space="preserve">, and Gianni Onesti. “Deindustrialization in the EU between Transformation and Decline.” </w:t>
      </w:r>
      <w:r w:rsidRPr="00E03CE0">
        <w:rPr>
          <w:rFonts w:ascii="Times New Roman" w:eastAsia="Times New Roman" w:hAnsi="Times New Roman" w:cs="Times New Roman"/>
          <w:i/>
          <w:iCs/>
          <w:sz w:val="20"/>
          <w:szCs w:val="20"/>
        </w:rPr>
        <w:t>Eastern European Economics</w:t>
      </w:r>
      <w:r w:rsidRPr="00E03CE0">
        <w:rPr>
          <w:rFonts w:ascii="Times New Roman" w:eastAsia="Times New Roman" w:hAnsi="Times New Roman" w:cs="Times New Roman"/>
          <w:sz w:val="20"/>
          <w:szCs w:val="20"/>
        </w:rPr>
        <w:t xml:space="preserve"> 59, no. 3 (May 4, 2021): 225–49. </w:t>
      </w:r>
      <w:hyperlink r:id="rId31" w:history="1">
        <w:r w:rsidRPr="00E03CE0">
          <w:rPr>
            <w:rFonts w:ascii="Times New Roman" w:eastAsia="Times New Roman" w:hAnsi="Times New Roman" w:cs="Times New Roman"/>
            <w:sz w:val="20"/>
            <w:szCs w:val="20"/>
            <w:u w:val="single"/>
          </w:rPr>
          <w:t>https://doi.org/10.1080/00128775.2020.1870407</w:t>
        </w:r>
      </w:hyperlink>
      <w:r w:rsidRPr="00E03CE0">
        <w:rPr>
          <w:rFonts w:ascii="Times New Roman" w:eastAsia="Times New Roman" w:hAnsi="Times New Roman" w:cs="Times New Roman"/>
          <w:sz w:val="20"/>
          <w:szCs w:val="20"/>
        </w:rPr>
        <w:t>.</w:t>
      </w:r>
    </w:p>
    <w:p w14:paraId="0C771626" w14:textId="02FA44B1"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Diao, </w:t>
      </w:r>
      <w:proofErr w:type="spellStart"/>
      <w:r w:rsidRPr="00E03CE0">
        <w:rPr>
          <w:rFonts w:ascii="Times New Roman" w:eastAsia="Times New Roman" w:hAnsi="Times New Roman" w:cs="Times New Roman"/>
          <w:sz w:val="20"/>
          <w:szCs w:val="20"/>
        </w:rPr>
        <w:t>Xinshen</w:t>
      </w:r>
      <w:proofErr w:type="spellEnd"/>
      <w:r w:rsidRPr="00E03CE0">
        <w:rPr>
          <w:rFonts w:ascii="Times New Roman" w:eastAsia="Times New Roman" w:hAnsi="Times New Roman" w:cs="Times New Roman"/>
          <w:sz w:val="20"/>
          <w:szCs w:val="20"/>
        </w:rPr>
        <w:t xml:space="preserve">, Mia Ellis, Margaret S. McMillan, and Dani Rodrik. “Africa’s Manufacturing Puzzle: Evidence from Tanzanian and Ethiopian Firms.” Working Paper. Working Paper Series. National Bureau of Economic Research, January 2021. </w:t>
      </w:r>
      <w:hyperlink r:id="rId32" w:history="1">
        <w:r w:rsidRPr="00E03CE0">
          <w:rPr>
            <w:rFonts w:ascii="Times New Roman" w:eastAsia="Times New Roman" w:hAnsi="Times New Roman" w:cs="Times New Roman"/>
            <w:sz w:val="20"/>
            <w:szCs w:val="20"/>
            <w:u w:val="single"/>
          </w:rPr>
          <w:t>https://doi.org/10.3386/w28344</w:t>
        </w:r>
      </w:hyperlink>
      <w:r w:rsidRPr="00E03CE0">
        <w:rPr>
          <w:rFonts w:ascii="Times New Roman" w:eastAsia="Times New Roman" w:hAnsi="Times New Roman" w:cs="Times New Roman"/>
          <w:sz w:val="20"/>
          <w:szCs w:val="20"/>
        </w:rPr>
        <w:t>.</w:t>
      </w:r>
    </w:p>
    <w:p w14:paraId="4F99563E" w14:textId="23096C28"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Faberman</w:t>
      </w:r>
      <w:proofErr w:type="spellEnd"/>
      <w:r w:rsidRPr="00E03CE0">
        <w:rPr>
          <w:rFonts w:ascii="Times New Roman" w:eastAsia="Times New Roman" w:hAnsi="Times New Roman" w:cs="Times New Roman"/>
          <w:sz w:val="20"/>
          <w:szCs w:val="20"/>
        </w:rPr>
        <w:t xml:space="preserve">, R. Jason, Andreas I. Mueller, Ayşegül Şahin, and Giorgio Topa. “Job Search Behavior Among the Employed and Non-Employed.” </w:t>
      </w:r>
      <w:proofErr w:type="spellStart"/>
      <w:r w:rsidRPr="00E03CE0">
        <w:rPr>
          <w:rFonts w:ascii="Times New Roman" w:eastAsia="Times New Roman" w:hAnsi="Times New Roman" w:cs="Times New Roman"/>
          <w:i/>
          <w:iCs/>
          <w:sz w:val="20"/>
          <w:szCs w:val="20"/>
        </w:rPr>
        <w:t>Econometrica</w:t>
      </w:r>
      <w:proofErr w:type="spellEnd"/>
      <w:r w:rsidRPr="00E03CE0">
        <w:rPr>
          <w:rFonts w:ascii="Times New Roman" w:eastAsia="Times New Roman" w:hAnsi="Times New Roman" w:cs="Times New Roman"/>
          <w:sz w:val="20"/>
          <w:szCs w:val="20"/>
        </w:rPr>
        <w:t xml:space="preserve"> 90, no. 4 (2022): 1743–79. </w:t>
      </w:r>
      <w:hyperlink r:id="rId33" w:history="1">
        <w:r w:rsidRPr="00E03CE0">
          <w:rPr>
            <w:rFonts w:ascii="Times New Roman" w:eastAsia="Times New Roman" w:hAnsi="Times New Roman" w:cs="Times New Roman"/>
            <w:sz w:val="20"/>
            <w:szCs w:val="20"/>
            <w:u w:val="single"/>
          </w:rPr>
          <w:t>https://doi.org/10.3982/ECTA18582</w:t>
        </w:r>
      </w:hyperlink>
      <w:r w:rsidRPr="00E03CE0">
        <w:rPr>
          <w:rFonts w:ascii="Times New Roman" w:eastAsia="Times New Roman" w:hAnsi="Times New Roman" w:cs="Times New Roman"/>
          <w:sz w:val="20"/>
          <w:szCs w:val="20"/>
        </w:rPr>
        <w:t>.</w:t>
      </w:r>
    </w:p>
    <w:p w14:paraId="488E6955" w14:textId="45FA8B25"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Federico, Giovanni, Alessandro </w:t>
      </w:r>
      <w:proofErr w:type="spellStart"/>
      <w:r w:rsidRPr="00E03CE0">
        <w:rPr>
          <w:rFonts w:ascii="Times New Roman" w:eastAsia="Times New Roman" w:hAnsi="Times New Roman" w:cs="Times New Roman"/>
          <w:sz w:val="20"/>
          <w:szCs w:val="20"/>
        </w:rPr>
        <w:t>Nuvolari</w:t>
      </w:r>
      <w:proofErr w:type="spellEnd"/>
      <w:r w:rsidRPr="00E03CE0">
        <w:rPr>
          <w:rFonts w:ascii="Times New Roman" w:eastAsia="Times New Roman" w:hAnsi="Times New Roman" w:cs="Times New Roman"/>
          <w:sz w:val="20"/>
          <w:szCs w:val="20"/>
        </w:rPr>
        <w:t xml:space="preserve">, Leonardo Ridolfi, and Michelangelo Vasta. “The Race between the Snail and the Tortoise: Skill Premium and Early Industrialization in Italy (1861–1913).” </w:t>
      </w:r>
      <w:proofErr w:type="spellStart"/>
      <w:r w:rsidRPr="00E03CE0">
        <w:rPr>
          <w:rFonts w:ascii="Times New Roman" w:eastAsia="Times New Roman" w:hAnsi="Times New Roman" w:cs="Times New Roman"/>
          <w:i/>
          <w:iCs/>
          <w:sz w:val="20"/>
          <w:szCs w:val="20"/>
        </w:rPr>
        <w:t>Cliometrica</w:t>
      </w:r>
      <w:proofErr w:type="spellEnd"/>
      <w:r w:rsidRPr="00E03CE0">
        <w:rPr>
          <w:rFonts w:ascii="Times New Roman" w:eastAsia="Times New Roman" w:hAnsi="Times New Roman" w:cs="Times New Roman"/>
          <w:sz w:val="20"/>
          <w:szCs w:val="20"/>
        </w:rPr>
        <w:t xml:space="preserve"> 15, no. 1 (January 1, 2021): 1–42. </w:t>
      </w:r>
      <w:hyperlink r:id="rId34" w:history="1">
        <w:r w:rsidRPr="00E03CE0">
          <w:rPr>
            <w:rFonts w:ascii="Times New Roman" w:eastAsia="Times New Roman" w:hAnsi="Times New Roman" w:cs="Times New Roman"/>
            <w:sz w:val="20"/>
            <w:szCs w:val="20"/>
            <w:u w:val="single"/>
          </w:rPr>
          <w:t>https://doi.org/10.1007/s11698-019-00200-2</w:t>
        </w:r>
      </w:hyperlink>
      <w:r w:rsidRPr="00E03CE0">
        <w:rPr>
          <w:rFonts w:ascii="Times New Roman" w:eastAsia="Times New Roman" w:hAnsi="Times New Roman" w:cs="Times New Roman"/>
          <w:sz w:val="20"/>
          <w:szCs w:val="20"/>
        </w:rPr>
        <w:t>.</w:t>
      </w:r>
    </w:p>
    <w:p w14:paraId="1A6BAF6F" w14:textId="497F6252"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Fink, Michaela. “Understanding the Causes of High Labor Turnover and Absenteeism in the Ethiopian Textile and Garment Industry: Interviews with (Female) Workers and Management Personnel.” In </w:t>
      </w:r>
      <w:r w:rsidRPr="00E03CE0">
        <w:rPr>
          <w:rFonts w:ascii="Times New Roman" w:eastAsia="Times New Roman" w:hAnsi="Times New Roman" w:cs="Times New Roman"/>
          <w:i/>
          <w:iCs/>
          <w:sz w:val="20"/>
          <w:szCs w:val="20"/>
        </w:rPr>
        <w:t>Industrialization in Ethiopia: Awakening - Crisis - Outlooks: The Example of the Textile Industry</w:t>
      </w:r>
      <w:r w:rsidRPr="00E03CE0">
        <w:rPr>
          <w:rFonts w:ascii="Times New Roman" w:eastAsia="Times New Roman" w:hAnsi="Times New Roman" w:cs="Times New Roman"/>
          <w:sz w:val="20"/>
          <w:szCs w:val="20"/>
        </w:rPr>
        <w:t xml:space="preserve">, edited by Reimer Gronemeyer and Michaela Fink, 17–68. </w:t>
      </w:r>
      <w:proofErr w:type="spellStart"/>
      <w:r w:rsidRPr="00E03CE0">
        <w:rPr>
          <w:rFonts w:ascii="Times New Roman" w:eastAsia="Times New Roman" w:hAnsi="Times New Roman" w:cs="Times New Roman"/>
          <w:sz w:val="20"/>
          <w:szCs w:val="20"/>
        </w:rPr>
        <w:t>Sozialwissenschaftliche</w:t>
      </w:r>
      <w:proofErr w:type="spellEnd"/>
      <w:r w:rsidRPr="00E03CE0">
        <w:rPr>
          <w:rFonts w:ascii="Times New Roman" w:eastAsia="Times New Roman" w:hAnsi="Times New Roman" w:cs="Times New Roman"/>
          <w:sz w:val="20"/>
          <w:szCs w:val="20"/>
        </w:rPr>
        <w:t xml:space="preserve"> </w:t>
      </w:r>
      <w:proofErr w:type="spellStart"/>
      <w:r w:rsidRPr="00E03CE0">
        <w:rPr>
          <w:rFonts w:ascii="Times New Roman" w:eastAsia="Times New Roman" w:hAnsi="Times New Roman" w:cs="Times New Roman"/>
          <w:sz w:val="20"/>
          <w:szCs w:val="20"/>
        </w:rPr>
        <w:t>Zugänge</w:t>
      </w:r>
      <w:proofErr w:type="spellEnd"/>
      <w:r w:rsidRPr="00E03CE0">
        <w:rPr>
          <w:rFonts w:ascii="Times New Roman" w:eastAsia="Times New Roman" w:hAnsi="Times New Roman" w:cs="Times New Roman"/>
          <w:sz w:val="20"/>
          <w:szCs w:val="20"/>
        </w:rPr>
        <w:t xml:space="preserve"> Zu Afrika. Wiesbaden: Springer </w:t>
      </w:r>
      <w:proofErr w:type="spellStart"/>
      <w:r w:rsidRPr="00E03CE0">
        <w:rPr>
          <w:rFonts w:ascii="Times New Roman" w:eastAsia="Times New Roman" w:hAnsi="Times New Roman" w:cs="Times New Roman"/>
          <w:sz w:val="20"/>
          <w:szCs w:val="20"/>
        </w:rPr>
        <w:t>Fachmedien</w:t>
      </w:r>
      <w:proofErr w:type="spellEnd"/>
      <w:r w:rsidRPr="00E03CE0">
        <w:rPr>
          <w:rFonts w:ascii="Times New Roman" w:eastAsia="Times New Roman" w:hAnsi="Times New Roman" w:cs="Times New Roman"/>
          <w:sz w:val="20"/>
          <w:szCs w:val="20"/>
        </w:rPr>
        <w:t xml:space="preserve">, 2023. </w:t>
      </w:r>
      <w:hyperlink r:id="rId35" w:history="1">
        <w:r w:rsidRPr="00E03CE0">
          <w:rPr>
            <w:rFonts w:ascii="Times New Roman" w:eastAsia="Times New Roman" w:hAnsi="Times New Roman" w:cs="Times New Roman"/>
            <w:sz w:val="20"/>
            <w:szCs w:val="20"/>
            <w:u w:val="single"/>
          </w:rPr>
          <w:t>https://doi.org/10.1007/978-3-658-41794-9_2</w:t>
        </w:r>
      </w:hyperlink>
      <w:r w:rsidRPr="00E03CE0">
        <w:rPr>
          <w:rFonts w:ascii="Times New Roman" w:eastAsia="Times New Roman" w:hAnsi="Times New Roman" w:cs="Times New Roman"/>
          <w:sz w:val="20"/>
          <w:szCs w:val="20"/>
        </w:rPr>
        <w:t>.</w:t>
      </w:r>
    </w:p>
    <w:p w14:paraId="3035E8BA" w14:textId="0ED92404"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Gelb, Alan, Vijaya Ramachandran, Christian J. Meyer, Divyanshi Wadhwa, and Kyle Navis. “Can Sub-Saharan Africa Be a Manufacturing Destination? Labor Costs, Price Levels, and the Role of Industrial Policy.” </w:t>
      </w:r>
      <w:r w:rsidRPr="00E03CE0">
        <w:rPr>
          <w:rFonts w:ascii="Times New Roman" w:eastAsia="Times New Roman" w:hAnsi="Times New Roman" w:cs="Times New Roman"/>
          <w:i/>
          <w:iCs/>
          <w:sz w:val="20"/>
          <w:szCs w:val="20"/>
        </w:rPr>
        <w:t>Journal of Industry, Competition and Trade</w:t>
      </w:r>
      <w:r w:rsidRPr="00E03CE0">
        <w:rPr>
          <w:rFonts w:ascii="Times New Roman" w:eastAsia="Times New Roman" w:hAnsi="Times New Roman" w:cs="Times New Roman"/>
          <w:sz w:val="20"/>
          <w:szCs w:val="20"/>
        </w:rPr>
        <w:t xml:space="preserve"> 20, no. 2 (June 1, 2020): 335–57. </w:t>
      </w:r>
      <w:hyperlink r:id="rId36" w:history="1">
        <w:r w:rsidRPr="00E03CE0">
          <w:rPr>
            <w:rFonts w:ascii="Times New Roman" w:eastAsia="Times New Roman" w:hAnsi="Times New Roman" w:cs="Times New Roman"/>
            <w:sz w:val="20"/>
            <w:szCs w:val="20"/>
            <w:u w:val="single"/>
          </w:rPr>
          <w:t>https://doi.org/10.1007/s10842-019-00331-2</w:t>
        </w:r>
      </w:hyperlink>
      <w:r w:rsidRPr="00E03CE0">
        <w:rPr>
          <w:rFonts w:ascii="Times New Roman" w:eastAsia="Times New Roman" w:hAnsi="Times New Roman" w:cs="Times New Roman"/>
          <w:sz w:val="20"/>
          <w:szCs w:val="20"/>
        </w:rPr>
        <w:t>.</w:t>
      </w:r>
    </w:p>
    <w:p w14:paraId="1F2DF247" w14:textId="77777777"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Getahun, Mohammed, and Deresse Mersha. “Skill Gap Perceived between Employers and Accounting Graduates in Ethiopia.” </w:t>
      </w:r>
      <w:r w:rsidRPr="00E03CE0">
        <w:rPr>
          <w:rFonts w:ascii="Times New Roman" w:eastAsia="Times New Roman" w:hAnsi="Times New Roman" w:cs="Times New Roman"/>
          <w:i/>
          <w:iCs/>
          <w:sz w:val="20"/>
          <w:szCs w:val="20"/>
        </w:rPr>
        <w:t>Financial Studies</w:t>
      </w:r>
      <w:r w:rsidRPr="00E03CE0">
        <w:rPr>
          <w:rFonts w:ascii="Times New Roman" w:eastAsia="Times New Roman" w:hAnsi="Times New Roman" w:cs="Times New Roman"/>
          <w:sz w:val="20"/>
          <w:szCs w:val="20"/>
        </w:rPr>
        <w:t xml:space="preserve"> 24, no. 2 (88) (2020): 65–90.</w:t>
      </w:r>
    </w:p>
    <w:p w14:paraId="65FFB910" w14:textId="621DDF02" w:rsidR="00D4375F" w:rsidRPr="00E03CE0" w:rsidRDefault="00D4375F"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Gethin, Amory. “Distributional Growth Accounting: Education and the Reduction of Global Poverty, 1980-2022,” (December 7, 2023).</w:t>
      </w:r>
    </w:p>
    <w:p w14:paraId="40B444F1" w14:textId="3AFCCC0A"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Gillman, Max. “Steps in Industrial Development through Human Capital Deepening.” </w:t>
      </w:r>
      <w:r w:rsidRPr="00E03CE0">
        <w:rPr>
          <w:rFonts w:ascii="Times New Roman" w:eastAsia="Times New Roman" w:hAnsi="Times New Roman" w:cs="Times New Roman"/>
          <w:i/>
          <w:iCs/>
          <w:sz w:val="20"/>
          <w:szCs w:val="20"/>
        </w:rPr>
        <w:t>Economic Modelling</w:t>
      </w:r>
      <w:r w:rsidRPr="00E03CE0">
        <w:rPr>
          <w:rFonts w:ascii="Times New Roman" w:eastAsia="Times New Roman" w:hAnsi="Times New Roman" w:cs="Times New Roman"/>
          <w:sz w:val="20"/>
          <w:szCs w:val="20"/>
        </w:rPr>
        <w:t xml:space="preserve"> 99 (June 1, 2021): 105470. </w:t>
      </w:r>
      <w:hyperlink r:id="rId37" w:history="1">
        <w:r w:rsidRPr="00E03CE0">
          <w:rPr>
            <w:rFonts w:ascii="Times New Roman" w:eastAsia="Times New Roman" w:hAnsi="Times New Roman" w:cs="Times New Roman"/>
            <w:sz w:val="20"/>
            <w:szCs w:val="20"/>
            <w:u w:val="single"/>
          </w:rPr>
          <w:t>https://doi.org/10.1016/j.econmod.2021.02.011</w:t>
        </w:r>
      </w:hyperlink>
      <w:r w:rsidRPr="00E03CE0">
        <w:rPr>
          <w:rFonts w:ascii="Times New Roman" w:eastAsia="Times New Roman" w:hAnsi="Times New Roman" w:cs="Times New Roman"/>
          <w:sz w:val="20"/>
          <w:szCs w:val="20"/>
        </w:rPr>
        <w:t>.</w:t>
      </w:r>
    </w:p>
    <w:p w14:paraId="5E8101B1" w14:textId="1D1AA061"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Glitz, Albrecht, and Rune Vejlin. “Learning through Coworker Referrals.” </w:t>
      </w:r>
      <w:r w:rsidRPr="00E03CE0">
        <w:rPr>
          <w:rFonts w:ascii="Times New Roman" w:eastAsia="Times New Roman" w:hAnsi="Times New Roman" w:cs="Times New Roman"/>
          <w:i/>
          <w:iCs/>
          <w:sz w:val="20"/>
          <w:szCs w:val="20"/>
        </w:rPr>
        <w:t>Review of Economic Dynamics</w:t>
      </w:r>
      <w:r w:rsidRPr="00E03CE0">
        <w:rPr>
          <w:rFonts w:ascii="Times New Roman" w:eastAsia="Times New Roman" w:hAnsi="Times New Roman" w:cs="Times New Roman"/>
          <w:sz w:val="20"/>
          <w:szCs w:val="20"/>
        </w:rPr>
        <w:t xml:space="preserve"> 42 (October 1, 2021): 37–71. </w:t>
      </w:r>
      <w:hyperlink r:id="rId38" w:history="1">
        <w:r w:rsidRPr="00E03CE0">
          <w:rPr>
            <w:rFonts w:ascii="Times New Roman" w:eastAsia="Times New Roman" w:hAnsi="Times New Roman" w:cs="Times New Roman"/>
            <w:sz w:val="20"/>
            <w:szCs w:val="20"/>
            <w:u w:val="single"/>
          </w:rPr>
          <w:t>https://doi.org/10.1016/j.red.2020.10.007</w:t>
        </w:r>
      </w:hyperlink>
      <w:r w:rsidRPr="00E03CE0">
        <w:rPr>
          <w:rFonts w:ascii="Times New Roman" w:eastAsia="Times New Roman" w:hAnsi="Times New Roman" w:cs="Times New Roman"/>
          <w:sz w:val="20"/>
          <w:szCs w:val="20"/>
        </w:rPr>
        <w:t>.</w:t>
      </w:r>
    </w:p>
    <w:p w14:paraId="162AC3E3" w14:textId="422F5D42"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Goel, Deepti, and Kevin Lang. “Social Ties and the Job Search of Recent Immigrants.” </w:t>
      </w:r>
      <w:r w:rsidRPr="00E03CE0">
        <w:rPr>
          <w:rFonts w:ascii="Times New Roman" w:eastAsia="Times New Roman" w:hAnsi="Times New Roman" w:cs="Times New Roman"/>
          <w:i/>
          <w:iCs/>
          <w:sz w:val="20"/>
          <w:szCs w:val="20"/>
        </w:rPr>
        <w:t>ILR Review</w:t>
      </w:r>
      <w:r w:rsidRPr="00E03CE0">
        <w:rPr>
          <w:rFonts w:ascii="Times New Roman" w:eastAsia="Times New Roman" w:hAnsi="Times New Roman" w:cs="Times New Roman"/>
          <w:sz w:val="20"/>
          <w:szCs w:val="20"/>
        </w:rPr>
        <w:t xml:space="preserve"> 72, no. 2 (March 1, 2019): 355–81. </w:t>
      </w:r>
      <w:hyperlink r:id="rId39" w:history="1">
        <w:r w:rsidRPr="00E03CE0">
          <w:rPr>
            <w:rFonts w:ascii="Times New Roman" w:eastAsia="Times New Roman" w:hAnsi="Times New Roman" w:cs="Times New Roman"/>
            <w:sz w:val="20"/>
            <w:szCs w:val="20"/>
            <w:u w:val="single"/>
          </w:rPr>
          <w:t>https://doi.org/10.1177/0019793917729350</w:t>
        </w:r>
      </w:hyperlink>
      <w:r w:rsidRPr="00E03CE0">
        <w:rPr>
          <w:rFonts w:ascii="Times New Roman" w:eastAsia="Times New Roman" w:hAnsi="Times New Roman" w:cs="Times New Roman"/>
          <w:sz w:val="20"/>
          <w:szCs w:val="20"/>
        </w:rPr>
        <w:t>.</w:t>
      </w:r>
    </w:p>
    <w:p w14:paraId="01A9941D" w14:textId="24F10A9E"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Gregersen, Cecilia Theresa Trischler. “Local Learning and Capability Building through Technology Transfer: Experiences from the Lake Turkana Wind Power Project in Kenya.” </w:t>
      </w:r>
      <w:r w:rsidRPr="00E03CE0">
        <w:rPr>
          <w:rFonts w:ascii="Times New Roman" w:eastAsia="Times New Roman" w:hAnsi="Times New Roman" w:cs="Times New Roman"/>
          <w:i/>
          <w:iCs/>
          <w:sz w:val="20"/>
          <w:szCs w:val="20"/>
        </w:rPr>
        <w:t>Innovation and Development</w:t>
      </w:r>
      <w:r w:rsidRPr="00E03CE0">
        <w:rPr>
          <w:rFonts w:ascii="Times New Roman" w:eastAsia="Times New Roman" w:hAnsi="Times New Roman" w:cs="Times New Roman"/>
          <w:sz w:val="20"/>
          <w:szCs w:val="20"/>
        </w:rPr>
        <w:t xml:space="preserve"> 12, no. 2 (May 4, 2022): 209–30. </w:t>
      </w:r>
      <w:hyperlink r:id="rId40" w:history="1">
        <w:r w:rsidRPr="00E03CE0">
          <w:rPr>
            <w:rFonts w:ascii="Times New Roman" w:eastAsia="Times New Roman" w:hAnsi="Times New Roman" w:cs="Times New Roman"/>
            <w:sz w:val="20"/>
            <w:szCs w:val="20"/>
            <w:u w:val="single"/>
          </w:rPr>
          <w:t>https://doi.org/10.1080/2157930X.2020.1858612</w:t>
        </w:r>
      </w:hyperlink>
      <w:r w:rsidRPr="00E03CE0">
        <w:rPr>
          <w:rFonts w:ascii="Times New Roman" w:eastAsia="Times New Roman" w:hAnsi="Times New Roman" w:cs="Times New Roman"/>
          <w:sz w:val="20"/>
          <w:szCs w:val="20"/>
        </w:rPr>
        <w:t>.</w:t>
      </w:r>
    </w:p>
    <w:p w14:paraId="61A3DC4C" w14:textId="59B6DEB9" w:rsidR="006C4709" w:rsidRPr="00E03CE0" w:rsidRDefault="00B4368A"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De </w:t>
      </w:r>
      <w:r w:rsidR="006C4709" w:rsidRPr="00E03CE0">
        <w:rPr>
          <w:rFonts w:ascii="Times New Roman" w:eastAsia="Times New Roman" w:hAnsi="Times New Roman" w:cs="Times New Roman"/>
          <w:sz w:val="20"/>
          <w:szCs w:val="20"/>
        </w:rPr>
        <w:t xml:space="preserve">Groot, Maurits, Jelle Schutte, and David Graus. “Job Posting-Enriched Knowledge Graph for Skills-Based Matching.” </w:t>
      </w:r>
      <w:proofErr w:type="spellStart"/>
      <w:r w:rsidR="006C4709" w:rsidRPr="00E03CE0">
        <w:rPr>
          <w:rFonts w:ascii="Times New Roman" w:eastAsia="Times New Roman" w:hAnsi="Times New Roman" w:cs="Times New Roman"/>
          <w:sz w:val="20"/>
          <w:szCs w:val="20"/>
        </w:rPr>
        <w:t>arXiv</w:t>
      </w:r>
      <w:proofErr w:type="spellEnd"/>
      <w:r w:rsidR="006C4709" w:rsidRPr="00E03CE0">
        <w:rPr>
          <w:rFonts w:ascii="Times New Roman" w:eastAsia="Times New Roman" w:hAnsi="Times New Roman" w:cs="Times New Roman"/>
          <w:sz w:val="20"/>
          <w:szCs w:val="20"/>
        </w:rPr>
        <w:t xml:space="preserve">, September 6, 2021. </w:t>
      </w:r>
      <w:hyperlink r:id="rId41" w:history="1">
        <w:r w:rsidR="006C4709" w:rsidRPr="00E03CE0">
          <w:rPr>
            <w:rFonts w:ascii="Times New Roman" w:eastAsia="Times New Roman" w:hAnsi="Times New Roman" w:cs="Times New Roman"/>
            <w:sz w:val="20"/>
            <w:szCs w:val="20"/>
            <w:u w:val="single"/>
          </w:rPr>
          <w:t>https://doi.org/10.48550/arXiv.2109.02554</w:t>
        </w:r>
      </w:hyperlink>
      <w:r w:rsidR="006C4709" w:rsidRPr="00E03CE0">
        <w:rPr>
          <w:rFonts w:ascii="Times New Roman" w:eastAsia="Times New Roman" w:hAnsi="Times New Roman" w:cs="Times New Roman"/>
          <w:sz w:val="20"/>
          <w:szCs w:val="20"/>
        </w:rPr>
        <w:t>.</w:t>
      </w:r>
    </w:p>
    <w:p w14:paraId="66473F8D" w14:textId="429F5D71"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Guardia, Lourdes, Federica Mancini, Pedro </w:t>
      </w:r>
      <w:proofErr w:type="spellStart"/>
      <w:r w:rsidRPr="00E03CE0">
        <w:rPr>
          <w:rFonts w:ascii="Times New Roman" w:eastAsia="Times New Roman" w:hAnsi="Times New Roman" w:cs="Times New Roman"/>
          <w:sz w:val="20"/>
          <w:szCs w:val="20"/>
        </w:rPr>
        <w:t>Jacobetty</w:t>
      </w:r>
      <w:proofErr w:type="spellEnd"/>
      <w:r w:rsidRPr="00E03CE0">
        <w:rPr>
          <w:rFonts w:ascii="Times New Roman" w:eastAsia="Times New Roman" w:hAnsi="Times New Roman" w:cs="Times New Roman"/>
          <w:sz w:val="20"/>
          <w:szCs w:val="20"/>
        </w:rPr>
        <w:t xml:space="preserve">, and Marcelo Maina. “Graduates’ Employability Skills in East Africa.” </w:t>
      </w:r>
      <w:r w:rsidRPr="00E03CE0">
        <w:rPr>
          <w:rFonts w:ascii="Times New Roman" w:eastAsia="Times New Roman" w:hAnsi="Times New Roman" w:cs="Times New Roman"/>
          <w:i/>
          <w:iCs/>
          <w:sz w:val="20"/>
          <w:szCs w:val="20"/>
        </w:rPr>
        <w:t>Journal of Teaching and Learning for Graduate Employability</w:t>
      </w:r>
      <w:r w:rsidRPr="00E03CE0">
        <w:rPr>
          <w:rFonts w:ascii="Times New Roman" w:eastAsia="Times New Roman" w:hAnsi="Times New Roman" w:cs="Times New Roman"/>
          <w:sz w:val="20"/>
          <w:szCs w:val="20"/>
        </w:rPr>
        <w:t xml:space="preserve"> 12, no. 2 (March 2021): 169–84. </w:t>
      </w:r>
      <w:hyperlink r:id="rId42" w:history="1">
        <w:r w:rsidRPr="00E03CE0">
          <w:rPr>
            <w:rFonts w:ascii="Times New Roman" w:eastAsia="Times New Roman" w:hAnsi="Times New Roman" w:cs="Times New Roman"/>
            <w:sz w:val="20"/>
            <w:szCs w:val="20"/>
            <w:u w:val="single"/>
          </w:rPr>
          <w:t>https://doi.org/10.3316/informit.028894070857786</w:t>
        </w:r>
      </w:hyperlink>
      <w:r w:rsidRPr="00E03CE0">
        <w:rPr>
          <w:rFonts w:ascii="Times New Roman" w:eastAsia="Times New Roman" w:hAnsi="Times New Roman" w:cs="Times New Roman"/>
          <w:sz w:val="20"/>
          <w:szCs w:val="20"/>
        </w:rPr>
        <w:t>.</w:t>
      </w:r>
    </w:p>
    <w:p w14:paraId="30C197EF" w14:textId="757BE1D1"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Halim, Mohd, Mukhamad </w:t>
      </w:r>
      <w:proofErr w:type="spellStart"/>
      <w:r w:rsidRPr="00E03CE0">
        <w:rPr>
          <w:rFonts w:ascii="Times New Roman" w:eastAsia="Times New Roman" w:hAnsi="Times New Roman" w:cs="Times New Roman"/>
          <w:sz w:val="20"/>
          <w:szCs w:val="20"/>
        </w:rPr>
        <w:t>Shokheh</w:t>
      </w:r>
      <w:proofErr w:type="spellEnd"/>
      <w:r w:rsidRPr="00E03CE0">
        <w:rPr>
          <w:rFonts w:ascii="Times New Roman" w:eastAsia="Times New Roman" w:hAnsi="Times New Roman" w:cs="Times New Roman"/>
          <w:sz w:val="20"/>
          <w:szCs w:val="20"/>
        </w:rPr>
        <w:t xml:space="preserve">, M Harun, Mansoureh Ebrahimi, </w:t>
      </w:r>
      <w:proofErr w:type="spellStart"/>
      <w:r w:rsidRPr="00E03CE0">
        <w:rPr>
          <w:rFonts w:ascii="Times New Roman" w:eastAsia="Times New Roman" w:hAnsi="Times New Roman" w:cs="Times New Roman"/>
          <w:sz w:val="20"/>
          <w:szCs w:val="20"/>
        </w:rPr>
        <w:t>Zuryati</w:t>
      </w:r>
      <w:proofErr w:type="spellEnd"/>
      <w:r w:rsidRPr="00E03CE0">
        <w:rPr>
          <w:rFonts w:ascii="Times New Roman" w:eastAsia="Times New Roman" w:hAnsi="Times New Roman" w:cs="Times New Roman"/>
          <w:sz w:val="20"/>
          <w:szCs w:val="20"/>
        </w:rPr>
        <w:t xml:space="preserve"> Yasin, and </w:t>
      </w:r>
      <w:proofErr w:type="spellStart"/>
      <w:r w:rsidRPr="00E03CE0">
        <w:rPr>
          <w:rFonts w:ascii="Times New Roman" w:eastAsia="Times New Roman" w:hAnsi="Times New Roman" w:cs="Times New Roman"/>
          <w:sz w:val="20"/>
          <w:szCs w:val="20"/>
        </w:rPr>
        <w:t>Romadi</w:t>
      </w:r>
      <w:proofErr w:type="spellEnd"/>
      <w:r w:rsidRPr="00E03CE0">
        <w:rPr>
          <w:rFonts w:ascii="Times New Roman" w:eastAsia="Times New Roman" w:hAnsi="Times New Roman" w:cs="Times New Roman"/>
          <w:sz w:val="20"/>
          <w:szCs w:val="20"/>
        </w:rPr>
        <w:t>. “The Insight of the Industrial Revolution 4.0 in the Higher Education System” 7 (November 1, 2019): 148–63.</w:t>
      </w:r>
    </w:p>
    <w:p w14:paraId="0DEE8777" w14:textId="16670A19"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John, Samuel </w:t>
      </w:r>
      <w:proofErr w:type="spellStart"/>
      <w:r w:rsidRPr="00E03CE0">
        <w:rPr>
          <w:rFonts w:ascii="Times New Roman" w:eastAsia="Times New Roman" w:hAnsi="Times New Roman" w:cs="Times New Roman"/>
          <w:sz w:val="20"/>
          <w:szCs w:val="20"/>
        </w:rPr>
        <w:t>Ndueso</w:t>
      </w:r>
      <w:proofErr w:type="spellEnd"/>
      <w:r w:rsidRPr="00E03CE0">
        <w:rPr>
          <w:rFonts w:ascii="Times New Roman" w:eastAsia="Times New Roman" w:hAnsi="Times New Roman" w:cs="Times New Roman"/>
          <w:sz w:val="20"/>
          <w:szCs w:val="20"/>
        </w:rPr>
        <w:t xml:space="preserve">, Etinosa Noma-Osaghae, </w:t>
      </w:r>
      <w:proofErr w:type="spellStart"/>
      <w:r w:rsidRPr="00E03CE0">
        <w:rPr>
          <w:rFonts w:ascii="Times New Roman" w:eastAsia="Times New Roman" w:hAnsi="Times New Roman" w:cs="Times New Roman"/>
          <w:sz w:val="20"/>
          <w:szCs w:val="20"/>
        </w:rPr>
        <w:t>Funminiyi</w:t>
      </w:r>
      <w:proofErr w:type="spellEnd"/>
      <w:r w:rsidRPr="00E03CE0">
        <w:rPr>
          <w:rFonts w:ascii="Times New Roman" w:eastAsia="Times New Roman" w:hAnsi="Times New Roman" w:cs="Times New Roman"/>
          <w:sz w:val="20"/>
          <w:szCs w:val="20"/>
        </w:rPr>
        <w:t xml:space="preserve"> </w:t>
      </w:r>
      <w:proofErr w:type="spellStart"/>
      <w:r w:rsidRPr="00E03CE0">
        <w:rPr>
          <w:rFonts w:ascii="Times New Roman" w:eastAsia="Times New Roman" w:hAnsi="Times New Roman" w:cs="Times New Roman"/>
          <w:sz w:val="20"/>
          <w:szCs w:val="20"/>
        </w:rPr>
        <w:t>Oajide</w:t>
      </w:r>
      <w:proofErr w:type="spellEnd"/>
      <w:r w:rsidRPr="00E03CE0">
        <w:rPr>
          <w:rFonts w:ascii="Times New Roman" w:eastAsia="Times New Roman" w:hAnsi="Times New Roman" w:cs="Times New Roman"/>
          <w:sz w:val="20"/>
          <w:szCs w:val="20"/>
        </w:rPr>
        <w:t xml:space="preserve">, and Kennedy </w:t>
      </w:r>
      <w:proofErr w:type="spellStart"/>
      <w:r w:rsidRPr="00E03CE0">
        <w:rPr>
          <w:rFonts w:ascii="Times New Roman" w:eastAsia="Times New Roman" w:hAnsi="Times New Roman" w:cs="Times New Roman"/>
          <w:sz w:val="20"/>
          <w:szCs w:val="20"/>
        </w:rPr>
        <w:t>Okokpujie</w:t>
      </w:r>
      <w:proofErr w:type="spellEnd"/>
      <w:r w:rsidRPr="00E03CE0">
        <w:rPr>
          <w:rFonts w:ascii="Times New Roman" w:eastAsia="Times New Roman" w:hAnsi="Times New Roman" w:cs="Times New Roman"/>
          <w:sz w:val="20"/>
          <w:szCs w:val="20"/>
        </w:rPr>
        <w:t xml:space="preserve">. “Cybersecurity Education: The Skills Gap, Hurdle!” In </w:t>
      </w:r>
      <w:r w:rsidRPr="00E03CE0">
        <w:rPr>
          <w:rFonts w:ascii="Times New Roman" w:eastAsia="Times New Roman" w:hAnsi="Times New Roman" w:cs="Times New Roman"/>
          <w:i/>
          <w:iCs/>
          <w:sz w:val="20"/>
          <w:szCs w:val="20"/>
        </w:rPr>
        <w:t>Innovations in Cybersecurity Education</w:t>
      </w:r>
      <w:r w:rsidRPr="00E03CE0">
        <w:rPr>
          <w:rFonts w:ascii="Times New Roman" w:eastAsia="Times New Roman" w:hAnsi="Times New Roman" w:cs="Times New Roman"/>
          <w:sz w:val="20"/>
          <w:szCs w:val="20"/>
        </w:rPr>
        <w:t xml:space="preserve">, edited by Kevin Daimi and Guillermo Francia III, 361–76. Cham: Springer International Publishing, 2020. </w:t>
      </w:r>
      <w:hyperlink r:id="rId43" w:history="1">
        <w:r w:rsidRPr="00E03CE0">
          <w:rPr>
            <w:rFonts w:ascii="Times New Roman" w:eastAsia="Times New Roman" w:hAnsi="Times New Roman" w:cs="Times New Roman"/>
            <w:sz w:val="20"/>
            <w:szCs w:val="20"/>
            <w:u w:val="single"/>
          </w:rPr>
          <w:t>https://doi.org/10.1007/978-3-030-50244-7_18</w:t>
        </w:r>
      </w:hyperlink>
      <w:r w:rsidRPr="00E03CE0">
        <w:rPr>
          <w:rFonts w:ascii="Times New Roman" w:eastAsia="Times New Roman" w:hAnsi="Times New Roman" w:cs="Times New Roman"/>
          <w:sz w:val="20"/>
          <w:szCs w:val="20"/>
        </w:rPr>
        <w:t>.</w:t>
      </w:r>
    </w:p>
    <w:p w14:paraId="4139EEBA" w14:textId="68F079C8"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Kemeny, Thomas, and Michael Storper. “Superstar Cities and Left-behind Places: Disruptive Innovation, Labor Demand, and Interregional Inequality.” Monograph. London, UK: International Inequalities Institute, London School of Economics and Political Science, February 2020. </w:t>
      </w:r>
      <w:hyperlink r:id="rId44" w:history="1">
        <w:r w:rsidRPr="00E03CE0">
          <w:rPr>
            <w:rFonts w:ascii="Times New Roman" w:eastAsia="Times New Roman" w:hAnsi="Times New Roman" w:cs="Times New Roman"/>
            <w:sz w:val="20"/>
            <w:szCs w:val="20"/>
            <w:u w:val="single"/>
          </w:rPr>
          <w:t>http://www.lse.ac.uk/International-Inequalities</w:t>
        </w:r>
      </w:hyperlink>
      <w:r w:rsidRPr="00E03CE0">
        <w:rPr>
          <w:rFonts w:ascii="Times New Roman" w:eastAsia="Times New Roman" w:hAnsi="Times New Roman" w:cs="Times New Roman"/>
          <w:sz w:val="20"/>
          <w:szCs w:val="20"/>
        </w:rPr>
        <w:t>.</w:t>
      </w:r>
    </w:p>
    <w:p w14:paraId="6ADA7BE4" w14:textId="7CA26464" w:rsidR="00F74053" w:rsidRPr="00E03CE0" w:rsidRDefault="00F74053"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Lindbeck, Assar, and </w:t>
      </w:r>
      <w:proofErr w:type="spellStart"/>
      <w:r w:rsidRPr="00E03CE0">
        <w:rPr>
          <w:rFonts w:ascii="Times New Roman" w:eastAsia="Times New Roman" w:hAnsi="Times New Roman" w:cs="Times New Roman"/>
          <w:sz w:val="20"/>
          <w:szCs w:val="20"/>
        </w:rPr>
        <w:t>Snower</w:t>
      </w:r>
      <w:proofErr w:type="spellEnd"/>
      <w:r w:rsidRPr="00E03CE0">
        <w:rPr>
          <w:rFonts w:ascii="Times New Roman" w:eastAsia="Times New Roman" w:hAnsi="Times New Roman" w:cs="Times New Roman"/>
          <w:sz w:val="20"/>
          <w:szCs w:val="20"/>
        </w:rPr>
        <w:t xml:space="preserve">, Dennis, J. “Insiders versus Outsiders.” </w:t>
      </w:r>
      <w:r w:rsidR="00953EB8" w:rsidRPr="00E03CE0">
        <w:rPr>
          <w:rFonts w:ascii="Times New Roman" w:eastAsia="Times New Roman" w:hAnsi="Times New Roman" w:cs="Times New Roman"/>
          <w:i/>
          <w:iCs/>
          <w:sz w:val="20"/>
          <w:szCs w:val="20"/>
        </w:rPr>
        <w:t>Journal of Economic Perspectives</w:t>
      </w:r>
      <w:r w:rsidR="00953EB8" w:rsidRPr="00E03CE0">
        <w:rPr>
          <w:rFonts w:ascii="Times New Roman" w:eastAsia="Times New Roman" w:hAnsi="Times New Roman" w:cs="Times New Roman"/>
          <w:sz w:val="20"/>
          <w:szCs w:val="20"/>
        </w:rPr>
        <w:t xml:space="preserve"> 15(1): 165-188. (Winter 2001).</w:t>
      </w:r>
    </w:p>
    <w:p w14:paraId="66882CC9" w14:textId="51676D5D"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lastRenderedPageBreak/>
        <w:t xml:space="preserve">Lise, Jeremy, and Fabien Postel-Vinay. “Multidimensional Skills, Sorting, and Human Capital Accumulation.” </w:t>
      </w:r>
      <w:r w:rsidRPr="00E03CE0">
        <w:rPr>
          <w:rFonts w:ascii="Times New Roman" w:eastAsia="Times New Roman" w:hAnsi="Times New Roman" w:cs="Times New Roman"/>
          <w:i/>
          <w:iCs/>
          <w:sz w:val="20"/>
          <w:szCs w:val="20"/>
        </w:rPr>
        <w:t>American Economic Review</w:t>
      </w:r>
      <w:r w:rsidRPr="00E03CE0">
        <w:rPr>
          <w:rFonts w:ascii="Times New Roman" w:eastAsia="Times New Roman" w:hAnsi="Times New Roman" w:cs="Times New Roman"/>
          <w:sz w:val="20"/>
          <w:szCs w:val="20"/>
        </w:rPr>
        <w:t xml:space="preserve"> 110, no. 8 (August 2020): 2328–76. </w:t>
      </w:r>
      <w:hyperlink r:id="rId45" w:history="1">
        <w:r w:rsidRPr="00E03CE0">
          <w:rPr>
            <w:rFonts w:ascii="Times New Roman" w:eastAsia="Times New Roman" w:hAnsi="Times New Roman" w:cs="Times New Roman"/>
            <w:sz w:val="20"/>
            <w:szCs w:val="20"/>
            <w:u w:val="single"/>
          </w:rPr>
          <w:t>https://doi.org/10.1257/aer.20162002</w:t>
        </w:r>
      </w:hyperlink>
      <w:r w:rsidRPr="00E03CE0">
        <w:rPr>
          <w:rFonts w:ascii="Times New Roman" w:eastAsia="Times New Roman" w:hAnsi="Times New Roman" w:cs="Times New Roman"/>
          <w:sz w:val="20"/>
          <w:szCs w:val="20"/>
        </w:rPr>
        <w:t>.</w:t>
      </w:r>
    </w:p>
    <w:p w14:paraId="5AAF6A20" w14:textId="5EA94C42" w:rsidR="00017442" w:rsidRPr="00E03CE0" w:rsidRDefault="00017442"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Liu, Guoxin, Jun Ye, and Christophe </w:t>
      </w:r>
      <w:proofErr w:type="spellStart"/>
      <w:r w:rsidRPr="00E03CE0">
        <w:rPr>
          <w:rFonts w:ascii="Times New Roman" w:eastAsia="Times New Roman" w:hAnsi="Times New Roman" w:cs="Times New Roman"/>
          <w:sz w:val="20"/>
          <w:szCs w:val="20"/>
        </w:rPr>
        <w:t>Argyres</w:t>
      </w:r>
      <w:proofErr w:type="spellEnd"/>
      <w:r w:rsidRPr="00E03CE0">
        <w:rPr>
          <w:rFonts w:ascii="Times New Roman" w:eastAsia="Times New Roman" w:hAnsi="Times New Roman" w:cs="Times New Roman"/>
          <w:sz w:val="20"/>
          <w:szCs w:val="20"/>
        </w:rPr>
        <w:t xml:space="preserve">. “Modeling and Simulation of the Knowledge Growth Process among New Energy Technology Firms in the Distributed Innovation Network: </w:t>
      </w:r>
      <w:proofErr w:type="spellStart"/>
      <w:r w:rsidRPr="00E03CE0">
        <w:rPr>
          <w:rFonts w:ascii="Times New Roman" w:eastAsia="Times New Roman" w:hAnsi="Times New Roman" w:cs="Times New Roman"/>
          <w:sz w:val="20"/>
          <w:szCs w:val="20"/>
        </w:rPr>
        <w:t>Modelización</w:t>
      </w:r>
      <w:proofErr w:type="spellEnd"/>
      <w:r w:rsidRPr="00E03CE0">
        <w:rPr>
          <w:rFonts w:ascii="Times New Roman" w:eastAsia="Times New Roman" w:hAnsi="Times New Roman" w:cs="Times New Roman"/>
          <w:sz w:val="20"/>
          <w:szCs w:val="20"/>
        </w:rPr>
        <w:t xml:space="preserve"> y </w:t>
      </w:r>
      <w:proofErr w:type="spellStart"/>
      <w:r w:rsidRPr="00E03CE0">
        <w:rPr>
          <w:rFonts w:ascii="Times New Roman" w:eastAsia="Times New Roman" w:hAnsi="Times New Roman" w:cs="Times New Roman"/>
          <w:sz w:val="20"/>
          <w:szCs w:val="20"/>
        </w:rPr>
        <w:t>Simulación</w:t>
      </w:r>
      <w:proofErr w:type="spellEnd"/>
      <w:r w:rsidRPr="00E03CE0">
        <w:rPr>
          <w:rFonts w:ascii="Times New Roman" w:eastAsia="Times New Roman" w:hAnsi="Times New Roman" w:cs="Times New Roman"/>
          <w:sz w:val="20"/>
          <w:szCs w:val="20"/>
        </w:rPr>
        <w:t xml:space="preserve"> Del </w:t>
      </w:r>
      <w:proofErr w:type="spellStart"/>
      <w:r w:rsidRPr="00E03CE0">
        <w:rPr>
          <w:rFonts w:ascii="Times New Roman" w:eastAsia="Times New Roman" w:hAnsi="Times New Roman" w:cs="Times New Roman"/>
          <w:sz w:val="20"/>
          <w:szCs w:val="20"/>
        </w:rPr>
        <w:t>Proceso</w:t>
      </w:r>
      <w:proofErr w:type="spellEnd"/>
      <w:r w:rsidRPr="00E03CE0">
        <w:rPr>
          <w:rFonts w:ascii="Times New Roman" w:eastAsia="Times New Roman" w:hAnsi="Times New Roman" w:cs="Times New Roman"/>
          <w:sz w:val="20"/>
          <w:szCs w:val="20"/>
        </w:rPr>
        <w:t xml:space="preserve"> de </w:t>
      </w:r>
      <w:proofErr w:type="spellStart"/>
      <w:r w:rsidRPr="00E03CE0">
        <w:rPr>
          <w:rFonts w:ascii="Times New Roman" w:eastAsia="Times New Roman" w:hAnsi="Times New Roman" w:cs="Times New Roman"/>
          <w:sz w:val="20"/>
          <w:szCs w:val="20"/>
        </w:rPr>
        <w:t>Crecimiento</w:t>
      </w:r>
      <w:proofErr w:type="spellEnd"/>
      <w:r w:rsidRPr="00E03CE0">
        <w:rPr>
          <w:rFonts w:ascii="Times New Roman" w:eastAsia="Times New Roman" w:hAnsi="Times New Roman" w:cs="Times New Roman"/>
          <w:sz w:val="20"/>
          <w:szCs w:val="20"/>
        </w:rPr>
        <w:t xml:space="preserve"> Del </w:t>
      </w:r>
      <w:proofErr w:type="spellStart"/>
      <w:r w:rsidRPr="00E03CE0">
        <w:rPr>
          <w:rFonts w:ascii="Times New Roman" w:eastAsia="Times New Roman" w:hAnsi="Times New Roman" w:cs="Times New Roman"/>
          <w:sz w:val="20"/>
          <w:szCs w:val="20"/>
        </w:rPr>
        <w:t>Conocimiento</w:t>
      </w:r>
      <w:proofErr w:type="spellEnd"/>
      <w:r w:rsidRPr="00E03CE0">
        <w:rPr>
          <w:rFonts w:ascii="Times New Roman" w:eastAsia="Times New Roman" w:hAnsi="Times New Roman" w:cs="Times New Roman"/>
          <w:sz w:val="20"/>
          <w:szCs w:val="20"/>
        </w:rPr>
        <w:t xml:space="preserve"> En Las </w:t>
      </w:r>
      <w:proofErr w:type="spellStart"/>
      <w:r w:rsidRPr="00E03CE0">
        <w:rPr>
          <w:rFonts w:ascii="Times New Roman" w:eastAsia="Times New Roman" w:hAnsi="Times New Roman" w:cs="Times New Roman"/>
          <w:sz w:val="20"/>
          <w:szCs w:val="20"/>
        </w:rPr>
        <w:t>Empresas</w:t>
      </w:r>
      <w:proofErr w:type="spellEnd"/>
      <w:r w:rsidRPr="00E03CE0">
        <w:rPr>
          <w:rFonts w:ascii="Times New Roman" w:eastAsia="Times New Roman" w:hAnsi="Times New Roman" w:cs="Times New Roman"/>
          <w:sz w:val="20"/>
          <w:szCs w:val="20"/>
        </w:rPr>
        <w:t xml:space="preserve"> de </w:t>
      </w:r>
      <w:proofErr w:type="spellStart"/>
      <w:r w:rsidRPr="00E03CE0">
        <w:rPr>
          <w:rFonts w:ascii="Times New Roman" w:eastAsia="Times New Roman" w:hAnsi="Times New Roman" w:cs="Times New Roman"/>
          <w:sz w:val="20"/>
          <w:szCs w:val="20"/>
        </w:rPr>
        <w:t>Nuevas</w:t>
      </w:r>
      <w:proofErr w:type="spellEnd"/>
      <w:r w:rsidRPr="00E03CE0">
        <w:rPr>
          <w:rFonts w:ascii="Times New Roman" w:eastAsia="Times New Roman" w:hAnsi="Times New Roman" w:cs="Times New Roman"/>
          <w:sz w:val="20"/>
          <w:szCs w:val="20"/>
        </w:rPr>
        <w:t xml:space="preserve"> </w:t>
      </w:r>
      <w:proofErr w:type="spellStart"/>
      <w:r w:rsidRPr="00E03CE0">
        <w:rPr>
          <w:rFonts w:ascii="Times New Roman" w:eastAsia="Times New Roman" w:hAnsi="Times New Roman" w:cs="Times New Roman"/>
          <w:sz w:val="20"/>
          <w:szCs w:val="20"/>
        </w:rPr>
        <w:t>Tecnologías</w:t>
      </w:r>
      <w:proofErr w:type="spellEnd"/>
      <w:r w:rsidRPr="00E03CE0">
        <w:rPr>
          <w:rFonts w:ascii="Times New Roman" w:eastAsia="Times New Roman" w:hAnsi="Times New Roman" w:cs="Times New Roman"/>
          <w:sz w:val="20"/>
          <w:szCs w:val="20"/>
        </w:rPr>
        <w:t xml:space="preserve"> </w:t>
      </w:r>
      <w:proofErr w:type="spellStart"/>
      <w:r w:rsidRPr="00E03CE0">
        <w:rPr>
          <w:rFonts w:ascii="Times New Roman" w:eastAsia="Times New Roman" w:hAnsi="Times New Roman" w:cs="Times New Roman"/>
          <w:sz w:val="20"/>
          <w:szCs w:val="20"/>
        </w:rPr>
        <w:t>Energéticas</w:t>
      </w:r>
      <w:proofErr w:type="spellEnd"/>
      <w:r w:rsidRPr="00E03CE0">
        <w:rPr>
          <w:rFonts w:ascii="Times New Roman" w:eastAsia="Times New Roman" w:hAnsi="Times New Roman" w:cs="Times New Roman"/>
          <w:sz w:val="20"/>
          <w:szCs w:val="20"/>
        </w:rPr>
        <w:t xml:space="preserve"> En La Red de </w:t>
      </w:r>
      <w:proofErr w:type="spellStart"/>
      <w:r w:rsidRPr="00E03CE0">
        <w:rPr>
          <w:rFonts w:ascii="Times New Roman" w:eastAsia="Times New Roman" w:hAnsi="Times New Roman" w:cs="Times New Roman"/>
          <w:sz w:val="20"/>
          <w:szCs w:val="20"/>
        </w:rPr>
        <w:t>Innovación</w:t>
      </w:r>
      <w:proofErr w:type="spellEnd"/>
      <w:r w:rsidRPr="00E03CE0">
        <w:rPr>
          <w:rFonts w:ascii="Times New Roman" w:eastAsia="Times New Roman" w:hAnsi="Times New Roman" w:cs="Times New Roman"/>
          <w:sz w:val="20"/>
          <w:szCs w:val="20"/>
        </w:rPr>
        <w:t xml:space="preserve"> </w:t>
      </w:r>
      <w:proofErr w:type="spellStart"/>
      <w:r w:rsidRPr="00E03CE0">
        <w:rPr>
          <w:rFonts w:ascii="Times New Roman" w:eastAsia="Times New Roman" w:hAnsi="Times New Roman" w:cs="Times New Roman"/>
          <w:sz w:val="20"/>
          <w:szCs w:val="20"/>
        </w:rPr>
        <w:t>Distribuida</w:t>
      </w:r>
      <w:proofErr w:type="spellEnd"/>
      <w:r w:rsidRPr="00E03CE0">
        <w:rPr>
          <w:rFonts w:ascii="Times New Roman" w:eastAsia="Times New Roman" w:hAnsi="Times New Roman" w:cs="Times New Roman"/>
          <w:sz w:val="20"/>
          <w:szCs w:val="20"/>
        </w:rPr>
        <w:t xml:space="preserve">.” </w:t>
      </w:r>
      <w:r w:rsidRPr="00E03CE0">
        <w:rPr>
          <w:rFonts w:ascii="Times New Roman" w:eastAsia="Times New Roman" w:hAnsi="Times New Roman" w:cs="Times New Roman"/>
          <w:i/>
          <w:iCs/>
          <w:sz w:val="20"/>
          <w:szCs w:val="20"/>
        </w:rPr>
        <w:t>DYNA - Ingeniería e Industria</w:t>
      </w:r>
      <w:r w:rsidRPr="00E03CE0">
        <w:rPr>
          <w:rFonts w:ascii="Times New Roman" w:eastAsia="Times New Roman" w:hAnsi="Times New Roman" w:cs="Times New Roman"/>
          <w:sz w:val="20"/>
          <w:szCs w:val="20"/>
        </w:rPr>
        <w:t xml:space="preserve"> 95, no. 1 (January 2020): 54–60. </w:t>
      </w:r>
      <w:hyperlink r:id="rId46" w:history="1">
        <w:r w:rsidRPr="00E03CE0">
          <w:rPr>
            <w:rFonts w:ascii="Times New Roman" w:eastAsia="Times New Roman" w:hAnsi="Times New Roman" w:cs="Times New Roman"/>
            <w:sz w:val="20"/>
            <w:szCs w:val="20"/>
            <w:u w:val="single"/>
          </w:rPr>
          <w:t>https://doi.org/10.6036/9427</w:t>
        </w:r>
      </w:hyperlink>
      <w:r w:rsidRPr="00E03CE0">
        <w:rPr>
          <w:rFonts w:ascii="Times New Roman" w:eastAsia="Times New Roman" w:hAnsi="Times New Roman" w:cs="Times New Roman"/>
          <w:sz w:val="20"/>
          <w:szCs w:val="20"/>
        </w:rPr>
        <w:t>.</w:t>
      </w:r>
    </w:p>
    <w:p w14:paraId="2E79FF2E" w14:textId="67CF8CE1" w:rsidR="00D4375F" w:rsidRPr="00E03CE0" w:rsidRDefault="00D4375F"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Manda, Damiano </w:t>
      </w:r>
      <w:proofErr w:type="spellStart"/>
      <w:r w:rsidRPr="00E03CE0">
        <w:rPr>
          <w:rFonts w:ascii="Times New Roman" w:eastAsia="Times New Roman" w:hAnsi="Times New Roman" w:cs="Times New Roman"/>
          <w:sz w:val="20"/>
          <w:szCs w:val="20"/>
        </w:rPr>
        <w:t>Kulundu</w:t>
      </w:r>
      <w:proofErr w:type="spellEnd"/>
      <w:r w:rsidRPr="00E03CE0">
        <w:rPr>
          <w:rFonts w:ascii="Times New Roman" w:eastAsia="Times New Roman" w:hAnsi="Times New Roman" w:cs="Times New Roman"/>
          <w:sz w:val="20"/>
          <w:szCs w:val="20"/>
        </w:rPr>
        <w:t xml:space="preserve">, </w:t>
      </w:r>
      <w:proofErr w:type="spellStart"/>
      <w:r w:rsidRPr="00E03CE0">
        <w:rPr>
          <w:rFonts w:ascii="Times New Roman" w:eastAsia="Times New Roman" w:hAnsi="Times New Roman" w:cs="Times New Roman"/>
          <w:sz w:val="20"/>
          <w:szCs w:val="20"/>
        </w:rPr>
        <w:t>Germano</w:t>
      </w:r>
      <w:proofErr w:type="spellEnd"/>
      <w:r w:rsidRPr="00E03CE0">
        <w:rPr>
          <w:rFonts w:ascii="Times New Roman" w:eastAsia="Times New Roman" w:hAnsi="Times New Roman" w:cs="Times New Roman"/>
          <w:sz w:val="20"/>
          <w:szCs w:val="20"/>
        </w:rPr>
        <w:t xml:space="preserve"> </w:t>
      </w:r>
      <w:proofErr w:type="spellStart"/>
      <w:r w:rsidRPr="00E03CE0">
        <w:rPr>
          <w:rFonts w:ascii="Times New Roman" w:eastAsia="Times New Roman" w:hAnsi="Times New Roman" w:cs="Times New Roman"/>
          <w:sz w:val="20"/>
          <w:szCs w:val="20"/>
        </w:rPr>
        <w:t>Mwabu</w:t>
      </w:r>
      <w:proofErr w:type="spellEnd"/>
      <w:r w:rsidRPr="00E03CE0">
        <w:rPr>
          <w:rFonts w:ascii="Times New Roman" w:eastAsia="Times New Roman" w:hAnsi="Times New Roman" w:cs="Times New Roman"/>
          <w:sz w:val="20"/>
          <w:szCs w:val="20"/>
        </w:rPr>
        <w:t xml:space="preserve">, and Mwangi S </w:t>
      </w:r>
      <w:proofErr w:type="spellStart"/>
      <w:r w:rsidRPr="00E03CE0">
        <w:rPr>
          <w:rFonts w:ascii="Times New Roman" w:eastAsia="Times New Roman" w:hAnsi="Times New Roman" w:cs="Times New Roman"/>
          <w:sz w:val="20"/>
          <w:szCs w:val="20"/>
        </w:rPr>
        <w:t>Kimenyi</w:t>
      </w:r>
      <w:proofErr w:type="spellEnd"/>
      <w:r w:rsidRPr="00E03CE0">
        <w:rPr>
          <w:rFonts w:ascii="Times New Roman" w:eastAsia="Times New Roman" w:hAnsi="Times New Roman" w:cs="Times New Roman"/>
          <w:sz w:val="20"/>
          <w:szCs w:val="20"/>
        </w:rPr>
        <w:t>. “Human Capital Externalities and Returns to Education in Kenya,” KIPPRA Discussion Paper No. 13. (April 2002).</w:t>
      </w:r>
    </w:p>
    <w:p w14:paraId="112B0559" w14:textId="05D0CC65"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Marcolin</w:t>
      </w:r>
      <w:proofErr w:type="spellEnd"/>
      <w:r w:rsidRPr="00E03CE0">
        <w:rPr>
          <w:rFonts w:ascii="Times New Roman" w:eastAsia="Times New Roman" w:hAnsi="Times New Roman" w:cs="Times New Roman"/>
          <w:sz w:val="20"/>
          <w:szCs w:val="20"/>
        </w:rPr>
        <w:t xml:space="preserve">, Luca, and Glenda </w:t>
      </w:r>
      <w:proofErr w:type="spellStart"/>
      <w:r w:rsidRPr="00E03CE0">
        <w:rPr>
          <w:rFonts w:ascii="Times New Roman" w:eastAsia="Times New Roman" w:hAnsi="Times New Roman" w:cs="Times New Roman"/>
          <w:sz w:val="20"/>
          <w:szCs w:val="20"/>
        </w:rPr>
        <w:t>Quintini</w:t>
      </w:r>
      <w:proofErr w:type="spellEnd"/>
      <w:r w:rsidRPr="00E03CE0">
        <w:rPr>
          <w:rFonts w:ascii="Times New Roman" w:eastAsia="Times New Roman" w:hAnsi="Times New Roman" w:cs="Times New Roman"/>
          <w:sz w:val="20"/>
          <w:szCs w:val="20"/>
        </w:rPr>
        <w:t xml:space="preserve">. “Measuring Skill Gaps in Firms: The PIAAC Employer Module.” Paris: OECD, April 24, 2023. </w:t>
      </w:r>
      <w:hyperlink r:id="rId47" w:history="1">
        <w:r w:rsidRPr="00E03CE0">
          <w:rPr>
            <w:rFonts w:ascii="Times New Roman" w:eastAsia="Times New Roman" w:hAnsi="Times New Roman" w:cs="Times New Roman"/>
            <w:sz w:val="20"/>
            <w:szCs w:val="20"/>
            <w:u w:val="single"/>
          </w:rPr>
          <w:t>https://doi.org/10.1787/903c19c9-en</w:t>
        </w:r>
      </w:hyperlink>
      <w:r w:rsidRPr="00E03CE0">
        <w:rPr>
          <w:rFonts w:ascii="Times New Roman" w:eastAsia="Times New Roman" w:hAnsi="Times New Roman" w:cs="Times New Roman"/>
          <w:sz w:val="20"/>
          <w:szCs w:val="20"/>
        </w:rPr>
        <w:t>.</w:t>
      </w:r>
    </w:p>
    <w:p w14:paraId="3A78D125" w14:textId="042F2E63"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Marinescu, Ioana, Sofia Triantafillou, and Konrad </w:t>
      </w:r>
      <w:proofErr w:type="spellStart"/>
      <w:r w:rsidRPr="00E03CE0">
        <w:rPr>
          <w:rFonts w:ascii="Times New Roman" w:eastAsia="Times New Roman" w:hAnsi="Times New Roman" w:cs="Times New Roman"/>
          <w:sz w:val="20"/>
          <w:szCs w:val="20"/>
        </w:rPr>
        <w:t>Kording</w:t>
      </w:r>
      <w:proofErr w:type="spellEnd"/>
      <w:r w:rsidRPr="00E03CE0">
        <w:rPr>
          <w:rFonts w:ascii="Times New Roman" w:eastAsia="Times New Roman" w:hAnsi="Times New Roman" w:cs="Times New Roman"/>
          <w:sz w:val="20"/>
          <w:szCs w:val="20"/>
        </w:rPr>
        <w:t xml:space="preserve">. “Regression Discontinuity Threshold Optimization.” </w:t>
      </w:r>
      <w:r w:rsidRPr="00E03CE0">
        <w:rPr>
          <w:rFonts w:ascii="Times New Roman" w:eastAsia="Times New Roman" w:hAnsi="Times New Roman" w:cs="Times New Roman"/>
          <w:i/>
          <w:iCs/>
          <w:sz w:val="20"/>
          <w:szCs w:val="20"/>
        </w:rPr>
        <w:t>PLOS ONE</w:t>
      </w:r>
      <w:r w:rsidRPr="00E03CE0">
        <w:rPr>
          <w:rFonts w:ascii="Times New Roman" w:eastAsia="Times New Roman" w:hAnsi="Times New Roman" w:cs="Times New Roman"/>
          <w:sz w:val="20"/>
          <w:szCs w:val="20"/>
        </w:rPr>
        <w:t xml:space="preserve"> 17, no. 11 (November 16, 2022): e0276755. </w:t>
      </w:r>
      <w:hyperlink r:id="rId48" w:history="1">
        <w:r w:rsidRPr="00E03CE0">
          <w:rPr>
            <w:rFonts w:ascii="Times New Roman" w:eastAsia="Times New Roman" w:hAnsi="Times New Roman" w:cs="Times New Roman"/>
            <w:sz w:val="20"/>
            <w:szCs w:val="20"/>
            <w:u w:val="single"/>
          </w:rPr>
          <w:t>https://doi.org/10.1371/journal.pone.0276755</w:t>
        </w:r>
      </w:hyperlink>
      <w:r w:rsidRPr="00E03CE0">
        <w:rPr>
          <w:rFonts w:ascii="Times New Roman" w:eastAsia="Times New Roman" w:hAnsi="Times New Roman" w:cs="Times New Roman"/>
          <w:sz w:val="20"/>
          <w:szCs w:val="20"/>
        </w:rPr>
        <w:t>.</w:t>
      </w:r>
    </w:p>
    <w:p w14:paraId="47FC398E" w14:textId="7C446EE6"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McAdams, John M. “Non-Compete Agreements: A Review of the Literature.” </w:t>
      </w:r>
      <w:r w:rsidRPr="00E03CE0">
        <w:rPr>
          <w:rFonts w:ascii="Times New Roman" w:eastAsia="Times New Roman" w:hAnsi="Times New Roman" w:cs="Times New Roman"/>
          <w:i/>
          <w:iCs/>
          <w:sz w:val="20"/>
          <w:szCs w:val="20"/>
        </w:rPr>
        <w:t>SSRN Electronic Journal</w:t>
      </w:r>
      <w:r w:rsidRPr="00E03CE0">
        <w:rPr>
          <w:rFonts w:ascii="Times New Roman" w:eastAsia="Times New Roman" w:hAnsi="Times New Roman" w:cs="Times New Roman"/>
          <w:sz w:val="20"/>
          <w:szCs w:val="20"/>
        </w:rPr>
        <w:t xml:space="preserve">, 2019. </w:t>
      </w:r>
      <w:hyperlink r:id="rId49" w:history="1">
        <w:r w:rsidRPr="00E03CE0">
          <w:rPr>
            <w:rFonts w:ascii="Times New Roman" w:eastAsia="Times New Roman" w:hAnsi="Times New Roman" w:cs="Times New Roman"/>
            <w:sz w:val="20"/>
            <w:szCs w:val="20"/>
            <w:u w:val="single"/>
          </w:rPr>
          <w:t>https://doi.org/10.2139/ssrn.3513639</w:t>
        </w:r>
      </w:hyperlink>
      <w:r w:rsidRPr="00E03CE0">
        <w:rPr>
          <w:rFonts w:ascii="Times New Roman" w:eastAsia="Times New Roman" w:hAnsi="Times New Roman" w:cs="Times New Roman"/>
          <w:sz w:val="20"/>
          <w:szCs w:val="20"/>
        </w:rPr>
        <w:t>.</w:t>
      </w:r>
    </w:p>
    <w:p w14:paraId="3238D082" w14:textId="2E3F319B"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McGuinness, Seamus, and Luis Ortiz. “Skill Gaps in the Workplace: Measurement, Determinants and Impacts.” </w:t>
      </w:r>
      <w:r w:rsidRPr="00E03CE0">
        <w:rPr>
          <w:rFonts w:ascii="Times New Roman" w:eastAsia="Times New Roman" w:hAnsi="Times New Roman" w:cs="Times New Roman"/>
          <w:i/>
          <w:iCs/>
          <w:sz w:val="20"/>
          <w:szCs w:val="20"/>
        </w:rPr>
        <w:t>Industrial Relations Journal</w:t>
      </w:r>
      <w:r w:rsidRPr="00E03CE0">
        <w:rPr>
          <w:rFonts w:ascii="Times New Roman" w:eastAsia="Times New Roman" w:hAnsi="Times New Roman" w:cs="Times New Roman"/>
          <w:sz w:val="20"/>
          <w:szCs w:val="20"/>
        </w:rPr>
        <w:t xml:space="preserve"> 47, no. 3 (2016): 253–78. </w:t>
      </w:r>
      <w:hyperlink r:id="rId50" w:history="1">
        <w:r w:rsidRPr="00E03CE0">
          <w:rPr>
            <w:rFonts w:ascii="Times New Roman" w:eastAsia="Times New Roman" w:hAnsi="Times New Roman" w:cs="Times New Roman"/>
            <w:sz w:val="20"/>
            <w:szCs w:val="20"/>
            <w:u w:val="single"/>
          </w:rPr>
          <w:t>https://doi.org/10.1111/irj.12136</w:t>
        </w:r>
      </w:hyperlink>
      <w:r w:rsidRPr="00E03CE0">
        <w:rPr>
          <w:rFonts w:ascii="Times New Roman" w:eastAsia="Times New Roman" w:hAnsi="Times New Roman" w:cs="Times New Roman"/>
          <w:sz w:val="20"/>
          <w:szCs w:val="20"/>
        </w:rPr>
        <w:t>.</w:t>
      </w:r>
    </w:p>
    <w:p w14:paraId="4F5BB418" w14:textId="3E6E6E84"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Meta, Susan Muthoni. “Critical Literature Review on Bridging Skills Gap through Development of Professional Courses: A Remedy for Unemployment Crisis in Kenya.” </w:t>
      </w:r>
      <w:r w:rsidRPr="00E03CE0">
        <w:rPr>
          <w:rFonts w:ascii="Times New Roman" w:eastAsia="Times New Roman" w:hAnsi="Times New Roman" w:cs="Times New Roman"/>
          <w:i/>
          <w:iCs/>
          <w:sz w:val="20"/>
          <w:szCs w:val="20"/>
        </w:rPr>
        <w:t>Advances in Applied Sociology</w:t>
      </w:r>
      <w:r w:rsidRPr="00E03CE0">
        <w:rPr>
          <w:rFonts w:ascii="Times New Roman" w:eastAsia="Times New Roman" w:hAnsi="Times New Roman" w:cs="Times New Roman"/>
          <w:sz w:val="20"/>
          <w:szCs w:val="20"/>
        </w:rPr>
        <w:t xml:space="preserve"> 12, no. 9 (September 13, 2022): 415–22. </w:t>
      </w:r>
      <w:hyperlink r:id="rId51" w:history="1">
        <w:r w:rsidRPr="00E03CE0">
          <w:rPr>
            <w:rFonts w:ascii="Times New Roman" w:eastAsia="Times New Roman" w:hAnsi="Times New Roman" w:cs="Times New Roman"/>
            <w:sz w:val="20"/>
            <w:szCs w:val="20"/>
            <w:u w:val="single"/>
          </w:rPr>
          <w:t>https://doi.org/10.4236/aasoci.2022.129033</w:t>
        </w:r>
      </w:hyperlink>
      <w:r w:rsidRPr="00E03CE0">
        <w:rPr>
          <w:rFonts w:ascii="Times New Roman" w:eastAsia="Times New Roman" w:hAnsi="Times New Roman" w:cs="Times New Roman"/>
          <w:sz w:val="20"/>
          <w:szCs w:val="20"/>
        </w:rPr>
        <w:t>.</w:t>
      </w:r>
    </w:p>
    <w:p w14:paraId="2CF9DE4F" w14:textId="3EF1D190"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Morris, David, Enrico </w:t>
      </w:r>
      <w:proofErr w:type="spellStart"/>
      <w:r w:rsidRPr="00E03CE0">
        <w:rPr>
          <w:rFonts w:ascii="Times New Roman" w:eastAsia="Times New Roman" w:hAnsi="Times New Roman" w:cs="Times New Roman"/>
          <w:sz w:val="20"/>
          <w:szCs w:val="20"/>
        </w:rPr>
        <w:t>Vanino</w:t>
      </w:r>
      <w:proofErr w:type="spellEnd"/>
      <w:r w:rsidRPr="00E03CE0">
        <w:rPr>
          <w:rFonts w:ascii="Times New Roman" w:eastAsia="Times New Roman" w:hAnsi="Times New Roman" w:cs="Times New Roman"/>
          <w:sz w:val="20"/>
          <w:szCs w:val="20"/>
        </w:rPr>
        <w:t xml:space="preserve">, and Carlo Corradini. “Effect of Regional Skill Gaps and Skill Shortages on Firm Productivity.” </w:t>
      </w:r>
      <w:r w:rsidRPr="00E03CE0">
        <w:rPr>
          <w:rFonts w:ascii="Times New Roman" w:eastAsia="Times New Roman" w:hAnsi="Times New Roman" w:cs="Times New Roman"/>
          <w:i/>
          <w:iCs/>
          <w:sz w:val="20"/>
          <w:szCs w:val="20"/>
        </w:rPr>
        <w:t>Environment and Planning A: Economy and Space</w:t>
      </w:r>
      <w:r w:rsidRPr="00E03CE0">
        <w:rPr>
          <w:rFonts w:ascii="Times New Roman" w:eastAsia="Times New Roman" w:hAnsi="Times New Roman" w:cs="Times New Roman"/>
          <w:sz w:val="20"/>
          <w:szCs w:val="20"/>
        </w:rPr>
        <w:t xml:space="preserve"> 52, no. 5 (August 1, 2020): 933–52. </w:t>
      </w:r>
      <w:hyperlink r:id="rId52" w:history="1">
        <w:r w:rsidRPr="00E03CE0">
          <w:rPr>
            <w:rFonts w:ascii="Times New Roman" w:eastAsia="Times New Roman" w:hAnsi="Times New Roman" w:cs="Times New Roman"/>
            <w:sz w:val="20"/>
            <w:szCs w:val="20"/>
            <w:u w:val="single"/>
          </w:rPr>
          <w:t>https://doi.org/10.1177/0308518X19889634</w:t>
        </w:r>
      </w:hyperlink>
      <w:r w:rsidRPr="00E03CE0">
        <w:rPr>
          <w:rFonts w:ascii="Times New Roman" w:eastAsia="Times New Roman" w:hAnsi="Times New Roman" w:cs="Times New Roman"/>
          <w:sz w:val="20"/>
          <w:szCs w:val="20"/>
        </w:rPr>
        <w:t>.</w:t>
      </w:r>
    </w:p>
    <w:p w14:paraId="22B534E6" w14:textId="79976108" w:rsidR="0020317F" w:rsidRPr="00E03CE0" w:rsidRDefault="0020317F"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Mortensen, Dale T., and </w:t>
      </w:r>
      <w:r w:rsidR="000E3688" w:rsidRPr="00E03CE0">
        <w:rPr>
          <w:rFonts w:ascii="Times New Roman" w:eastAsia="Times New Roman" w:hAnsi="Times New Roman" w:cs="Times New Roman"/>
          <w:sz w:val="20"/>
          <w:szCs w:val="20"/>
        </w:rPr>
        <w:t xml:space="preserve">Christopher A. </w:t>
      </w:r>
      <w:proofErr w:type="spellStart"/>
      <w:r w:rsidR="000E3688" w:rsidRPr="00E03CE0">
        <w:rPr>
          <w:rFonts w:ascii="Times New Roman" w:eastAsia="Times New Roman" w:hAnsi="Times New Roman" w:cs="Times New Roman"/>
          <w:sz w:val="20"/>
          <w:szCs w:val="20"/>
        </w:rPr>
        <w:t>Pissarides</w:t>
      </w:r>
      <w:proofErr w:type="spellEnd"/>
      <w:r w:rsidR="000E3688" w:rsidRPr="00E03CE0">
        <w:rPr>
          <w:rFonts w:ascii="Times New Roman" w:eastAsia="Times New Roman" w:hAnsi="Times New Roman" w:cs="Times New Roman"/>
          <w:sz w:val="20"/>
          <w:szCs w:val="20"/>
        </w:rPr>
        <w:t xml:space="preserve">. “Job Creation and Job Destruction in the Theory of Unemployment.” </w:t>
      </w:r>
      <w:r w:rsidR="000E3688" w:rsidRPr="00E03CE0">
        <w:rPr>
          <w:rFonts w:ascii="Times New Roman" w:eastAsia="Times New Roman" w:hAnsi="Times New Roman" w:cs="Times New Roman"/>
          <w:i/>
          <w:iCs/>
          <w:sz w:val="20"/>
          <w:szCs w:val="20"/>
        </w:rPr>
        <w:t>Review of Economic Studies</w:t>
      </w:r>
      <w:r w:rsidR="000E3688" w:rsidRPr="00E03CE0">
        <w:rPr>
          <w:rFonts w:ascii="Times New Roman" w:eastAsia="Times New Roman" w:hAnsi="Times New Roman" w:cs="Times New Roman"/>
          <w:sz w:val="20"/>
          <w:szCs w:val="20"/>
        </w:rPr>
        <w:t xml:space="preserve"> 61 (July 1994): 397-415. </w:t>
      </w:r>
    </w:p>
    <w:p w14:paraId="08D23CB1" w14:textId="735DCC7F"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Muchira, John M, Francis Kiroro, Maurice Mutisya, Vollan O Ochieng, and Moses W </w:t>
      </w:r>
      <w:proofErr w:type="spellStart"/>
      <w:r w:rsidRPr="00E03CE0">
        <w:rPr>
          <w:rFonts w:ascii="Times New Roman" w:eastAsia="Times New Roman" w:hAnsi="Times New Roman" w:cs="Times New Roman"/>
          <w:sz w:val="20"/>
          <w:szCs w:val="20"/>
        </w:rPr>
        <w:t>Ngware</w:t>
      </w:r>
      <w:proofErr w:type="spellEnd"/>
      <w:r w:rsidRPr="00E03CE0">
        <w:rPr>
          <w:rFonts w:ascii="Times New Roman" w:eastAsia="Times New Roman" w:hAnsi="Times New Roman" w:cs="Times New Roman"/>
          <w:sz w:val="20"/>
          <w:szCs w:val="20"/>
        </w:rPr>
        <w:t xml:space="preserve">. “Assessing Technical Vocational Education and Training Institutions’ Curriculum in Kenya: What Strategies Can Position the Youth for Employment?” </w:t>
      </w:r>
      <w:r w:rsidRPr="00E03CE0">
        <w:rPr>
          <w:rFonts w:ascii="Times New Roman" w:eastAsia="Times New Roman" w:hAnsi="Times New Roman" w:cs="Times New Roman"/>
          <w:i/>
          <w:iCs/>
          <w:sz w:val="20"/>
          <w:szCs w:val="20"/>
        </w:rPr>
        <w:t>Journal of Adult and Continuing Education</w:t>
      </w:r>
      <w:r w:rsidRPr="00E03CE0">
        <w:rPr>
          <w:rFonts w:ascii="Times New Roman" w:eastAsia="Times New Roman" w:hAnsi="Times New Roman" w:cs="Times New Roman"/>
          <w:sz w:val="20"/>
          <w:szCs w:val="20"/>
        </w:rPr>
        <w:t xml:space="preserve"> 29, no. 2 (November 1, 2023): 563–82. </w:t>
      </w:r>
      <w:hyperlink r:id="rId53" w:history="1">
        <w:r w:rsidRPr="00E03CE0">
          <w:rPr>
            <w:rFonts w:ascii="Times New Roman" w:eastAsia="Times New Roman" w:hAnsi="Times New Roman" w:cs="Times New Roman"/>
            <w:sz w:val="20"/>
            <w:szCs w:val="20"/>
            <w:u w:val="single"/>
          </w:rPr>
          <w:t>https://doi.org/10.1177/14779714221145863</w:t>
        </w:r>
      </w:hyperlink>
      <w:r w:rsidRPr="00E03CE0">
        <w:rPr>
          <w:rFonts w:ascii="Times New Roman" w:eastAsia="Times New Roman" w:hAnsi="Times New Roman" w:cs="Times New Roman"/>
          <w:sz w:val="20"/>
          <w:szCs w:val="20"/>
        </w:rPr>
        <w:t>.</w:t>
      </w:r>
    </w:p>
    <w:p w14:paraId="046F0A6D" w14:textId="77777777"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Munene, Ishmael. “Universities and Labor Market Mismatch in Kenya.” </w:t>
      </w:r>
      <w:r w:rsidRPr="00E03CE0">
        <w:rPr>
          <w:rFonts w:ascii="Times New Roman" w:eastAsia="Times New Roman" w:hAnsi="Times New Roman" w:cs="Times New Roman"/>
          <w:i/>
          <w:iCs/>
          <w:sz w:val="20"/>
          <w:szCs w:val="20"/>
        </w:rPr>
        <w:t>International Higher Education</w:t>
      </w:r>
      <w:r w:rsidRPr="00E03CE0">
        <w:rPr>
          <w:rFonts w:ascii="Times New Roman" w:eastAsia="Times New Roman" w:hAnsi="Times New Roman" w:cs="Times New Roman"/>
          <w:sz w:val="20"/>
          <w:szCs w:val="20"/>
        </w:rPr>
        <w:t>, no. 108 (October 11, 2021): 17–19.</w:t>
      </w:r>
    </w:p>
    <w:p w14:paraId="32EFACF3" w14:textId="3B3FDC9E"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Munga, Boaz, </w:t>
      </w:r>
      <w:proofErr w:type="spellStart"/>
      <w:r w:rsidRPr="00E03CE0">
        <w:rPr>
          <w:rFonts w:ascii="Times New Roman" w:eastAsia="Times New Roman" w:hAnsi="Times New Roman" w:cs="Times New Roman"/>
          <w:sz w:val="20"/>
          <w:szCs w:val="20"/>
        </w:rPr>
        <w:t>Eldah</w:t>
      </w:r>
      <w:proofErr w:type="spellEnd"/>
      <w:r w:rsidRPr="00E03CE0">
        <w:rPr>
          <w:rFonts w:ascii="Times New Roman" w:eastAsia="Times New Roman" w:hAnsi="Times New Roman" w:cs="Times New Roman"/>
          <w:sz w:val="20"/>
          <w:szCs w:val="20"/>
        </w:rPr>
        <w:t xml:space="preserve"> </w:t>
      </w:r>
      <w:proofErr w:type="spellStart"/>
      <w:r w:rsidRPr="00E03CE0">
        <w:rPr>
          <w:rFonts w:ascii="Times New Roman" w:eastAsia="Times New Roman" w:hAnsi="Times New Roman" w:cs="Times New Roman"/>
          <w:sz w:val="20"/>
          <w:szCs w:val="20"/>
        </w:rPr>
        <w:t>Onsomu</w:t>
      </w:r>
      <w:proofErr w:type="spellEnd"/>
      <w:r w:rsidRPr="00E03CE0">
        <w:rPr>
          <w:rFonts w:ascii="Times New Roman" w:eastAsia="Times New Roman" w:hAnsi="Times New Roman" w:cs="Times New Roman"/>
          <w:sz w:val="20"/>
          <w:szCs w:val="20"/>
        </w:rPr>
        <w:t xml:space="preserve">, Nancy </w:t>
      </w:r>
      <w:proofErr w:type="spellStart"/>
      <w:r w:rsidRPr="00E03CE0">
        <w:rPr>
          <w:rFonts w:ascii="Times New Roman" w:eastAsia="Times New Roman" w:hAnsi="Times New Roman" w:cs="Times New Roman"/>
          <w:sz w:val="20"/>
          <w:szCs w:val="20"/>
        </w:rPr>
        <w:t>Laibuni</w:t>
      </w:r>
      <w:proofErr w:type="spellEnd"/>
      <w:r w:rsidRPr="00E03CE0">
        <w:rPr>
          <w:rFonts w:ascii="Times New Roman" w:eastAsia="Times New Roman" w:hAnsi="Times New Roman" w:cs="Times New Roman"/>
          <w:sz w:val="20"/>
          <w:szCs w:val="20"/>
        </w:rPr>
        <w:t xml:space="preserve">, Humphrey Njogu, Adan </w:t>
      </w:r>
      <w:proofErr w:type="spellStart"/>
      <w:r w:rsidRPr="00E03CE0">
        <w:rPr>
          <w:rFonts w:ascii="Times New Roman" w:eastAsia="Times New Roman" w:hAnsi="Times New Roman" w:cs="Times New Roman"/>
          <w:sz w:val="20"/>
          <w:szCs w:val="20"/>
        </w:rPr>
        <w:t>Shibia</w:t>
      </w:r>
      <w:proofErr w:type="spellEnd"/>
      <w:r w:rsidRPr="00E03CE0">
        <w:rPr>
          <w:rFonts w:ascii="Times New Roman" w:eastAsia="Times New Roman" w:hAnsi="Times New Roman" w:cs="Times New Roman"/>
          <w:sz w:val="20"/>
          <w:szCs w:val="20"/>
        </w:rPr>
        <w:t xml:space="preserve">, and Samantha </w:t>
      </w:r>
      <w:proofErr w:type="spellStart"/>
      <w:r w:rsidRPr="00E03CE0">
        <w:rPr>
          <w:rFonts w:ascii="Times New Roman" w:eastAsia="Times New Roman" w:hAnsi="Times New Roman" w:cs="Times New Roman"/>
          <w:sz w:val="20"/>
          <w:szCs w:val="20"/>
        </w:rPr>
        <w:t>Luseno</w:t>
      </w:r>
      <w:proofErr w:type="spellEnd"/>
      <w:r w:rsidRPr="00E03CE0">
        <w:rPr>
          <w:rFonts w:ascii="Times New Roman" w:eastAsia="Times New Roman" w:hAnsi="Times New Roman" w:cs="Times New Roman"/>
          <w:sz w:val="20"/>
          <w:szCs w:val="20"/>
        </w:rPr>
        <w:t xml:space="preserve">. “Industries without Smokestacks in Africa: A Kenya Case Study – Africa Portal,” July 2021. </w:t>
      </w:r>
      <w:hyperlink r:id="rId54" w:history="1">
        <w:r w:rsidRPr="00E03CE0">
          <w:rPr>
            <w:rFonts w:ascii="Times New Roman" w:eastAsia="Times New Roman" w:hAnsi="Times New Roman" w:cs="Times New Roman"/>
            <w:sz w:val="20"/>
            <w:szCs w:val="20"/>
            <w:u w:val="single"/>
          </w:rPr>
          <w:t>https://africaportal.org/publication/industries-without-smokestacks-africa-kenya-case-study/</w:t>
        </w:r>
      </w:hyperlink>
      <w:r w:rsidRPr="00E03CE0">
        <w:rPr>
          <w:rFonts w:ascii="Times New Roman" w:eastAsia="Times New Roman" w:hAnsi="Times New Roman" w:cs="Times New Roman"/>
          <w:sz w:val="20"/>
          <w:szCs w:val="20"/>
        </w:rPr>
        <w:t>.</w:t>
      </w:r>
    </w:p>
    <w:p w14:paraId="2FCAA658" w14:textId="30A18C18"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Naudé, Wim, and Fiona Tregenna. “Africa’s Industrialization Prospects: A Fresh Look.” SSRN Scholarly Paper. Rochester, NY, April 1, 2023. </w:t>
      </w:r>
      <w:hyperlink r:id="rId55" w:history="1">
        <w:r w:rsidRPr="00E03CE0">
          <w:rPr>
            <w:rFonts w:ascii="Times New Roman" w:eastAsia="Times New Roman" w:hAnsi="Times New Roman" w:cs="Times New Roman"/>
            <w:sz w:val="20"/>
            <w:szCs w:val="20"/>
            <w:u w:val="single"/>
          </w:rPr>
          <w:t>https://doi.org/10.2139/ssrn.4406591</w:t>
        </w:r>
      </w:hyperlink>
      <w:r w:rsidRPr="00E03CE0">
        <w:rPr>
          <w:rFonts w:ascii="Times New Roman" w:eastAsia="Times New Roman" w:hAnsi="Times New Roman" w:cs="Times New Roman"/>
          <w:sz w:val="20"/>
          <w:szCs w:val="20"/>
        </w:rPr>
        <w:t>.</w:t>
      </w:r>
    </w:p>
    <w:p w14:paraId="0C5C3D10" w14:textId="464C2BDD"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Newfarmer</w:t>
      </w:r>
      <w:proofErr w:type="spellEnd"/>
      <w:r w:rsidRPr="00E03CE0">
        <w:rPr>
          <w:rFonts w:ascii="Times New Roman" w:eastAsia="Times New Roman" w:hAnsi="Times New Roman" w:cs="Times New Roman"/>
          <w:sz w:val="20"/>
          <w:szCs w:val="20"/>
        </w:rPr>
        <w:t xml:space="preserve">, Richard, John Page, and Finn Tarp, eds. </w:t>
      </w:r>
      <w:r w:rsidRPr="00E03CE0">
        <w:rPr>
          <w:rFonts w:ascii="Times New Roman" w:eastAsia="Times New Roman" w:hAnsi="Times New Roman" w:cs="Times New Roman"/>
          <w:i/>
          <w:iCs/>
          <w:sz w:val="20"/>
          <w:szCs w:val="20"/>
        </w:rPr>
        <w:t>Industries without Smokestacks: Industrialization in Africa Reconsidered</w:t>
      </w:r>
      <w:r w:rsidRPr="00E03CE0">
        <w:rPr>
          <w:rFonts w:ascii="Times New Roman" w:eastAsia="Times New Roman" w:hAnsi="Times New Roman" w:cs="Times New Roman"/>
          <w:sz w:val="20"/>
          <w:szCs w:val="20"/>
        </w:rPr>
        <w:t xml:space="preserve">. Oxford University Press, 2019. </w:t>
      </w:r>
      <w:hyperlink r:id="rId56" w:history="1">
        <w:r w:rsidRPr="00E03CE0">
          <w:rPr>
            <w:rFonts w:ascii="Times New Roman" w:eastAsia="Times New Roman" w:hAnsi="Times New Roman" w:cs="Times New Roman"/>
            <w:sz w:val="20"/>
            <w:szCs w:val="20"/>
            <w:u w:val="single"/>
          </w:rPr>
          <w:t>https://doi.org/10.1093/oso/9780198821885.001.0001</w:t>
        </w:r>
      </w:hyperlink>
      <w:r w:rsidRPr="00E03CE0">
        <w:rPr>
          <w:rFonts w:ascii="Times New Roman" w:eastAsia="Times New Roman" w:hAnsi="Times New Roman" w:cs="Times New Roman"/>
          <w:sz w:val="20"/>
          <w:szCs w:val="20"/>
        </w:rPr>
        <w:t>.</w:t>
      </w:r>
    </w:p>
    <w:p w14:paraId="499F400A" w14:textId="4CDA85BB"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Ngware</w:t>
      </w:r>
      <w:proofErr w:type="spellEnd"/>
      <w:r w:rsidRPr="00E03CE0">
        <w:rPr>
          <w:rFonts w:ascii="Times New Roman" w:eastAsia="Times New Roman" w:hAnsi="Times New Roman" w:cs="Times New Roman"/>
          <w:sz w:val="20"/>
          <w:szCs w:val="20"/>
        </w:rPr>
        <w:t xml:space="preserve">, Moses W., Vollan Ochieng’, Francis Kiroro, </w:t>
      </w:r>
      <w:proofErr w:type="spellStart"/>
      <w:r w:rsidRPr="00E03CE0">
        <w:rPr>
          <w:rFonts w:ascii="Times New Roman" w:eastAsia="Times New Roman" w:hAnsi="Times New Roman" w:cs="Times New Roman"/>
          <w:sz w:val="20"/>
          <w:szCs w:val="20"/>
        </w:rPr>
        <w:t>Njora</w:t>
      </w:r>
      <w:proofErr w:type="spellEnd"/>
      <w:r w:rsidRPr="00E03CE0">
        <w:rPr>
          <w:rFonts w:ascii="Times New Roman" w:eastAsia="Times New Roman" w:hAnsi="Times New Roman" w:cs="Times New Roman"/>
          <w:sz w:val="20"/>
          <w:szCs w:val="20"/>
        </w:rPr>
        <w:t xml:space="preserve"> Hungi, and John M. Muchira. “Assessing the Acquisition of Whole Youth Development Skills among Students in TVET Institutions in Kenya.” </w:t>
      </w:r>
      <w:r w:rsidRPr="00E03CE0">
        <w:rPr>
          <w:rFonts w:ascii="Times New Roman" w:eastAsia="Times New Roman" w:hAnsi="Times New Roman" w:cs="Times New Roman"/>
          <w:i/>
          <w:iCs/>
          <w:sz w:val="20"/>
          <w:szCs w:val="20"/>
        </w:rPr>
        <w:t>Journal of Vocational Education &amp; Training</w:t>
      </w:r>
      <w:r w:rsidR="00017442" w:rsidRPr="00E03CE0">
        <w:rPr>
          <w:rFonts w:ascii="Times New Roman" w:eastAsia="Times New Roman" w:hAnsi="Times New Roman" w:cs="Times New Roman"/>
          <w:sz w:val="20"/>
          <w:szCs w:val="20"/>
        </w:rPr>
        <w:t xml:space="preserve">. </w:t>
      </w:r>
      <w:r w:rsidRPr="00E03CE0">
        <w:rPr>
          <w:rFonts w:ascii="Times New Roman" w:eastAsia="Times New Roman" w:hAnsi="Times New Roman" w:cs="Times New Roman"/>
          <w:sz w:val="20"/>
          <w:szCs w:val="20"/>
        </w:rPr>
        <w:t xml:space="preserve">(2022): 1–26. </w:t>
      </w:r>
      <w:hyperlink r:id="rId57" w:history="1">
        <w:r w:rsidRPr="00E03CE0">
          <w:rPr>
            <w:rFonts w:ascii="Times New Roman" w:eastAsia="Times New Roman" w:hAnsi="Times New Roman" w:cs="Times New Roman"/>
            <w:sz w:val="20"/>
            <w:szCs w:val="20"/>
            <w:u w:val="single"/>
          </w:rPr>
          <w:t>https://doi.org/10.1080/13636820.2022.2029544</w:t>
        </w:r>
      </w:hyperlink>
      <w:r w:rsidRPr="00E03CE0">
        <w:rPr>
          <w:rFonts w:ascii="Times New Roman" w:eastAsia="Times New Roman" w:hAnsi="Times New Roman" w:cs="Times New Roman"/>
          <w:sz w:val="20"/>
          <w:szCs w:val="20"/>
        </w:rPr>
        <w:t>.</w:t>
      </w:r>
    </w:p>
    <w:p w14:paraId="5B034D14" w14:textId="2E8D8B5D" w:rsidR="00D4375F" w:rsidRPr="00E03CE0" w:rsidRDefault="00D4375F"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Onsomu</w:t>
      </w:r>
      <w:proofErr w:type="spellEnd"/>
      <w:r w:rsidRPr="00E03CE0">
        <w:rPr>
          <w:rFonts w:ascii="Times New Roman" w:eastAsia="Times New Roman" w:hAnsi="Times New Roman" w:cs="Times New Roman"/>
          <w:sz w:val="20"/>
          <w:szCs w:val="20"/>
        </w:rPr>
        <w:t xml:space="preserve">, </w:t>
      </w:r>
      <w:proofErr w:type="spellStart"/>
      <w:r w:rsidRPr="00E03CE0">
        <w:rPr>
          <w:rFonts w:ascii="Times New Roman" w:eastAsia="Times New Roman" w:hAnsi="Times New Roman" w:cs="Times New Roman"/>
          <w:sz w:val="20"/>
          <w:szCs w:val="20"/>
        </w:rPr>
        <w:t>Eldah</w:t>
      </w:r>
      <w:proofErr w:type="spellEnd"/>
      <w:r w:rsidRPr="00E03CE0">
        <w:rPr>
          <w:rFonts w:ascii="Times New Roman" w:eastAsia="Times New Roman" w:hAnsi="Times New Roman" w:cs="Times New Roman"/>
          <w:sz w:val="20"/>
          <w:szCs w:val="20"/>
        </w:rPr>
        <w:t xml:space="preserve">, N., </w:t>
      </w:r>
      <w:proofErr w:type="spellStart"/>
      <w:r w:rsidRPr="00E03CE0">
        <w:rPr>
          <w:rFonts w:ascii="Times New Roman" w:eastAsia="Times New Roman" w:hAnsi="Times New Roman" w:cs="Times New Roman"/>
          <w:sz w:val="20"/>
          <w:szCs w:val="20"/>
        </w:rPr>
        <w:t>Muthaka</w:t>
      </w:r>
      <w:proofErr w:type="spellEnd"/>
      <w:r w:rsidRPr="00E03CE0">
        <w:rPr>
          <w:rFonts w:ascii="Times New Roman" w:eastAsia="Times New Roman" w:hAnsi="Times New Roman" w:cs="Times New Roman"/>
          <w:sz w:val="20"/>
          <w:szCs w:val="20"/>
        </w:rPr>
        <w:t xml:space="preserve">, David, </w:t>
      </w:r>
      <w:proofErr w:type="spellStart"/>
      <w:r w:rsidRPr="00E03CE0">
        <w:rPr>
          <w:rFonts w:ascii="Times New Roman" w:eastAsia="Times New Roman" w:hAnsi="Times New Roman" w:cs="Times New Roman"/>
          <w:sz w:val="20"/>
          <w:szCs w:val="20"/>
        </w:rPr>
        <w:t>Ngware</w:t>
      </w:r>
      <w:proofErr w:type="spellEnd"/>
      <w:r w:rsidRPr="00E03CE0">
        <w:rPr>
          <w:rFonts w:ascii="Times New Roman" w:eastAsia="Times New Roman" w:hAnsi="Times New Roman" w:cs="Times New Roman"/>
          <w:sz w:val="20"/>
          <w:szCs w:val="20"/>
        </w:rPr>
        <w:t xml:space="preserve">, Moses, and </w:t>
      </w:r>
      <w:proofErr w:type="spellStart"/>
      <w:r w:rsidRPr="00E03CE0">
        <w:rPr>
          <w:rFonts w:ascii="Times New Roman" w:eastAsia="Times New Roman" w:hAnsi="Times New Roman" w:cs="Times New Roman"/>
          <w:sz w:val="20"/>
          <w:szCs w:val="20"/>
        </w:rPr>
        <w:t>Kosimbei</w:t>
      </w:r>
      <w:proofErr w:type="spellEnd"/>
      <w:r w:rsidRPr="00E03CE0">
        <w:rPr>
          <w:rFonts w:ascii="Times New Roman" w:eastAsia="Times New Roman" w:hAnsi="Times New Roman" w:cs="Times New Roman"/>
          <w:sz w:val="20"/>
          <w:szCs w:val="20"/>
        </w:rPr>
        <w:t>, George. “Financing of Secondary Education in Kenya: Costs and Options.” KIPPRA Discussion Paper No. 55. (March 2006).</w:t>
      </w:r>
    </w:p>
    <w:p w14:paraId="7D68A66E" w14:textId="44BABF7C"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Pieper, Jenna R., Charlie O. Trevor, Ingo Weller, and Dennis Duchon. “Referral Hire Presence Implications for Referrer Turnover and Job Performance.” </w:t>
      </w:r>
      <w:r w:rsidRPr="00E03CE0">
        <w:rPr>
          <w:rFonts w:ascii="Times New Roman" w:eastAsia="Times New Roman" w:hAnsi="Times New Roman" w:cs="Times New Roman"/>
          <w:i/>
          <w:iCs/>
          <w:sz w:val="20"/>
          <w:szCs w:val="20"/>
        </w:rPr>
        <w:t>Journal of Management</w:t>
      </w:r>
      <w:r w:rsidRPr="00E03CE0">
        <w:rPr>
          <w:rFonts w:ascii="Times New Roman" w:eastAsia="Times New Roman" w:hAnsi="Times New Roman" w:cs="Times New Roman"/>
          <w:sz w:val="20"/>
          <w:szCs w:val="20"/>
        </w:rPr>
        <w:t xml:space="preserve"> 45, no. 5 (May 1, 2019): 1858–88. </w:t>
      </w:r>
      <w:hyperlink r:id="rId58" w:history="1">
        <w:r w:rsidRPr="00E03CE0">
          <w:rPr>
            <w:rFonts w:ascii="Times New Roman" w:eastAsia="Times New Roman" w:hAnsi="Times New Roman" w:cs="Times New Roman"/>
            <w:sz w:val="20"/>
            <w:szCs w:val="20"/>
            <w:u w:val="single"/>
          </w:rPr>
          <w:t>https://doi.org/10.1177/0149206317739959</w:t>
        </w:r>
      </w:hyperlink>
      <w:r w:rsidRPr="00E03CE0">
        <w:rPr>
          <w:rFonts w:ascii="Times New Roman" w:eastAsia="Times New Roman" w:hAnsi="Times New Roman" w:cs="Times New Roman"/>
          <w:sz w:val="20"/>
          <w:szCs w:val="20"/>
        </w:rPr>
        <w:t>.</w:t>
      </w:r>
    </w:p>
    <w:p w14:paraId="23D0B918" w14:textId="083E4722" w:rsidR="000E3688" w:rsidRPr="00E03CE0" w:rsidRDefault="000E3688"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Pissarides</w:t>
      </w:r>
      <w:proofErr w:type="spellEnd"/>
      <w:r w:rsidRPr="00E03CE0">
        <w:rPr>
          <w:rFonts w:ascii="Times New Roman" w:eastAsia="Times New Roman" w:hAnsi="Times New Roman" w:cs="Times New Roman"/>
          <w:sz w:val="20"/>
          <w:szCs w:val="20"/>
        </w:rPr>
        <w:t>, Christopher A. “Equilibrium Unemployment Theory.” 2</w:t>
      </w:r>
      <w:r w:rsidRPr="00E03CE0">
        <w:rPr>
          <w:rFonts w:ascii="Times New Roman" w:eastAsia="Times New Roman" w:hAnsi="Times New Roman" w:cs="Times New Roman"/>
          <w:sz w:val="20"/>
          <w:szCs w:val="20"/>
          <w:vertAlign w:val="superscript"/>
        </w:rPr>
        <w:t>nd</w:t>
      </w:r>
      <w:r w:rsidRPr="00E03CE0">
        <w:rPr>
          <w:rFonts w:ascii="Times New Roman" w:eastAsia="Times New Roman" w:hAnsi="Times New Roman" w:cs="Times New Roman"/>
          <w:sz w:val="20"/>
          <w:szCs w:val="20"/>
        </w:rPr>
        <w:t xml:space="preserve"> ed. Cambridge, MA: MIT Press.</w:t>
      </w:r>
    </w:p>
    <w:p w14:paraId="32C5D242" w14:textId="78F21B10" w:rsidR="006C4709" w:rsidRPr="00E03CE0" w:rsidRDefault="00D4375F"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Psacharopoulos</w:t>
      </w:r>
      <w:proofErr w:type="spellEnd"/>
      <w:r w:rsidRPr="00E03CE0">
        <w:rPr>
          <w:rFonts w:ascii="Times New Roman" w:eastAsia="Times New Roman" w:hAnsi="Times New Roman" w:cs="Times New Roman"/>
          <w:sz w:val="20"/>
          <w:szCs w:val="20"/>
        </w:rPr>
        <w:t xml:space="preserve">, George, and Harry Antony Patrinos. “Returns to Investment in Education: A Decennial Review of the Global Literature,” Policy Research Working Paper No. 8402. World Bank Education Global Practice. (April 2018). </w:t>
      </w:r>
    </w:p>
    <w:p w14:paraId="666ED5E9" w14:textId="77777777"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Shingou</w:t>
      </w:r>
      <w:proofErr w:type="spellEnd"/>
      <w:r w:rsidRPr="00E03CE0">
        <w:rPr>
          <w:rFonts w:ascii="Times New Roman" w:eastAsia="Times New Roman" w:hAnsi="Times New Roman" w:cs="Times New Roman"/>
          <w:sz w:val="20"/>
          <w:szCs w:val="20"/>
        </w:rPr>
        <w:t xml:space="preserve">, Ikeda, Tagami Kota, and Sakai </w:t>
      </w:r>
      <w:proofErr w:type="spellStart"/>
      <w:r w:rsidRPr="00E03CE0">
        <w:rPr>
          <w:rFonts w:ascii="Times New Roman" w:eastAsia="Times New Roman" w:hAnsi="Times New Roman" w:cs="Times New Roman"/>
          <w:sz w:val="20"/>
          <w:szCs w:val="20"/>
        </w:rPr>
        <w:t>Kazufumi</w:t>
      </w:r>
      <w:proofErr w:type="spellEnd"/>
      <w:r w:rsidRPr="00E03CE0">
        <w:rPr>
          <w:rFonts w:ascii="Times New Roman" w:eastAsia="Times New Roman" w:hAnsi="Times New Roman" w:cs="Times New Roman"/>
          <w:sz w:val="20"/>
          <w:szCs w:val="20"/>
        </w:rPr>
        <w:t xml:space="preserve">. “The Future of the Japanese Long-Term Employment Society: The Consequences of Post-Industrialization and Increase of Unmarried Workers.” </w:t>
      </w:r>
      <w:r w:rsidRPr="00E03CE0">
        <w:rPr>
          <w:rFonts w:ascii="Times New Roman" w:eastAsia="Times New Roman" w:hAnsi="Times New Roman" w:cs="Times New Roman"/>
          <w:i/>
          <w:iCs/>
          <w:sz w:val="20"/>
          <w:szCs w:val="20"/>
        </w:rPr>
        <w:t>Japan Labor Issues</w:t>
      </w:r>
      <w:r w:rsidRPr="00E03CE0">
        <w:rPr>
          <w:rFonts w:ascii="Times New Roman" w:eastAsia="Times New Roman" w:hAnsi="Times New Roman" w:cs="Times New Roman"/>
          <w:sz w:val="20"/>
          <w:szCs w:val="20"/>
        </w:rPr>
        <w:t xml:space="preserve"> 6, no. 37 (April 2022).</w:t>
      </w:r>
    </w:p>
    <w:p w14:paraId="6572F313" w14:textId="2A0936CE" w:rsidR="00D4375F" w:rsidRPr="00E03CE0" w:rsidRDefault="00D4375F" w:rsidP="00876966">
      <w:pPr>
        <w:spacing w:line="240" w:lineRule="auto"/>
        <w:ind w:hanging="480"/>
        <w:jc w:val="both"/>
        <w:rPr>
          <w:rFonts w:ascii="Times New Roman" w:hAnsi="Times New Roman" w:cs="Times New Roman"/>
          <w:sz w:val="20"/>
          <w:szCs w:val="20"/>
        </w:rPr>
      </w:pPr>
      <w:proofErr w:type="spellStart"/>
      <w:r w:rsidRPr="00E03CE0">
        <w:rPr>
          <w:rFonts w:ascii="Times New Roman" w:hAnsi="Times New Roman" w:cs="Times New Roman"/>
          <w:sz w:val="20"/>
          <w:szCs w:val="20"/>
        </w:rPr>
        <w:t>Söderbom</w:t>
      </w:r>
      <w:proofErr w:type="spellEnd"/>
      <w:r w:rsidRPr="00E03CE0">
        <w:rPr>
          <w:rFonts w:ascii="Times New Roman" w:hAnsi="Times New Roman" w:cs="Times New Roman"/>
          <w:sz w:val="20"/>
          <w:szCs w:val="20"/>
        </w:rPr>
        <w:t xml:space="preserve">, Måns, Francis Teal, Anthony Wambugu, and </w:t>
      </w:r>
      <w:proofErr w:type="spellStart"/>
      <w:r w:rsidRPr="00E03CE0">
        <w:rPr>
          <w:rFonts w:ascii="Times New Roman" w:hAnsi="Times New Roman" w:cs="Times New Roman"/>
          <w:sz w:val="20"/>
          <w:szCs w:val="20"/>
        </w:rPr>
        <w:t>Godius</w:t>
      </w:r>
      <w:proofErr w:type="spellEnd"/>
      <w:r w:rsidRPr="00E03CE0">
        <w:rPr>
          <w:rFonts w:ascii="Times New Roman" w:hAnsi="Times New Roman" w:cs="Times New Roman"/>
          <w:sz w:val="20"/>
          <w:szCs w:val="20"/>
        </w:rPr>
        <w:t xml:space="preserve"> </w:t>
      </w:r>
      <w:proofErr w:type="spellStart"/>
      <w:r w:rsidRPr="00E03CE0">
        <w:rPr>
          <w:rFonts w:ascii="Times New Roman" w:hAnsi="Times New Roman" w:cs="Times New Roman"/>
          <w:sz w:val="20"/>
          <w:szCs w:val="20"/>
        </w:rPr>
        <w:t>Kahyarara</w:t>
      </w:r>
      <w:proofErr w:type="spellEnd"/>
      <w:r w:rsidRPr="00E03CE0">
        <w:rPr>
          <w:rFonts w:ascii="Times New Roman" w:hAnsi="Times New Roman" w:cs="Times New Roman"/>
          <w:sz w:val="20"/>
          <w:szCs w:val="20"/>
        </w:rPr>
        <w:t xml:space="preserve">. “The Dynamics of Returns to Education in Kenyan and Tanzanian Manufacturing*.” </w:t>
      </w:r>
      <w:r w:rsidRPr="00E03CE0">
        <w:rPr>
          <w:rFonts w:ascii="Times New Roman" w:hAnsi="Times New Roman" w:cs="Times New Roman"/>
          <w:i/>
          <w:iCs/>
          <w:sz w:val="20"/>
          <w:szCs w:val="20"/>
        </w:rPr>
        <w:t>Oxford Bulletin of Economics and Statistics</w:t>
      </w:r>
      <w:r w:rsidRPr="00E03CE0">
        <w:rPr>
          <w:rFonts w:ascii="Times New Roman" w:hAnsi="Times New Roman" w:cs="Times New Roman"/>
          <w:sz w:val="20"/>
          <w:szCs w:val="20"/>
        </w:rPr>
        <w:t xml:space="preserve"> 68, no. 3 (June 2006): 261–88. </w:t>
      </w:r>
      <w:hyperlink r:id="rId59" w:history="1">
        <w:r w:rsidRPr="00E03CE0">
          <w:rPr>
            <w:rStyle w:val="Hyperlink"/>
            <w:rFonts w:ascii="Times New Roman" w:hAnsi="Times New Roman" w:cs="Times New Roman"/>
            <w:color w:val="auto"/>
            <w:sz w:val="20"/>
            <w:szCs w:val="20"/>
          </w:rPr>
          <w:t>https://doi.org/10.1111/j.1468-0084.2006.00162.x</w:t>
        </w:r>
      </w:hyperlink>
      <w:r w:rsidRPr="00E03CE0">
        <w:rPr>
          <w:rFonts w:ascii="Times New Roman" w:hAnsi="Times New Roman" w:cs="Times New Roman"/>
          <w:sz w:val="20"/>
          <w:szCs w:val="20"/>
        </w:rPr>
        <w:t>.</w:t>
      </w:r>
    </w:p>
    <w:p w14:paraId="7C4DB5CB" w14:textId="4C442A7A" w:rsidR="00876966" w:rsidRPr="00E03CE0" w:rsidRDefault="00876966" w:rsidP="00876966">
      <w:pPr>
        <w:spacing w:line="240" w:lineRule="auto"/>
        <w:ind w:hanging="480"/>
        <w:jc w:val="both"/>
        <w:rPr>
          <w:rFonts w:ascii="Times New Roman" w:hAnsi="Times New Roman" w:cs="Times New Roman"/>
          <w:sz w:val="20"/>
          <w:szCs w:val="20"/>
        </w:rPr>
      </w:pPr>
      <w:r w:rsidRPr="00E03CE0">
        <w:rPr>
          <w:rFonts w:ascii="Times New Roman" w:hAnsi="Times New Roman" w:cs="Times New Roman"/>
          <w:sz w:val="20"/>
          <w:szCs w:val="20"/>
        </w:rPr>
        <w:lastRenderedPageBreak/>
        <w:t xml:space="preserve">Song, </w:t>
      </w:r>
      <w:proofErr w:type="spellStart"/>
      <w:r w:rsidRPr="00E03CE0">
        <w:rPr>
          <w:rFonts w:ascii="Times New Roman" w:hAnsi="Times New Roman" w:cs="Times New Roman"/>
          <w:sz w:val="20"/>
          <w:szCs w:val="20"/>
        </w:rPr>
        <w:t>Myunghyun</w:t>
      </w:r>
      <w:proofErr w:type="spellEnd"/>
      <w:r w:rsidRPr="00E03CE0">
        <w:rPr>
          <w:rFonts w:ascii="Times New Roman" w:hAnsi="Times New Roman" w:cs="Times New Roman"/>
          <w:sz w:val="20"/>
          <w:szCs w:val="20"/>
        </w:rPr>
        <w:t xml:space="preserve">. “Identification and Inference in General Bunching Designs.” </w:t>
      </w:r>
      <w:proofErr w:type="spellStart"/>
      <w:r w:rsidRPr="00E03CE0">
        <w:rPr>
          <w:rFonts w:ascii="Times New Roman" w:hAnsi="Times New Roman" w:cs="Times New Roman"/>
          <w:sz w:val="20"/>
          <w:szCs w:val="20"/>
        </w:rPr>
        <w:t>arXiv</w:t>
      </w:r>
      <w:proofErr w:type="spellEnd"/>
      <w:r w:rsidRPr="00E03CE0">
        <w:rPr>
          <w:rFonts w:ascii="Times New Roman" w:hAnsi="Times New Roman" w:cs="Times New Roman"/>
          <w:sz w:val="20"/>
          <w:szCs w:val="20"/>
        </w:rPr>
        <w:t xml:space="preserve">, February 6, 2025. </w:t>
      </w:r>
      <w:hyperlink r:id="rId60" w:history="1">
        <w:r w:rsidRPr="00E03CE0">
          <w:rPr>
            <w:rStyle w:val="Hyperlink"/>
            <w:rFonts w:ascii="Times New Roman" w:hAnsi="Times New Roman" w:cs="Times New Roman"/>
            <w:sz w:val="20"/>
            <w:szCs w:val="20"/>
          </w:rPr>
          <w:t>https://doi.org/10.48550/arXiv.2411.03625</w:t>
        </w:r>
      </w:hyperlink>
      <w:r w:rsidRPr="00E03CE0">
        <w:rPr>
          <w:rFonts w:ascii="Times New Roman" w:hAnsi="Times New Roman" w:cs="Times New Roman"/>
          <w:sz w:val="20"/>
          <w:szCs w:val="20"/>
        </w:rPr>
        <w:t>.</w:t>
      </w:r>
    </w:p>
    <w:p w14:paraId="418C6D0B" w14:textId="6F40205A"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Tomar</w:t>
      </w:r>
      <w:r w:rsidR="00017442" w:rsidRPr="00E03CE0">
        <w:rPr>
          <w:rFonts w:ascii="Times New Roman" w:eastAsia="Times New Roman" w:hAnsi="Times New Roman" w:cs="Times New Roman"/>
          <w:sz w:val="20"/>
          <w:szCs w:val="20"/>
        </w:rPr>
        <w:t>-</w:t>
      </w:r>
      <w:r w:rsidRPr="00E03CE0">
        <w:rPr>
          <w:rFonts w:ascii="Times New Roman" w:eastAsia="Times New Roman" w:hAnsi="Times New Roman" w:cs="Times New Roman"/>
          <w:sz w:val="20"/>
          <w:szCs w:val="20"/>
        </w:rPr>
        <w:t xml:space="preserve">Mishra, Pallavi, Abhishek Mishra, and </w:t>
      </w:r>
      <w:proofErr w:type="spellStart"/>
      <w:r w:rsidRPr="00E03CE0">
        <w:rPr>
          <w:rFonts w:ascii="Times New Roman" w:eastAsia="Times New Roman" w:hAnsi="Times New Roman" w:cs="Times New Roman"/>
          <w:sz w:val="20"/>
          <w:szCs w:val="20"/>
        </w:rPr>
        <w:t>Sudhinder</w:t>
      </w:r>
      <w:proofErr w:type="spellEnd"/>
      <w:r w:rsidRPr="00E03CE0">
        <w:rPr>
          <w:rFonts w:ascii="Times New Roman" w:eastAsia="Times New Roman" w:hAnsi="Times New Roman" w:cs="Times New Roman"/>
          <w:sz w:val="20"/>
          <w:szCs w:val="20"/>
        </w:rPr>
        <w:t xml:space="preserve"> Singh Chowhan. “Role of Higher Education in Bridging the Skill Gap.” </w:t>
      </w:r>
      <w:r w:rsidRPr="00E03CE0">
        <w:rPr>
          <w:rFonts w:ascii="Times New Roman" w:eastAsia="Times New Roman" w:hAnsi="Times New Roman" w:cs="Times New Roman"/>
          <w:i/>
          <w:iCs/>
          <w:sz w:val="20"/>
          <w:szCs w:val="20"/>
        </w:rPr>
        <w:t>Universal Journal of Management</w:t>
      </w:r>
      <w:r w:rsidRPr="00E03CE0">
        <w:rPr>
          <w:rFonts w:ascii="Times New Roman" w:eastAsia="Times New Roman" w:hAnsi="Times New Roman" w:cs="Times New Roman"/>
          <w:sz w:val="20"/>
          <w:szCs w:val="20"/>
        </w:rPr>
        <w:t xml:space="preserve"> 7, no. 4 (August 2019): 134–39. </w:t>
      </w:r>
      <w:hyperlink r:id="rId61" w:history="1">
        <w:r w:rsidRPr="00E03CE0">
          <w:rPr>
            <w:rFonts w:ascii="Times New Roman" w:eastAsia="Times New Roman" w:hAnsi="Times New Roman" w:cs="Times New Roman"/>
            <w:sz w:val="20"/>
            <w:szCs w:val="20"/>
            <w:u w:val="single"/>
          </w:rPr>
          <w:t>https://doi.org/10.13189/ujm.2019.070402</w:t>
        </w:r>
      </w:hyperlink>
      <w:r w:rsidRPr="00E03CE0">
        <w:rPr>
          <w:rFonts w:ascii="Times New Roman" w:eastAsia="Times New Roman" w:hAnsi="Times New Roman" w:cs="Times New Roman"/>
          <w:sz w:val="20"/>
          <w:szCs w:val="20"/>
        </w:rPr>
        <w:t>.</w:t>
      </w:r>
    </w:p>
    <w:p w14:paraId="43400727" w14:textId="7DD77C5F"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Wolcott, Erin L. “Employment Inequality: Why Do the Low-Skilled Work Less Now?” </w:t>
      </w:r>
      <w:r w:rsidRPr="00E03CE0">
        <w:rPr>
          <w:rFonts w:ascii="Times New Roman" w:eastAsia="Times New Roman" w:hAnsi="Times New Roman" w:cs="Times New Roman"/>
          <w:i/>
          <w:iCs/>
          <w:sz w:val="20"/>
          <w:szCs w:val="20"/>
        </w:rPr>
        <w:t>Journal of Monetary Economics</w:t>
      </w:r>
      <w:r w:rsidRPr="00E03CE0">
        <w:rPr>
          <w:rFonts w:ascii="Times New Roman" w:eastAsia="Times New Roman" w:hAnsi="Times New Roman" w:cs="Times New Roman"/>
          <w:sz w:val="20"/>
          <w:szCs w:val="20"/>
        </w:rPr>
        <w:t xml:space="preserve"> 118 (March 1, 2021): 161–77. </w:t>
      </w:r>
      <w:hyperlink r:id="rId62" w:history="1">
        <w:r w:rsidRPr="00E03CE0">
          <w:rPr>
            <w:rFonts w:ascii="Times New Roman" w:eastAsia="Times New Roman" w:hAnsi="Times New Roman" w:cs="Times New Roman"/>
            <w:sz w:val="20"/>
            <w:szCs w:val="20"/>
            <w:u w:val="single"/>
          </w:rPr>
          <w:t>https://doi.org/10.1016/j.jmoneco.2020.09.004</w:t>
        </w:r>
      </w:hyperlink>
      <w:r w:rsidRPr="00E03CE0">
        <w:rPr>
          <w:rFonts w:ascii="Times New Roman" w:eastAsia="Times New Roman" w:hAnsi="Times New Roman" w:cs="Times New Roman"/>
          <w:sz w:val="20"/>
          <w:szCs w:val="20"/>
        </w:rPr>
        <w:t>.</w:t>
      </w:r>
    </w:p>
    <w:p w14:paraId="0A5F39F0" w14:textId="679D470E"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eastAsia="Times New Roman" w:hAnsi="Times New Roman" w:cs="Times New Roman"/>
          <w:sz w:val="20"/>
          <w:szCs w:val="20"/>
        </w:rPr>
        <w:t xml:space="preserve">World Bank. “STEP Skills Measurement Employer Survey 2016 - 2017 (Wave 3).” World Bank, Development Data Group, April 2018. </w:t>
      </w:r>
      <w:hyperlink r:id="rId63" w:history="1">
        <w:r w:rsidRPr="00E03CE0">
          <w:rPr>
            <w:rFonts w:ascii="Times New Roman" w:eastAsia="Times New Roman" w:hAnsi="Times New Roman" w:cs="Times New Roman"/>
            <w:sz w:val="20"/>
            <w:szCs w:val="20"/>
            <w:u w:val="single"/>
          </w:rPr>
          <w:t>https://doi.org/10.48529/7691-NF41</w:t>
        </w:r>
      </w:hyperlink>
      <w:r w:rsidRPr="00E03CE0">
        <w:rPr>
          <w:rFonts w:ascii="Times New Roman" w:eastAsia="Times New Roman" w:hAnsi="Times New Roman" w:cs="Times New Roman"/>
          <w:sz w:val="20"/>
          <w:szCs w:val="20"/>
        </w:rPr>
        <w:t>.</w:t>
      </w:r>
    </w:p>
    <w:p w14:paraId="023E6CB4" w14:textId="1CB36DC2"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r w:rsidRPr="00E03CE0">
        <w:rPr>
          <w:rFonts w:ascii="Times New Roman" w:hAnsi="Times New Roman" w:cs="Times New Roman"/>
          <w:sz w:val="20"/>
          <w:szCs w:val="20"/>
        </w:rPr>
        <w:t xml:space="preserve">__________. “STEP Skills Measurement Employer Survey—Snapshot 2016: Highlights from Six Low- and Middle-Income Countries.” (2016). </w:t>
      </w:r>
      <w:hyperlink r:id="rId64" w:history="1">
        <w:r w:rsidRPr="00E03CE0">
          <w:rPr>
            <w:rStyle w:val="Hyperlink"/>
            <w:rFonts w:ascii="Times New Roman" w:hAnsi="Times New Roman" w:cs="Times New Roman"/>
            <w:color w:val="auto"/>
            <w:sz w:val="20"/>
            <w:szCs w:val="20"/>
          </w:rPr>
          <w:t>https://documents1.worldbank.org/curated/en/225051473859171409/pdf/108249-REVISED-STEPSnapshotWebUpdated.pdf</w:t>
        </w:r>
      </w:hyperlink>
      <w:r w:rsidRPr="00E03CE0">
        <w:rPr>
          <w:rFonts w:ascii="Times New Roman" w:hAnsi="Times New Roman" w:cs="Times New Roman"/>
          <w:sz w:val="20"/>
          <w:szCs w:val="20"/>
        </w:rPr>
        <w:t>.</w:t>
      </w:r>
    </w:p>
    <w:p w14:paraId="2FDCF7EE" w14:textId="018AD615" w:rsidR="006C4709"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Wuni</w:t>
      </w:r>
      <w:proofErr w:type="spellEnd"/>
      <w:r w:rsidRPr="00E03CE0">
        <w:rPr>
          <w:rFonts w:ascii="Times New Roman" w:eastAsia="Times New Roman" w:hAnsi="Times New Roman" w:cs="Times New Roman"/>
          <w:sz w:val="20"/>
          <w:szCs w:val="20"/>
        </w:rPr>
        <w:t xml:space="preserve">, Ibrahim </w:t>
      </w:r>
      <w:proofErr w:type="spellStart"/>
      <w:r w:rsidRPr="00E03CE0">
        <w:rPr>
          <w:rFonts w:ascii="Times New Roman" w:eastAsia="Times New Roman" w:hAnsi="Times New Roman" w:cs="Times New Roman"/>
          <w:sz w:val="20"/>
          <w:szCs w:val="20"/>
        </w:rPr>
        <w:t>Yahawa</w:t>
      </w:r>
      <w:proofErr w:type="spellEnd"/>
      <w:r w:rsidRPr="00E03CE0">
        <w:rPr>
          <w:rFonts w:ascii="Times New Roman" w:eastAsia="Times New Roman" w:hAnsi="Times New Roman" w:cs="Times New Roman"/>
          <w:sz w:val="20"/>
          <w:szCs w:val="20"/>
        </w:rPr>
        <w:t xml:space="preserve">, </w:t>
      </w:r>
      <w:proofErr w:type="spellStart"/>
      <w:r w:rsidRPr="00E03CE0">
        <w:rPr>
          <w:rFonts w:ascii="Times New Roman" w:eastAsia="Times New Roman" w:hAnsi="Times New Roman" w:cs="Times New Roman"/>
          <w:sz w:val="20"/>
          <w:szCs w:val="20"/>
        </w:rPr>
        <w:t>Zezhou</w:t>
      </w:r>
      <w:proofErr w:type="spellEnd"/>
      <w:r w:rsidRPr="00E03CE0">
        <w:rPr>
          <w:rFonts w:ascii="Times New Roman" w:eastAsia="Times New Roman" w:hAnsi="Times New Roman" w:cs="Times New Roman"/>
          <w:sz w:val="20"/>
          <w:szCs w:val="20"/>
        </w:rPr>
        <w:t xml:space="preserve"> Wu, and Geoffrey </w:t>
      </w:r>
      <w:proofErr w:type="spellStart"/>
      <w:r w:rsidRPr="00E03CE0">
        <w:rPr>
          <w:rFonts w:ascii="Times New Roman" w:eastAsia="Times New Roman" w:hAnsi="Times New Roman" w:cs="Times New Roman"/>
          <w:sz w:val="20"/>
          <w:szCs w:val="20"/>
        </w:rPr>
        <w:t>Qiping</w:t>
      </w:r>
      <w:proofErr w:type="spellEnd"/>
      <w:r w:rsidRPr="00E03CE0">
        <w:rPr>
          <w:rFonts w:ascii="Times New Roman" w:eastAsia="Times New Roman" w:hAnsi="Times New Roman" w:cs="Times New Roman"/>
          <w:sz w:val="20"/>
          <w:szCs w:val="20"/>
        </w:rPr>
        <w:t xml:space="preserve"> Shen. “Exploring the Challenges of Implementing Design for Excellence in Industrialized Construction Projects in China,” March 8, 2021. </w:t>
      </w:r>
      <w:hyperlink r:id="rId65" w:history="1">
        <w:r w:rsidRPr="00E03CE0">
          <w:rPr>
            <w:rFonts w:ascii="Times New Roman" w:eastAsia="Times New Roman" w:hAnsi="Times New Roman" w:cs="Times New Roman"/>
            <w:sz w:val="20"/>
            <w:szCs w:val="20"/>
            <w:u w:val="single"/>
          </w:rPr>
          <w:t>https://www.tandfonline.com/doi/epdf/10.1080/09613218.2021.1961574?needAccess=true</w:t>
        </w:r>
      </w:hyperlink>
      <w:r w:rsidRPr="00E03CE0">
        <w:rPr>
          <w:rFonts w:ascii="Times New Roman" w:eastAsia="Times New Roman" w:hAnsi="Times New Roman" w:cs="Times New Roman"/>
          <w:sz w:val="20"/>
          <w:szCs w:val="20"/>
        </w:rPr>
        <w:t>.</w:t>
      </w:r>
    </w:p>
    <w:p w14:paraId="05C9D2D0" w14:textId="2197CD06" w:rsidR="008B3AEF" w:rsidRPr="00E03CE0" w:rsidRDefault="006C4709" w:rsidP="00876966">
      <w:pPr>
        <w:spacing w:after="0" w:line="240" w:lineRule="auto"/>
        <w:ind w:hanging="480"/>
        <w:jc w:val="both"/>
        <w:rPr>
          <w:rFonts w:ascii="Times New Roman" w:eastAsia="Times New Roman" w:hAnsi="Times New Roman" w:cs="Times New Roman"/>
          <w:sz w:val="20"/>
          <w:szCs w:val="20"/>
        </w:rPr>
      </w:pPr>
      <w:proofErr w:type="spellStart"/>
      <w:r w:rsidRPr="00E03CE0">
        <w:rPr>
          <w:rFonts w:ascii="Times New Roman" w:eastAsia="Times New Roman" w:hAnsi="Times New Roman" w:cs="Times New Roman"/>
          <w:sz w:val="20"/>
          <w:szCs w:val="20"/>
        </w:rPr>
        <w:t>Zervoudi</w:t>
      </w:r>
      <w:proofErr w:type="spellEnd"/>
      <w:r w:rsidRPr="00E03CE0">
        <w:rPr>
          <w:rFonts w:ascii="Times New Roman" w:eastAsia="Times New Roman" w:hAnsi="Times New Roman" w:cs="Times New Roman"/>
          <w:sz w:val="20"/>
          <w:szCs w:val="20"/>
        </w:rPr>
        <w:t xml:space="preserve">, Evanthia K. “Chapter 1: Fourth Industrial Revolution: Opportunities, Challenges, and Proposed Solutions.” In </w:t>
      </w:r>
      <w:r w:rsidRPr="00E03CE0">
        <w:rPr>
          <w:rFonts w:ascii="Times New Roman" w:eastAsia="Times New Roman" w:hAnsi="Times New Roman" w:cs="Times New Roman"/>
          <w:i/>
          <w:iCs/>
          <w:sz w:val="20"/>
          <w:szCs w:val="20"/>
        </w:rPr>
        <w:t>Industrial Robotics: New Paradigms</w:t>
      </w:r>
      <w:r w:rsidRPr="00E03CE0">
        <w:rPr>
          <w:rFonts w:ascii="Times New Roman" w:eastAsia="Times New Roman" w:hAnsi="Times New Roman" w:cs="Times New Roman"/>
          <w:sz w:val="20"/>
          <w:szCs w:val="20"/>
        </w:rPr>
        <w:t xml:space="preserve">, edited by Antoni Grau and </w:t>
      </w:r>
      <w:proofErr w:type="spellStart"/>
      <w:r w:rsidRPr="00E03CE0">
        <w:rPr>
          <w:rFonts w:ascii="Times New Roman" w:eastAsia="Times New Roman" w:hAnsi="Times New Roman" w:cs="Times New Roman"/>
          <w:sz w:val="20"/>
          <w:szCs w:val="20"/>
        </w:rPr>
        <w:t>Zhuping</w:t>
      </w:r>
      <w:proofErr w:type="spellEnd"/>
      <w:r w:rsidRPr="00E03CE0">
        <w:rPr>
          <w:rFonts w:ascii="Times New Roman" w:eastAsia="Times New Roman" w:hAnsi="Times New Roman" w:cs="Times New Roman"/>
          <w:sz w:val="20"/>
          <w:szCs w:val="20"/>
        </w:rPr>
        <w:t xml:space="preserve"> Wang. </w:t>
      </w:r>
      <w:proofErr w:type="spellStart"/>
      <w:r w:rsidRPr="00E03CE0">
        <w:rPr>
          <w:rFonts w:ascii="Times New Roman" w:eastAsia="Times New Roman" w:hAnsi="Times New Roman" w:cs="Times New Roman"/>
          <w:sz w:val="20"/>
          <w:szCs w:val="20"/>
        </w:rPr>
        <w:t>BoD</w:t>
      </w:r>
      <w:proofErr w:type="spellEnd"/>
      <w:r w:rsidRPr="00E03CE0">
        <w:rPr>
          <w:rFonts w:ascii="Times New Roman" w:eastAsia="Times New Roman" w:hAnsi="Times New Roman" w:cs="Times New Roman"/>
          <w:sz w:val="20"/>
          <w:szCs w:val="20"/>
        </w:rPr>
        <w:t xml:space="preserve"> – Books on Demand, 2020.</w:t>
      </w:r>
    </w:p>
    <w:p w14:paraId="67CCBC80" w14:textId="77777777" w:rsidR="008B3AEF" w:rsidRPr="00E03CE0" w:rsidRDefault="008B3AEF" w:rsidP="001365F2">
      <w:pPr>
        <w:jc w:val="both"/>
        <w:rPr>
          <w:rFonts w:ascii="Times New Roman" w:hAnsi="Times New Roman" w:cs="Times New Roman"/>
          <w:sz w:val="20"/>
          <w:szCs w:val="20"/>
        </w:rPr>
      </w:pPr>
      <w:r w:rsidRPr="00E03CE0">
        <w:rPr>
          <w:rFonts w:ascii="Times New Roman" w:hAnsi="Times New Roman" w:cs="Times New Roman"/>
          <w:sz w:val="20"/>
          <w:szCs w:val="20"/>
        </w:rPr>
        <w:br w:type="page"/>
      </w:r>
    </w:p>
    <w:p w14:paraId="39753554" w14:textId="079D73A2" w:rsidR="008B3AEF" w:rsidRPr="00E03CE0" w:rsidRDefault="008B3AEF" w:rsidP="000A6774">
      <w:pPr>
        <w:pStyle w:val="Heading1"/>
        <w:spacing w:line="240" w:lineRule="auto"/>
        <w:jc w:val="both"/>
        <w:rPr>
          <w:rFonts w:ascii="Times New Roman" w:hAnsi="Times New Roman" w:cs="Times New Roman"/>
          <w:b/>
          <w:bCs/>
          <w:color w:val="auto"/>
          <w:sz w:val="24"/>
          <w:szCs w:val="24"/>
        </w:rPr>
      </w:pPr>
      <w:bookmarkStart w:id="22" w:name="_Ref161607287"/>
      <w:bookmarkStart w:id="23" w:name="_Toc162614833"/>
      <w:r w:rsidRPr="00E03CE0">
        <w:rPr>
          <w:rFonts w:ascii="Times New Roman" w:hAnsi="Times New Roman" w:cs="Times New Roman"/>
          <w:b/>
          <w:bCs/>
          <w:color w:val="auto"/>
          <w:sz w:val="24"/>
          <w:szCs w:val="24"/>
        </w:rPr>
        <w:lastRenderedPageBreak/>
        <w:t>APPENDIX</w:t>
      </w:r>
      <w:bookmarkEnd w:id="22"/>
      <w:bookmarkEnd w:id="23"/>
    </w:p>
    <w:p w14:paraId="7F61339E" w14:textId="77777777" w:rsidR="0014625D" w:rsidRPr="00E03CE0" w:rsidRDefault="0014625D" w:rsidP="000A6774">
      <w:pPr>
        <w:spacing w:line="240" w:lineRule="auto"/>
        <w:jc w:val="both"/>
        <w:rPr>
          <w:rFonts w:ascii="Times New Roman" w:hAnsi="Times New Roman" w:cs="Times New Roman"/>
          <w:sz w:val="24"/>
          <w:szCs w:val="24"/>
        </w:rPr>
      </w:pPr>
    </w:p>
    <w:p w14:paraId="21F13F24" w14:textId="289C153B" w:rsidR="000A6774" w:rsidRPr="0063363D" w:rsidRDefault="000A6774" w:rsidP="000A6774">
      <w:pPr>
        <w:pStyle w:val="Heading2"/>
        <w:spacing w:line="240" w:lineRule="auto"/>
        <w:jc w:val="both"/>
        <w:rPr>
          <w:rFonts w:ascii="Times New Roman" w:hAnsi="Times New Roman" w:cs="Times New Roman"/>
          <w:b/>
          <w:bCs/>
          <w:color w:val="auto"/>
          <w:sz w:val="24"/>
          <w:szCs w:val="24"/>
        </w:rPr>
      </w:pPr>
      <w:bookmarkStart w:id="24" w:name="_Toc162614834"/>
      <w:r w:rsidRPr="0063363D">
        <w:rPr>
          <w:rFonts w:ascii="Times New Roman" w:hAnsi="Times New Roman" w:cs="Times New Roman"/>
          <w:b/>
          <w:bCs/>
          <w:color w:val="auto"/>
          <w:sz w:val="24"/>
          <w:szCs w:val="24"/>
        </w:rPr>
        <w:t>SECTOR</w:t>
      </w:r>
      <w:r w:rsidR="00F44479" w:rsidRPr="0063363D">
        <w:rPr>
          <w:rFonts w:ascii="Times New Roman" w:hAnsi="Times New Roman" w:cs="Times New Roman"/>
          <w:b/>
          <w:bCs/>
          <w:color w:val="auto"/>
          <w:sz w:val="24"/>
          <w:szCs w:val="24"/>
        </w:rPr>
        <w:t>S</w:t>
      </w:r>
      <w:r w:rsidRPr="0063363D">
        <w:rPr>
          <w:rFonts w:ascii="Times New Roman" w:hAnsi="Times New Roman" w:cs="Times New Roman"/>
          <w:b/>
          <w:bCs/>
          <w:color w:val="auto"/>
          <w:sz w:val="24"/>
          <w:szCs w:val="24"/>
        </w:rPr>
        <w:t xml:space="preserve"> AND REGION</w:t>
      </w:r>
      <w:bookmarkEnd w:id="24"/>
      <w:r w:rsidR="00F44479" w:rsidRPr="0063363D">
        <w:rPr>
          <w:rFonts w:ascii="Times New Roman" w:hAnsi="Times New Roman" w:cs="Times New Roman"/>
          <w:b/>
          <w:bCs/>
          <w:color w:val="auto"/>
          <w:sz w:val="24"/>
          <w:szCs w:val="24"/>
        </w:rPr>
        <w:t>S</w:t>
      </w:r>
    </w:p>
    <w:p w14:paraId="0DEB1ACB" w14:textId="6A20C70A" w:rsidR="00D555FB" w:rsidRPr="0063363D" w:rsidRDefault="00F44479" w:rsidP="00514D5C">
      <w:pPr>
        <w:spacing w:line="240" w:lineRule="auto"/>
        <w:jc w:val="both"/>
        <w:rPr>
          <w:rFonts w:ascii="Times New Roman" w:hAnsi="Times New Roman" w:cs="Times New Roman"/>
          <w:sz w:val="18"/>
          <w:szCs w:val="18"/>
        </w:rPr>
      </w:pPr>
      <w:r w:rsidRPr="0063363D">
        <w:rPr>
          <w:rFonts w:ascii="Times New Roman" w:hAnsi="Times New Roman" w:cs="Times New Roman"/>
          <w:sz w:val="24"/>
          <w:szCs w:val="24"/>
        </w:rPr>
        <w:t>Enterprises in this analysis were regrouped into three sectors—manufacturing, retail or wholesale trade, and other services. Municipalities were regrouped into four regions. These municipalities were:</w:t>
      </w:r>
      <w:r w:rsidR="004B6F9D" w:rsidRPr="0063363D">
        <w:rPr>
          <w:rFonts w:ascii="Times New Roman" w:hAnsi="Times New Roman" w:cs="Times New Roman"/>
          <w:sz w:val="24"/>
          <w:szCs w:val="24"/>
        </w:rPr>
        <w:t xml:space="preserve"> </w:t>
      </w:r>
      <w:proofErr w:type="spellStart"/>
      <w:r w:rsidR="004B6F9D" w:rsidRPr="0063363D">
        <w:rPr>
          <w:rFonts w:ascii="Times New Roman" w:hAnsi="Times New Roman" w:cs="Times New Roman"/>
          <w:sz w:val="24"/>
          <w:szCs w:val="24"/>
        </w:rPr>
        <w:t>Ahero</w:t>
      </w:r>
      <w:proofErr w:type="spellEnd"/>
      <w:r w:rsidR="004B6F9D" w:rsidRPr="0063363D">
        <w:rPr>
          <w:rFonts w:ascii="Times New Roman" w:hAnsi="Times New Roman" w:cs="Times New Roman"/>
          <w:sz w:val="24"/>
          <w:szCs w:val="24"/>
        </w:rPr>
        <w:t xml:space="preserve">, </w:t>
      </w:r>
      <w:proofErr w:type="spellStart"/>
      <w:r w:rsidR="004B6F9D" w:rsidRPr="0063363D">
        <w:rPr>
          <w:rFonts w:ascii="Times New Roman" w:hAnsi="Times New Roman" w:cs="Times New Roman"/>
          <w:sz w:val="24"/>
          <w:szCs w:val="24"/>
        </w:rPr>
        <w:t>Juja</w:t>
      </w:r>
      <w:proofErr w:type="spellEnd"/>
      <w:r w:rsidR="004B6F9D" w:rsidRPr="0063363D">
        <w:rPr>
          <w:rFonts w:ascii="Times New Roman" w:hAnsi="Times New Roman" w:cs="Times New Roman"/>
          <w:sz w:val="24"/>
          <w:szCs w:val="24"/>
        </w:rPr>
        <w:t xml:space="preserve">, Kajiado, </w:t>
      </w:r>
      <w:proofErr w:type="spellStart"/>
      <w:r w:rsidR="004B6F9D" w:rsidRPr="0063363D">
        <w:rPr>
          <w:rFonts w:ascii="Times New Roman" w:hAnsi="Times New Roman" w:cs="Times New Roman"/>
          <w:sz w:val="24"/>
          <w:szCs w:val="24"/>
        </w:rPr>
        <w:t>Katito</w:t>
      </w:r>
      <w:proofErr w:type="spellEnd"/>
      <w:r w:rsidR="004B6F9D" w:rsidRPr="0063363D">
        <w:rPr>
          <w:rFonts w:ascii="Times New Roman" w:hAnsi="Times New Roman" w:cs="Times New Roman"/>
          <w:sz w:val="24"/>
          <w:szCs w:val="24"/>
        </w:rPr>
        <w:t xml:space="preserve">, Kericho, Kericho, Kiambu, Kisumu, </w:t>
      </w:r>
      <w:r w:rsidR="00C414AF" w:rsidRPr="0063363D">
        <w:rPr>
          <w:rFonts w:ascii="Times New Roman" w:hAnsi="Times New Roman" w:cs="Times New Roman"/>
          <w:sz w:val="24"/>
          <w:szCs w:val="24"/>
        </w:rPr>
        <w:t xml:space="preserve">Mombasa, </w:t>
      </w:r>
      <w:proofErr w:type="spellStart"/>
      <w:r w:rsidR="00C414AF" w:rsidRPr="0063363D">
        <w:rPr>
          <w:rFonts w:ascii="Times New Roman" w:hAnsi="Times New Roman" w:cs="Times New Roman"/>
          <w:sz w:val="24"/>
          <w:szCs w:val="24"/>
        </w:rPr>
        <w:t>Muhoroni</w:t>
      </w:r>
      <w:proofErr w:type="spellEnd"/>
      <w:r w:rsidR="00C414AF" w:rsidRPr="0063363D">
        <w:rPr>
          <w:rFonts w:ascii="Times New Roman" w:hAnsi="Times New Roman" w:cs="Times New Roman"/>
          <w:sz w:val="24"/>
          <w:szCs w:val="24"/>
        </w:rPr>
        <w:t xml:space="preserve">, Nairobi, Nakuru, Thika, and </w:t>
      </w:r>
      <w:proofErr w:type="spellStart"/>
      <w:r w:rsidR="00C414AF" w:rsidRPr="0063363D">
        <w:rPr>
          <w:rFonts w:ascii="Times New Roman" w:hAnsi="Times New Roman" w:cs="Times New Roman"/>
          <w:sz w:val="24"/>
          <w:szCs w:val="24"/>
        </w:rPr>
        <w:t>Uasin</w:t>
      </w:r>
      <w:proofErr w:type="spellEnd"/>
      <w:r w:rsidR="00C414AF" w:rsidRPr="0063363D">
        <w:rPr>
          <w:rFonts w:ascii="Times New Roman" w:hAnsi="Times New Roman" w:cs="Times New Roman"/>
          <w:sz w:val="24"/>
          <w:szCs w:val="24"/>
        </w:rPr>
        <w:t xml:space="preserve"> Gishu.</w:t>
      </w:r>
      <w:r w:rsidR="00184685" w:rsidRPr="0063363D">
        <w:rPr>
          <w:rFonts w:ascii="Times New Roman" w:hAnsi="Times New Roman" w:cs="Times New Roman"/>
          <w:sz w:val="18"/>
          <w:szCs w:val="18"/>
        </w:rPr>
        <w:t xml:space="preserve"> </w:t>
      </w:r>
    </w:p>
    <w:p w14:paraId="5212E4AF" w14:textId="653B0524" w:rsidR="0063363D" w:rsidRPr="0063363D" w:rsidRDefault="0063363D" w:rsidP="0063363D">
      <w:pPr>
        <w:pStyle w:val="Heading2"/>
        <w:rPr>
          <w:rFonts w:ascii="Times New Roman" w:hAnsi="Times New Roman" w:cs="Times New Roman"/>
          <w:b/>
          <w:bCs/>
          <w:color w:val="auto"/>
        </w:rPr>
      </w:pPr>
      <w:r w:rsidRPr="0063363D">
        <w:rPr>
          <w:rFonts w:ascii="Times New Roman" w:hAnsi="Times New Roman" w:cs="Times New Roman"/>
          <w:b/>
          <w:bCs/>
          <w:color w:val="auto"/>
        </w:rPr>
        <w:t>DESCRIPTION OF VARIABLES IN THE RESULTS SECTION</w:t>
      </w:r>
    </w:p>
    <w:p w14:paraId="69F13F5A" w14:textId="70F7A19C" w:rsidR="0063363D" w:rsidRDefault="0063363D" w:rsidP="006336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_Ref195396431 \h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E03CE0">
        <w:rPr>
          <w:rFonts w:ascii="Times New Roman" w:hAnsi="Times New Roman" w:cs="Times New Roman"/>
        </w:rPr>
        <w:t xml:space="preserve">Table </w:t>
      </w:r>
      <w:r w:rsidRPr="00E03CE0">
        <w:rPr>
          <w:rFonts w:ascii="Times New Roman" w:hAnsi="Times New Roman" w:cs="Times New Roman"/>
          <w:noProof/>
        </w:rPr>
        <w:t>1</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63363D">
        <w:rPr>
          <w:rFonts w:ascii="Times New Roman" w:hAnsi="Times New Roman" w:cs="Times New Roman"/>
          <w:sz w:val="20"/>
          <w:szCs w:val="20"/>
        </w:rPr>
        <w:t xml:space="preserve">4 firms from mining and extraction, agriculture, and supply of electricity, steam, and gas were included among manufacturing sector enterprises. A firm expanded its workforce if the number of employees in 2015 exceeded that in 2014. Type-A or type-B worker is negotiable for firms which set wages via employer-employee negotiation. Worker training is assigned 1 for a firm which offered within-firm employee training, and 0 otherwise. Worker education assumes 1 for average worker with tertiary education (Bachelor and above), and 0 otherwise. Occupational skills gap refers to the number of occupational positions for which under-skilled job applicants were attracted. Under-skilled applicants are assigned 1 for enterprises which attracted under-skilled job applicants in at least one occupational position; 0 includes enterprises which never hired. Wage bill ratio captures the annual per worker wage in 2015 as a ratio of the respective costs in 2014. This is transformed using inverse hyperbolic sine function. Skills gap share captures the share of enterprises at the [firm size]-region-sector level which attracted under-skilled job applicants in at least one occupational position. In computing this share, focal firms are excluded. Sectors are trade (wholesale or retail), other services, and manufacturing. Enterprises are regrouped into four regions—Kisumu (including </w:t>
      </w:r>
      <w:proofErr w:type="spellStart"/>
      <w:r w:rsidRPr="0063363D">
        <w:rPr>
          <w:rFonts w:ascii="Times New Roman" w:hAnsi="Times New Roman" w:cs="Times New Roman"/>
          <w:sz w:val="20"/>
          <w:szCs w:val="20"/>
        </w:rPr>
        <w:t>Ahero</w:t>
      </w:r>
      <w:proofErr w:type="spellEnd"/>
      <w:r w:rsidRPr="0063363D">
        <w:rPr>
          <w:rFonts w:ascii="Times New Roman" w:hAnsi="Times New Roman" w:cs="Times New Roman"/>
          <w:sz w:val="20"/>
          <w:szCs w:val="20"/>
        </w:rPr>
        <w:t xml:space="preserve"> and </w:t>
      </w:r>
      <w:proofErr w:type="spellStart"/>
      <w:r w:rsidRPr="0063363D">
        <w:rPr>
          <w:rFonts w:ascii="Times New Roman" w:hAnsi="Times New Roman" w:cs="Times New Roman"/>
          <w:sz w:val="20"/>
          <w:szCs w:val="20"/>
        </w:rPr>
        <w:t>Muhoroni</w:t>
      </w:r>
      <w:proofErr w:type="spellEnd"/>
      <w:r w:rsidRPr="0063363D">
        <w:rPr>
          <w:rFonts w:ascii="Times New Roman" w:hAnsi="Times New Roman" w:cs="Times New Roman"/>
          <w:sz w:val="20"/>
          <w:szCs w:val="20"/>
        </w:rPr>
        <w:t xml:space="preserve"> municipalities), Nakuru (including </w:t>
      </w:r>
      <w:proofErr w:type="spellStart"/>
      <w:r w:rsidRPr="0063363D">
        <w:rPr>
          <w:rFonts w:ascii="Times New Roman" w:hAnsi="Times New Roman" w:cs="Times New Roman"/>
          <w:sz w:val="20"/>
          <w:szCs w:val="20"/>
        </w:rPr>
        <w:t>Uasin</w:t>
      </w:r>
      <w:proofErr w:type="spellEnd"/>
      <w:r w:rsidRPr="0063363D">
        <w:rPr>
          <w:rFonts w:ascii="Times New Roman" w:hAnsi="Times New Roman" w:cs="Times New Roman"/>
          <w:sz w:val="20"/>
          <w:szCs w:val="20"/>
        </w:rPr>
        <w:t xml:space="preserve"> Gishu and Kericho), Nairobi (including </w:t>
      </w:r>
      <w:proofErr w:type="spellStart"/>
      <w:r w:rsidRPr="0063363D">
        <w:rPr>
          <w:rFonts w:ascii="Times New Roman" w:hAnsi="Times New Roman" w:cs="Times New Roman"/>
          <w:sz w:val="20"/>
          <w:szCs w:val="20"/>
        </w:rPr>
        <w:t>Juja</w:t>
      </w:r>
      <w:proofErr w:type="spellEnd"/>
      <w:r w:rsidRPr="0063363D">
        <w:rPr>
          <w:rFonts w:ascii="Times New Roman" w:hAnsi="Times New Roman" w:cs="Times New Roman"/>
          <w:sz w:val="20"/>
          <w:szCs w:val="20"/>
        </w:rPr>
        <w:t xml:space="preserve">, Kiambu, Thika, Kajiado, and </w:t>
      </w:r>
      <w:proofErr w:type="spellStart"/>
      <w:r w:rsidRPr="0063363D">
        <w:rPr>
          <w:rFonts w:ascii="Times New Roman" w:hAnsi="Times New Roman" w:cs="Times New Roman"/>
          <w:sz w:val="20"/>
          <w:szCs w:val="20"/>
        </w:rPr>
        <w:t>Katito</w:t>
      </w:r>
      <w:proofErr w:type="spellEnd"/>
      <w:r w:rsidRPr="0063363D">
        <w:rPr>
          <w:rFonts w:ascii="Times New Roman" w:hAnsi="Times New Roman" w:cs="Times New Roman"/>
          <w:sz w:val="20"/>
          <w:szCs w:val="20"/>
        </w:rPr>
        <w:t>), and Mombasa. Firm age captures the duration, in years, for which the enterprises has operated in Kenya up to 2016.</w:t>
      </w:r>
    </w:p>
    <w:p w14:paraId="6014D7AA" w14:textId="77777777" w:rsidR="0063363D" w:rsidRDefault="0063363D" w:rsidP="0063363D">
      <w:pPr>
        <w:spacing w:after="0" w:line="240" w:lineRule="auto"/>
        <w:jc w:val="both"/>
        <w:rPr>
          <w:rFonts w:ascii="Times New Roman" w:hAnsi="Times New Roman" w:cs="Times New Roman"/>
          <w:sz w:val="20"/>
          <w:szCs w:val="20"/>
        </w:rPr>
      </w:pPr>
    </w:p>
    <w:p w14:paraId="6E12A50E" w14:textId="419C7D55" w:rsidR="0063363D" w:rsidRPr="0063363D" w:rsidRDefault="0063363D" w:rsidP="006336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_Ref195400959 \h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E03CE0">
        <w:rPr>
          <w:rFonts w:ascii="Times New Roman" w:hAnsi="Times New Roman" w:cs="Times New Roman"/>
        </w:rPr>
        <w:t xml:space="preserve">Table </w:t>
      </w:r>
      <w:r w:rsidRPr="00E03CE0">
        <w:rPr>
          <w:rFonts w:ascii="Times New Roman" w:hAnsi="Times New Roman" w:cs="Times New Roman"/>
          <w:noProof/>
        </w:rPr>
        <w:t>2</w:t>
      </w:r>
      <w:r>
        <w:rPr>
          <w:rFonts w:ascii="Times New Roman" w:hAnsi="Times New Roman" w:cs="Times New Roman"/>
          <w:sz w:val="20"/>
          <w:szCs w:val="20"/>
        </w:rPr>
        <w:fldChar w:fldCharType="end"/>
      </w:r>
      <w:r>
        <w:rPr>
          <w:rFonts w:ascii="Times New Roman" w:hAnsi="Times New Roman" w:cs="Times New Roman"/>
          <w:sz w:val="20"/>
          <w:szCs w:val="20"/>
        </w:rPr>
        <w:t>, sharp RD bandwidths were utilized in situations where</w:t>
      </w:r>
      <w:r w:rsidRPr="00E03CE0">
        <w:rPr>
          <w:rFonts w:ascii="Times New Roman" w:hAnsi="Times New Roman" w:cs="Times New Roman"/>
          <w:sz w:val="20"/>
          <w:szCs w:val="20"/>
        </w:rPr>
        <w:t xml:space="preserve"> analytical weights led to </w:t>
      </w:r>
      <w:proofErr w:type="spellStart"/>
      <w:r w:rsidRPr="00E03CE0">
        <w:rPr>
          <w:rFonts w:ascii="Times New Roman" w:hAnsi="Times New Roman" w:cs="Times New Roman"/>
          <w:sz w:val="20"/>
          <w:szCs w:val="20"/>
        </w:rPr>
        <w:t>inestimability</w:t>
      </w:r>
      <w:proofErr w:type="spellEnd"/>
      <w:r w:rsidRPr="00E03CE0">
        <w:rPr>
          <w:rFonts w:ascii="Times New Roman" w:hAnsi="Times New Roman" w:cs="Times New Roman"/>
          <w:sz w:val="20"/>
          <w:szCs w:val="20"/>
        </w:rPr>
        <w:t>. Column 2 bandwidth was set manually due to absence of observations within the optimal bandwidth. Parentheses capture standard error which are robust. ***, **, and *, respectively, indicate a statistically non-zero coefficient at 1, 5, and 10 percent levels. Running variables are respectively number of employees in 2016 (column 1), number of occupational positions which attracted under-skilled applicants (column 2), and number of employees in 2015 as a ratio of that in 2014 (column 3). These running variables are centered. Type-A sources refer to the number of sources for new type-A workers.</w:t>
      </w:r>
    </w:p>
    <w:p w14:paraId="773D8B79" w14:textId="77777777" w:rsidR="0063363D" w:rsidRPr="0063363D" w:rsidRDefault="0063363D" w:rsidP="00514D5C">
      <w:pPr>
        <w:spacing w:line="240" w:lineRule="auto"/>
        <w:jc w:val="both"/>
        <w:rPr>
          <w:rFonts w:ascii="Times New Roman" w:hAnsi="Times New Roman" w:cs="Times New Roman"/>
          <w:sz w:val="18"/>
          <w:szCs w:val="18"/>
        </w:rPr>
      </w:pPr>
    </w:p>
    <w:sectPr w:rsidR="0063363D" w:rsidRPr="0063363D" w:rsidSect="0013788F">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F60E" w14:textId="77777777" w:rsidR="007C36F3" w:rsidRDefault="007C36F3" w:rsidP="0093044E">
      <w:pPr>
        <w:spacing w:after="0" w:line="240" w:lineRule="auto"/>
      </w:pPr>
      <w:r>
        <w:separator/>
      </w:r>
    </w:p>
  </w:endnote>
  <w:endnote w:type="continuationSeparator" w:id="0">
    <w:p w14:paraId="0DC0A0DC" w14:textId="77777777" w:rsidR="007C36F3" w:rsidRDefault="007C36F3" w:rsidP="0093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716102"/>
      <w:docPartObj>
        <w:docPartGallery w:val="Page Numbers (Bottom of Page)"/>
        <w:docPartUnique/>
      </w:docPartObj>
    </w:sdtPr>
    <w:sdtEndPr>
      <w:rPr>
        <w:noProof/>
      </w:rPr>
    </w:sdtEndPr>
    <w:sdtContent>
      <w:p w14:paraId="55C4BD7C" w14:textId="5C860ABD" w:rsidR="00D712B4" w:rsidRDefault="00D712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A66BF" w14:textId="77777777" w:rsidR="00D712B4" w:rsidRDefault="00D71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C548" w14:textId="77777777" w:rsidR="007C36F3" w:rsidRDefault="007C36F3" w:rsidP="0093044E">
      <w:pPr>
        <w:spacing w:after="0" w:line="240" w:lineRule="auto"/>
      </w:pPr>
      <w:r>
        <w:separator/>
      </w:r>
    </w:p>
  </w:footnote>
  <w:footnote w:type="continuationSeparator" w:id="0">
    <w:p w14:paraId="66F7C4E1" w14:textId="77777777" w:rsidR="007C36F3" w:rsidRDefault="007C36F3" w:rsidP="0093044E">
      <w:pPr>
        <w:spacing w:after="0" w:line="240" w:lineRule="auto"/>
      </w:pPr>
      <w:r>
        <w:continuationSeparator/>
      </w:r>
    </w:p>
  </w:footnote>
  <w:footnote w:id="1">
    <w:p w14:paraId="2D0448DC" w14:textId="5FDFE923" w:rsidR="003A3471" w:rsidRPr="00421AE3" w:rsidRDefault="003A3471"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The author</w:t>
      </w:r>
      <w:r w:rsidR="008F4B73" w:rsidRPr="00421AE3">
        <w:rPr>
          <w:rFonts w:ascii="Times New Roman" w:hAnsi="Times New Roman" w:cs="Times New Roman"/>
        </w:rPr>
        <w:t xml:space="preserve"> is a doctoral student at the University of Nairobi, and is affiliated to the Economics Scholar Panel</w:t>
      </w:r>
      <w:r w:rsidR="009F594E" w:rsidRPr="00421AE3">
        <w:rPr>
          <w:rFonts w:ascii="Times New Roman" w:hAnsi="Times New Roman" w:cs="Times New Roman"/>
        </w:rPr>
        <w:t>.</w:t>
      </w:r>
      <w:r w:rsidRPr="00421AE3">
        <w:rPr>
          <w:rFonts w:ascii="Times New Roman" w:hAnsi="Times New Roman" w:cs="Times New Roman"/>
        </w:rPr>
        <w:t xml:space="preserve"> He is reachable via </w:t>
      </w:r>
      <w:hyperlink r:id="rId1" w:history="1">
        <w:r w:rsidRPr="00421AE3">
          <w:rPr>
            <w:rStyle w:val="Hyperlink"/>
            <w:rFonts w:ascii="Times New Roman" w:hAnsi="Times New Roman" w:cs="Times New Roman"/>
          </w:rPr>
          <w:t>keffasimiyu@gmail.com</w:t>
        </w:r>
      </w:hyperlink>
      <w:r w:rsidRPr="00421AE3">
        <w:rPr>
          <w:rFonts w:ascii="Times New Roman" w:hAnsi="Times New Roman" w:cs="Times New Roman"/>
        </w:rPr>
        <w:t xml:space="preserve"> or +254711454732.</w:t>
      </w:r>
    </w:p>
  </w:footnote>
  <w:footnote w:id="2">
    <w:p w14:paraId="64CAEDC5" w14:textId="49945587" w:rsidR="003A3471" w:rsidRPr="00421AE3" w:rsidRDefault="003A3471"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The </w:t>
      </w:r>
      <w:r w:rsidR="00721423" w:rsidRPr="00421AE3">
        <w:rPr>
          <w:rFonts w:ascii="Times New Roman" w:hAnsi="Times New Roman" w:cs="Times New Roman"/>
        </w:rPr>
        <w:t>co-</w:t>
      </w:r>
      <w:r w:rsidRPr="00421AE3">
        <w:rPr>
          <w:rFonts w:ascii="Times New Roman" w:hAnsi="Times New Roman" w:cs="Times New Roman"/>
        </w:rPr>
        <w:t>author</w:t>
      </w:r>
      <w:r w:rsidR="000D27F9" w:rsidRPr="00421AE3">
        <w:rPr>
          <w:rFonts w:ascii="Times New Roman" w:hAnsi="Times New Roman" w:cs="Times New Roman"/>
        </w:rPr>
        <w:t xml:space="preserve"> </w:t>
      </w:r>
      <w:r w:rsidR="00155B5C" w:rsidRPr="00421AE3">
        <w:rPr>
          <w:rFonts w:ascii="Times New Roman" w:hAnsi="Times New Roman" w:cs="Times New Roman"/>
        </w:rPr>
        <w:t>i</w:t>
      </w:r>
      <w:r w:rsidR="008F4B73" w:rsidRPr="00421AE3">
        <w:rPr>
          <w:rFonts w:ascii="Times New Roman" w:hAnsi="Times New Roman" w:cs="Times New Roman"/>
        </w:rPr>
        <w:t>s</w:t>
      </w:r>
      <w:r w:rsidR="000D27F9" w:rsidRPr="00421AE3">
        <w:rPr>
          <w:rFonts w:ascii="Times New Roman" w:hAnsi="Times New Roman" w:cs="Times New Roman"/>
        </w:rPr>
        <w:t xml:space="preserve"> a</w:t>
      </w:r>
      <w:r w:rsidR="00155B5C" w:rsidRPr="00421AE3">
        <w:rPr>
          <w:rFonts w:ascii="Times New Roman" w:hAnsi="Times New Roman" w:cs="Times New Roman"/>
        </w:rPr>
        <w:t>n Economics and Statistics’ graduate</w:t>
      </w:r>
      <w:r w:rsidR="000D27F9" w:rsidRPr="00421AE3">
        <w:rPr>
          <w:rFonts w:ascii="Times New Roman" w:hAnsi="Times New Roman" w:cs="Times New Roman"/>
        </w:rPr>
        <w:t xml:space="preserve"> from the </w:t>
      </w:r>
      <w:r w:rsidR="008F4B73" w:rsidRPr="00421AE3">
        <w:rPr>
          <w:rFonts w:ascii="Times New Roman" w:hAnsi="Times New Roman" w:cs="Times New Roman"/>
        </w:rPr>
        <w:t xml:space="preserve">same institution, and is affiliated </w:t>
      </w:r>
      <w:r w:rsidRPr="00421AE3">
        <w:rPr>
          <w:rFonts w:ascii="Times New Roman" w:hAnsi="Times New Roman" w:cs="Times New Roman"/>
        </w:rPr>
        <w:t>to Economics Scholar</w:t>
      </w:r>
      <w:r w:rsidR="000D27F9" w:rsidRPr="00421AE3">
        <w:rPr>
          <w:rFonts w:ascii="Times New Roman" w:hAnsi="Times New Roman" w:cs="Times New Roman"/>
        </w:rPr>
        <w:t xml:space="preserve"> Panel</w:t>
      </w:r>
      <w:r w:rsidRPr="00421AE3">
        <w:rPr>
          <w:rFonts w:ascii="Times New Roman" w:hAnsi="Times New Roman" w:cs="Times New Roman"/>
        </w:rPr>
        <w:t xml:space="preserve">. She is reachable via </w:t>
      </w:r>
      <w:hyperlink r:id="rId2" w:history="1">
        <w:r w:rsidR="000D27F9" w:rsidRPr="00421AE3">
          <w:rPr>
            <w:rStyle w:val="Hyperlink"/>
            <w:rFonts w:ascii="Times New Roman" w:hAnsi="Times New Roman" w:cs="Times New Roman"/>
          </w:rPr>
          <w:t>mbinyabettym@gmail.com</w:t>
        </w:r>
      </w:hyperlink>
      <w:r w:rsidRPr="00421AE3">
        <w:rPr>
          <w:rFonts w:ascii="Times New Roman" w:hAnsi="Times New Roman" w:cs="Times New Roman"/>
        </w:rPr>
        <w:t xml:space="preserve"> or +254797310017.</w:t>
      </w:r>
    </w:p>
  </w:footnote>
  <w:footnote w:id="3">
    <w:p w14:paraId="089F1A05" w14:textId="0E1F81F6" w:rsidR="00E95510" w:rsidRPr="00421AE3" w:rsidRDefault="00E95510"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w:t>
      </w:r>
      <w:r w:rsidR="00155B5C" w:rsidRPr="00421AE3">
        <w:rPr>
          <w:rFonts w:ascii="Times New Roman" w:hAnsi="Times New Roman" w:cs="Times New Roman"/>
        </w:rPr>
        <w:t xml:space="preserve">Intern at the World Bank, the </w:t>
      </w:r>
      <w:r w:rsidR="00721423" w:rsidRPr="00421AE3">
        <w:rPr>
          <w:rFonts w:ascii="Times New Roman" w:hAnsi="Times New Roman" w:cs="Times New Roman"/>
        </w:rPr>
        <w:t>co-author</w:t>
      </w:r>
      <w:r w:rsidRPr="00421AE3">
        <w:rPr>
          <w:rFonts w:ascii="Times New Roman" w:hAnsi="Times New Roman" w:cs="Times New Roman"/>
        </w:rPr>
        <w:t xml:space="preserve"> </w:t>
      </w:r>
      <w:r w:rsidR="00155B5C" w:rsidRPr="00421AE3">
        <w:rPr>
          <w:rFonts w:ascii="Times New Roman" w:hAnsi="Times New Roman" w:cs="Times New Roman"/>
        </w:rPr>
        <w:t xml:space="preserve">is </w:t>
      </w:r>
      <w:r w:rsidRPr="00421AE3">
        <w:rPr>
          <w:rFonts w:ascii="Times New Roman" w:hAnsi="Times New Roman" w:cs="Times New Roman"/>
        </w:rPr>
        <w:t>a</w:t>
      </w:r>
      <w:r w:rsidR="00155B5C" w:rsidRPr="00421AE3">
        <w:rPr>
          <w:rFonts w:ascii="Times New Roman" w:hAnsi="Times New Roman" w:cs="Times New Roman"/>
        </w:rPr>
        <w:t>n Economics graduate from the same institution, and will commence graduate studies at Yale University in 2025.</w:t>
      </w:r>
      <w:r w:rsidR="000D27F9" w:rsidRPr="00421AE3">
        <w:rPr>
          <w:rFonts w:ascii="Times New Roman" w:hAnsi="Times New Roman" w:cs="Times New Roman"/>
        </w:rPr>
        <w:t xml:space="preserve"> </w:t>
      </w:r>
      <w:r w:rsidRPr="00421AE3">
        <w:rPr>
          <w:rFonts w:ascii="Times New Roman" w:hAnsi="Times New Roman" w:cs="Times New Roman"/>
        </w:rPr>
        <w:t xml:space="preserve">He is reachable via </w:t>
      </w:r>
      <w:hyperlink r:id="rId3" w:history="1">
        <w:r w:rsidR="00012AE9" w:rsidRPr="00421AE3">
          <w:rPr>
            <w:rStyle w:val="Hyperlink"/>
            <w:rFonts w:ascii="Times New Roman" w:hAnsi="Times New Roman" w:cs="Times New Roman"/>
          </w:rPr>
          <w:t>karypeters2018@gmail.com</w:t>
        </w:r>
      </w:hyperlink>
      <w:r w:rsidR="00012AE9" w:rsidRPr="00421AE3">
        <w:rPr>
          <w:rFonts w:ascii="Times New Roman" w:hAnsi="Times New Roman" w:cs="Times New Roman"/>
        </w:rPr>
        <w:t xml:space="preserve"> or +254743092414.</w:t>
      </w:r>
    </w:p>
  </w:footnote>
  <w:footnote w:id="4">
    <w:p w14:paraId="5F79FEEB" w14:textId="619834CB" w:rsidR="00245029" w:rsidRPr="00421AE3" w:rsidRDefault="00245029"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Job losers do not easily find new jobs (</w:t>
      </w:r>
      <w:r w:rsidR="007A7D6F" w:rsidRPr="00421AE3">
        <w:rPr>
          <w:rFonts w:ascii="Times New Roman" w:hAnsi="Times New Roman" w:cs="Times New Roman"/>
        </w:rPr>
        <w:t>Di Berardino et al, 2021).</w:t>
      </w:r>
    </w:p>
  </w:footnote>
  <w:footnote w:id="5">
    <w:p w14:paraId="4966F4B5" w14:textId="1CB4C3F3" w:rsidR="00A70054" w:rsidRPr="00421AE3" w:rsidRDefault="00A70054"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Think of insiders and outsiders </w:t>
      </w:r>
      <w:r w:rsidRPr="0063363D">
        <w:rPr>
          <w:rFonts w:ascii="Times New Roman" w:hAnsi="Times New Roman" w:cs="Times New Roman"/>
        </w:rPr>
        <w:t xml:space="preserve">in Lindbeck &amp; </w:t>
      </w:r>
      <w:proofErr w:type="spellStart"/>
      <w:r w:rsidRPr="0063363D">
        <w:rPr>
          <w:rFonts w:ascii="Times New Roman" w:hAnsi="Times New Roman" w:cs="Times New Roman"/>
        </w:rPr>
        <w:t>Snower</w:t>
      </w:r>
      <w:proofErr w:type="spellEnd"/>
      <w:r w:rsidRPr="00421AE3">
        <w:rPr>
          <w:rFonts w:ascii="Times New Roman" w:hAnsi="Times New Roman" w:cs="Times New Roman"/>
        </w:rPr>
        <w:t xml:space="preserve"> (2001) as unskilled and skilled, respectively. Unskilled insiders have strong incentives to oppose creation of vacancies for skilled outsiders</w:t>
      </w:r>
      <w:r w:rsidR="00C941FE" w:rsidRPr="00421AE3">
        <w:rPr>
          <w:rFonts w:ascii="Times New Roman" w:hAnsi="Times New Roman" w:cs="Times New Roman"/>
        </w:rPr>
        <w:t>.</w:t>
      </w:r>
    </w:p>
  </w:footnote>
  <w:footnote w:id="6">
    <w:p w14:paraId="7DFF3561" w14:textId="76B17CDB" w:rsidR="00277DC5" w:rsidRPr="00421AE3" w:rsidRDefault="00277DC5"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Skills gap assumes 0 for a firm which either never hired in the 3-year period preceding the survey or did not attract under-skilled job applicants. </w:t>
      </w:r>
    </w:p>
  </w:footnote>
  <w:footnote w:id="7">
    <w:p w14:paraId="72666B84" w14:textId="1A299835" w:rsidR="00580A90" w:rsidRPr="00421AE3" w:rsidRDefault="00580A90"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w:t>
      </w:r>
      <w:r w:rsidR="004E0C2A" w:rsidRPr="00421AE3">
        <w:rPr>
          <w:rFonts w:ascii="Times New Roman" w:hAnsi="Times New Roman" w:cs="Times New Roman"/>
        </w:rPr>
        <w:t xml:space="preserve">Job applicants captured were: managers, professionals, technicians/ associate professionals, support and clerical workers, service workers, sales workers, construction workers, drivers/ machine operators, and elementary workers. </w:t>
      </w:r>
      <w:r w:rsidR="00C269B8" w:rsidRPr="00421AE3">
        <w:rPr>
          <w:rFonts w:ascii="Times New Roman" w:hAnsi="Times New Roman" w:cs="Times New Roman"/>
        </w:rPr>
        <w:t>We exclude agriculture (including fishery and forestry) workers.</w:t>
      </w:r>
    </w:p>
  </w:footnote>
  <w:footnote w:id="8">
    <w:p w14:paraId="10E0D980" w14:textId="12E913AD" w:rsidR="00277DC5" w:rsidRPr="00421AE3" w:rsidRDefault="00277DC5"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We assume that mobility barriers confine workers to finding employment within proximate geographical distances. We further assume that workers from large firms never transit to medium or small firms.</w:t>
      </w:r>
    </w:p>
  </w:footnote>
  <w:footnote w:id="9">
    <w:p w14:paraId="097EC478" w14:textId="3F745A26" w:rsidR="006845AE" w:rsidRPr="00421AE3" w:rsidRDefault="006845AE"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These sources are: public employment services, private employment services, job fairs, poaching (from offers to experienced people in other firms), educational institutions, Internet postings, media postings (excluding Internet), informal channels, and other sources.</w:t>
      </w:r>
    </w:p>
  </w:footnote>
  <w:footnote w:id="10">
    <w:p w14:paraId="11F461BC" w14:textId="71F4AD34" w:rsidR="006845AE" w:rsidRPr="00421AE3" w:rsidRDefault="006845AE"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New hires covered the following positions: elementary workers, machine operators/ drivers, construction/ craft workers, sales workers, service workers, support/ clerical workers, technicians/ associate professionals, professionals, and managers. </w:t>
      </w:r>
    </w:p>
  </w:footnote>
  <w:footnote w:id="11">
    <w:p w14:paraId="05A309A9" w14:textId="5E3A9633" w:rsidR="00F74F08" w:rsidRPr="00421AE3" w:rsidRDefault="00F74F08"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We restrict our analysis to enterprises which had been in operation for at least three years and not longer than sixty years at the time of the survey. This represents 97% of the surveyed enterprises.</w:t>
      </w:r>
    </w:p>
  </w:footnote>
  <w:footnote w:id="12">
    <w:p w14:paraId="010EDCE2" w14:textId="77777777" w:rsidR="00563FA9" w:rsidRPr="00081BA9" w:rsidRDefault="00563FA9" w:rsidP="00081BA9">
      <w:pPr>
        <w:pStyle w:val="FootnoteText"/>
        <w:jc w:val="both"/>
        <w:rPr>
          <w:rFonts w:ascii="Times New Roman" w:hAnsi="Times New Roman" w:cs="Times New Roman"/>
        </w:rPr>
      </w:pPr>
      <w:r w:rsidRPr="00421AE3">
        <w:rPr>
          <w:rStyle w:val="FootnoteReference"/>
          <w:rFonts w:ascii="Times New Roman" w:hAnsi="Times New Roman" w:cs="Times New Roman"/>
        </w:rPr>
        <w:footnoteRef/>
      </w:r>
      <w:r w:rsidRPr="00421AE3">
        <w:rPr>
          <w:rFonts w:ascii="Times New Roman" w:hAnsi="Times New Roman" w:cs="Times New Roman"/>
        </w:rPr>
        <w:t xml:space="preserve"> These countries were: Thailand, South Africa, Singapore, Russia, Philippines, Nigeria, Mexico, Italy, Indonesia, India, Greece, Ghana, El Salvador, and Costa 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B6A"/>
    <w:multiLevelType w:val="hybridMultilevel"/>
    <w:tmpl w:val="16D2F27A"/>
    <w:lvl w:ilvl="0" w:tplc="4718FA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02FE"/>
    <w:multiLevelType w:val="hybridMultilevel"/>
    <w:tmpl w:val="1F66D0B8"/>
    <w:lvl w:ilvl="0" w:tplc="B8041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574A"/>
    <w:multiLevelType w:val="hybridMultilevel"/>
    <w:tmpl w:val="8F3EA41C"/>
    <w:lvl w:ilvl="0" w:tplc="B11CE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589F"/>
    <w:multiLevelType w:val="hybridMultilevel"/>
    <w:tmpl w:val="4DE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E762D"/>
    <w:multiLevelType w:val="hybridMultilevel"/>
    <w:tmpl w:val="ECC0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95036"/>
    <w:multiLevelType w:val="hybridMultilevel"/>
    <w:tmpl w:val="B2E2339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DA82359"/>
    <w:multiLevelType w:val="hybridMultilevel"/>
    <w:tmpl w:val="66B6B172"/>
    <w:lvl w:ilvl="0" w:tplc="349244D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4676C6"/>
    <w:multiLevelType w:val="hybridMultilevel"/>
    <w:tmpl w:val="C3647FC2"/>
    <w:lvl w:ilvl="0" w:tplc="BC967884">
      <w:start w:val="1"/>
      <w:numFmt w:val="decimal"/>
      <w:lvlText w:val="%1."/>
      <w:lvlJc w:val="left"/>
      <w:pPr>
        <w:ind w:left="1020" w:hanging="360"/>
      </w:pPr>
    </w:lvl>
    <w:lvl w:ilvl="1" w:tplc="FDFAE57E">
      <w:start w:val="1"/>
      <w:numFmt w:val="decimal"/>
      <w:lvlText w:val="%2."/>
      <w:lvlJc w:val="left"/>
      <w:pPr>
        <w:ind w:left="1020" w:hanging="360"/>
      </w:pPr>
    </w:lvl>
    <w:lvl w:ilvl="2" w:tplc="CFBE5A54">
      <w:start w:val="1"/>
      <w:numFmt w:val="decimal"/>
      <w:lvlText w:val="%3."/>
      <w:lvlJc w:val="left"/>
      <w:pPr>
        <w:ind w:left="1020" w:hanging="360"/>
      </w:pPr>
    </w:lvl>
    <w:lvl w:ilvl="3" w:tplc="BC22FF54">
      <w:start w:val="1"/>
      <w:numFmt w:val="decimal"/>
      <w:lvlText w:val="%4."/>
      <w:lvlJc w:val="left"/>
      <w:pPr>
        <w:ind w:left="1020" w:hanging="360"/>
      </w:pPr>
    </w:lvl>
    <w:lvl w:ilvl="4" w:tplc="F4701B7E">
      <w:start w:val="1"/>
      <w:numFmt w:val="decimal"/>
      <w:lvlText w:val="%5."/>
      <w:lvlJc w:val="left"/>
      <w:pPr>
        <w:ind w:left="1020" w:hanging="360"/>
      </w:pPr>
    </w:lvl>
    <w:lvl w:ilvl="5" w:tplc="2A22DB0C">
      <w:start w:val="1"/>
      <w:numFmt w:val="decimal"/>
      <w:lvlText w:val="%6."/>
      <w:lvlJc w:val="left"/>
      <w:pPr>
        <w:ind w:left="1020" w:hanging="360"/>
      </w:pPr>
    </w:lvl>
    <w:lvl w:ilvl="6" w:tplc="1EB4293A">
      <w:start w:val="1"/>
      <w:numFmt w:val="decimal"/>
      <w:lvlText w:val="%7."/>
      <w:lvlJc w:val="left"/>
      <w:pPr>
        <w:ind w:left="1020" w:hanging="360"/>
      </w:pPr>
    </w:lvl>
    <w:lvl w:ilvl="7" w:tplc="FE04A592">
      <w:start w:val="1"/>
      <w:numFmt w:val="decimal"/>
      <w:lvlText w:val="%8."/>
      <w:lvlJc w:val="left"/>
      <w:pPr>
        <w:ind w:left="1020" w:hanging="360"/>
      </w:pPr>
    </w:lvl>
    <w:lvl w:ilvl="8" w:tplc="736208FE">
      <w:start w:val="1"/>
      <w:numFmt w:val="decimal"/>
      <w:lvlText w:val="%9."/>
      <w:lvlJc w:val="left"/>
      <w:pPr>
        <w:ind w:left="1020" w:hanging="360"/>
      </w:pPr>
    </w:lvl>
  </w:abstractNum>
  <w:abstractNum w:abstractNumId="8" w15:restartNumberingAfterBreak="0">
    <w:nsid w:val="5A5838E5"/>
    <w:multiLevelType w:val="hybridMultilevel"/>
    <w:tmpl w:val="452C2416"/>
    <w:lvl w:ilvl="0" w:tplc="349244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968563">
    <w:abstractNumId w:val="4"/>
  </w:num>
  <w:num w:numId="2" w16cid:durableId="193006235">
    <w:abstractNumId w:val="8"/>
  </w:num>
  <w:num w:numId="3" w16cid:durableId="235674039">
    <w:abstractNumId w:val="6"/>
  </w:num>
  <w:num w:numId="4" w16cid:durableId="1864127919">
    <w:abstractNumId w:val="5"/>
  </w:num>
  <w:num w:numId="5" w16cid:durableId="254217333">
    <w:abstractNumId w:val="3"/>
  </w:num>
  <w:num w:numId="6" w16cid:durableId="1349212851">
    <w:abstractNumId w:val="2"/>
  </w:num>
  <w:num w:numId="7" w16cid:durableId="1978873381">
    <w:abstractNumId w:val="1"/>
  </w:num>
  <w:num w:numId="8" w16cid:durableId="2047485134">
    <w:abstractNumId w:val="0"/>
  </w:num>
  <w:num w:numId="9" w16cid:durableId="581454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4E"/>
    <w:rsid w:val="000002D6"/>
    <w:rsid w:val="00006881"/>
    <w:rsid w:val="00006A4F"/>
    <w:rsid w:val="00012AE9"/>
    <w:rsid w:val="00013F16"/>
    <w:rsid w:val="00017442"/>
    <w:rsid w:val="00021953"/>
    <w:rsid w:val="00022D54"/>
    <w:rsid w:val="000245DA"/>
    <w:rsid w:val="000253DC"/>
    <w:rsid w:val="00026D79"/>
    <w:rsid w:val="00032C95"/>
    <w:rsid w:val="000411E0"/>
    <w:rsid w:val="0004228D"/>
    <w:rsid w:val="00043B7A"/>
    <w:rsid w:val="0004540C"/>
    <w:rsid w:val="00050A03"/>
    <w:rsid w:val="0005773E"/>
    <w:rsid w:val="000634B2"/>
    <w:rsid w:val="00063CBA"/>
    <w:rsid w:val="00066CED"/>
    <w:rsid w:val="00074D28"/>
    <w:rsid w:val="00076A99"/>
    <w:rsid w:val="00081BA9"/>
    <w:rsid w:val="00085228"/>
    <w:rsid w:val="000859BA"/>
    <w:rsid w:val="00086341"/>
    <w:rsid w:val="00086C2E"/>
    <w:rsid w:val="00090336"/>
    <w:rsid w:val="00092299"/>
    <w:rsid w:val="00097651"/>
    <w:rsid w:val="000A0825"/>
    <w:rsid w:val="000A4566"/>
    <w:rsid w:val="000A5E81"/>
    <w:rsid w:val="000A6774"/>
    <w:rsid w:val="000B019F"/>
    <w:rsid w:val="000B3407"/>
    <w:rsid w:val="000B5481"/>
    <w:rsid w:val="000B5BD8"/>
    <w:rsid w:val="000D1C75"/>
    <w:rsid w:val="000D27F9"/>
    <w:rsid w:val="000D2F2D"/>
    <w:rsid w:val="000D4495"/>
    <w:rsid w:val="000D451D"/>
    <w:rsid w:val="000D5998"/>
    <w:rsid w:val="000D60CA"/>
    <w:rsid w:val="000D6A3A"/>
    <w:rsid w:val="000D7F27"/>
    <w:rsid w:val="000E1B27"/>
    <w:rsid w:val="000E2BF3"/>
    <w:rsid w:val="000E3688"/>
    <w:rsid w:val="000E59B4"/>
    <w:rsid w:val="000E5BE7"/>
    <w:rsid w:val="000E7A1A"/>
    <w:rsid w:val="000F4AB1"/>
    <w:rsid w:val="000F5036"/>
    <w:rsid w:val="000F5A8A"/>
    <w:rsid w:val="00107D29"/>
    <w:rsid w:val="0011021E"/>
    <w:rsid w:val="00117A04"/>
    <w:rsid w:val="00121AC8"/>
    <w:rsid w:val="001232DB"/>
    <w:rsid w:val="0012691F"/>
    <w:rsid w:val="00126FE0"/>
    <w:rsid w:val="0012727F"/>
    <w:rsid w:val="001335F8"/>
    <w:rsid w:val="001365F2"/>
    <w:rsid w:val="00136901"/>
    <w:rsid w:val="0013788F"/>
    <w:rsid w:val="0014625D"/>
    <w:rsid w:val="001477D1"/>
    <w:rsid w:val="001479EF"/>
    <w:rsid w:val="00154BD9"/>
    <w:rsid w:val="001554B9"/>
    <w:rsid w:val="00155B5C"/>
    <w:rsid w:val="00163575"/>
    <w:rsid w:val="00165843"/>
    <w:rsid w:val="00166158"/>
    <w:rsid w:val="001774D2"/>
    <w:rsid w:val="001817BA"/>
    <w:rsid w:val="00184685"/>
    <w:rsid w:val="001901EA"/>
    <w:rsid w:val="001917C0"/>
    <w:rsid w:val="00192B39"/>
    <w:rsid w:val="00192BB9"/>
    <w:rsid w:val="00193A36"/>
    <w:rsid w:val="00197A88"/>
    <w:rsid w:val="00197CFE"/>
    <w:rsid w:val="001A634C"/>
    <w:rsid w:val="001A761A"/>
    <w:rsid w:val="001B1FC0"/>
    <w:rsid w:val="001B2F29"/>
    <w:rsid w:val="001B309B"/>
    <w:rsid w:val="001B4DC6"/>
    <w:rsid w:val="001B555B"/>
    <w:rsid w:val="001B582C"/>
    <w:rsid w:val="001B6889"/>
    <w:rsid w:val="001C3DA3"/>
    <w:rsid w:val="001C4837"/>
    <w:rsid w:val="001C4D93"/>
    <w:rsid w:val="001C68AA"/>
    <w:rsid w:val="001D034C"/>
    <w:rsid w:val="001D1324"/>
    <w:rsid w:val="001D5284"/>
    <w:rsid w:val="001E0EB0"/>
    <w:rsid w:val="001E5DDB"/>
    <w:rsid w:val="001E60A0"/>
    <w:rsid w:val="001F101A"/>
    <w:rsid w:val="001F1EBD"/>
    <w:rsid w:val="001F2B68"/>
    <w:rsid w:val="001F31B3"/>
    <w:rsid w:val="001F4510"/>
    <w:rsid w:val="001F5B95"/>
    <w:rsid w:val="001F78B5"/>
    <w:rsid w:val="00200862"/>
    <w:rsid w:val="00201467"/>
    <w:rsid w:val="002020FD"/>
    <w:rsid w:val="0020317F"/>
    <w:rsid w:val="00204B28"/>
    <w:rsid w:val="00207D5C"/>
    <w:rsid w:val="0021131A"/>
    <w:rsid w:val="00213755"/>
    <w:rsid w:val="00222747"/>
    <w:rsid w:val="002235F1"/>
    <w:rsid w:val="00223D94"/>
    <w:rsid w:val="0022489D"/>
    <w:rsid w:val="00225D1B"/>
    <w:rsid w:val="00226264"/>
    <w:rsid w:val="00226A13"/>
    <w:rsid w:val="00230934"/>
    <w:rsid w:val="00230C8C"/>
    <w:rsid w:val="00232B70"/>
    <w:rsid w:val="002338CA"/>
    <w:rsid w:val="0023710D"/>
    <w:rsid w:val="002425E3"/>
    <w:rsid w:val="00243161"/>
    <w:rsid w:val="00243530"/>
    <w:rsid w:val="00245029"/>
    <w:rsid w:val="00245D64"/>
    <w:rsid w:val="00250C1F"/>
    <w:rsid w:val="002526F0"/>
    <w:rsid w:val="002534DE"/>
    <w:rsid w:val="00255A54"/>
    <w:rsid w:val="00255E47"/>
    <w:rsid w:val="00255EB0"/>
    <w:rsid w:val="0026159B"/>
    <w:rsid w:val="00271FCA"/>
    <w:rsid w:val="002736F6"/>
    <w:rsid w:val="0027432D"/>
    <w:rsid w:val="00275240"/>
    <w:rsid w:val="0027603E"/>
    <w:rsid w:val="00277DC5"/>
    <w:rsid w:val="00295469"/>
    <w:rsid w:val="0029777F"/>
    <w:rsid w:val="002A0540"/>
    <w:rsid w:val="002A36E2"/>
    <w:rsid w:val="002A3A76"/>
    <w:rsid w:val="002A4734"/>
    <w:rsid w:val="002A56BC"/>
    <w:rsid w:val="002A62AA"/>
    <w:rsid w:val="002B11D9"/>
    <w:rsid w:val="002B24CE"/>
    <w:rsid w:val="002B31CD"/>
    <w:rsid w:val="002B429D"/>
    <w:rsid w:val="002B5F60"/>
    <w:rsid w:val="002B74DF"/>
    <w:rsid w:val="002B7744"/>
    <w:rsid w:val="002C712D"/>
    <w:rsid w:val="002C76E3"/>
    <w:rsid w:val="002D139D"/>
    <w:rsid w:val="002D233F"/>
    <w:rsid w:val="002D23C2"/>
    <w:rsid w:val="002D2F27"/>
    <w:rsid w:val="002D3BD2"/>
    <w:rsid w:val="002D3FB2"/>
    <w:rsid w:val="002D7806"/>
    <w:rsid w:val="002E5307"/>
    <w:rsid w:val="002F0394"/>
    <w:rsid w:val="00301340"/>
    <w:rsid w:val="003058EF"/>
    <w:rsid w:val="003065E4"/>
    <w:rsid w:val="00307E8E"/>
    <w:rsid w:val="003139B6"/>
    <w:rsid w:val="0031656C"/>
    <w:rsid w:val="00322596"/>
    <w:rsid w:val="00324660"/>
    <w:rsid w:val="00324D31"/>
    <w:rsid w:val="00325412"/>
    <w:rsid w:val="00326A21"/>
    <w:rsid w:val="00335CA7"/>
    <w:rsid w:val="003376A6"/>
    <w:rsid w:val="00337A13"/>
    <w:rsid w:val="00344035"/>
    <w:rsid w:val="00344DF7"/>
    <w:rsid w:val="00346C2F"/>
    <w:rsid w:val="00347F06"/>
    <w:rsid w:val="00350845"/>
    <w:rsid w:val="00356C3E"/>
    <w:rsid w:val="00360C0F"/>
    <w:rsid w:val="00366B1F"/>
    <w:rsid w:val="00366D33"/>
    <w:rsid w:val="00370845"/>
    <w:rsid w:val="00373EAA"/>
    <w:rsid w:val="00382315"/>
    <w:rsid w:val="003831F7"/>
    <w:rsid w:val="003841BC"/>
    <w:rsid w:val="003844A6"/>
    <w:rsid w:val="00385A1B"/>
    <w:rsid w:val="003908F1"/>
    <w:rsid w:val="003915C0"/>
    <w:rsid w:val="0039175B"/>
    <w:rsid w:val="00392DE0"/>
    <w:rsid w:val="003956E1"/>
    <w:rsid w:val="003A041D"/>
    <w:rsid w:val="003A065F"/>
    <w:rsid w:val="003A0E80"/>
    <w:rsid w:val="003A2FCE"/>
    <w:rsid w:val="003A3471"/>
    <w:rsid w:val="003A789D"/>
    <w:rsid w:val="003A7BC7"/>
    <w:rsid w:val="003C0276"/>
    <w:rsid w:val="003C3920"/>
    <w:rsid w:val="003C488C"/>
    <w:rsid w:val="003C4DAE"/>
    <w:rsid w:val="003C692B"/>
    <w:rsid w:val="003C7D27"/>
    <w:rsid w:val="003D136C"/>
    <w:rsid w:val="003D3E83"/>
    <w:rsid w:val="003D67B4"/>
    <w:rsid w:val="003E0391"/>
    <w:rsid w:val="003E21E1"/>
    <w:rsid w:val="003E4377"/>
    <w:rsid w:val="003E6E5A"/>
    <w:rsid w:val="003F37C3"/>
    <w:rsid w:val="003F6C23"/>
    <w:rsid w:val="003F6E10"/>
    <w:rsid w:val="00404816"/>
    <w:rsid w:val="004049C0"/>
    <w:rsid w:val="004051BA"/>
    <w:rsid w:val="004056DE"/>
    <w:rsid w:val="00406D26"/>
    <w:rsid w:val="00406E32"/>
    <w:rsid w:val="00407803"/>
    <w:rsid w:val="00407C09"/>
    <w:rsid w:val="00411892"/>
    <w:rsid w:val="00413769"/>
    <w:rsid w:val="00420C2B"/>
    <w:rsid w:val="00421AE3"/>
    <w:rsid w:val="004226C1"/>
    <w:rsid w:val="00424169"/>
    <w:rsid w:val="00424247"/>
    <w:rsid w:val="00424542"/>
    <w:rsid w:val="004248F7"/>
    <w:rsid w:val="0042706C"/>
    <w:rsid w:val="00427E0C"/>
    <w:rsid w:val="0043328D"/>
    <w:rsid w:val="00433368"/>
    <w:rsid w:val="00433DD4"/>
    <w:rsid w:val="0043636C"/>
    <w:rsid w:val="00436D02"/>
    <w:rsid w:val="004376C2"/>
    <w:rsid w:val="00437FB2"/>
    <w:rsid w:val="00441F98"/>
    <w:rsid w:val="0044406D"/>
    <w:rsid w:val="00453108"/>
    <w:rsid w:val="00455AD3"/>
    <w:rsid w:val="00461BB2"/>
    <w:rsid w:val="00461E53"/>
    <w:rsid w:val="00463CB7"/>
    <w:rsid w:val="0047084C"/>
    <w:rsid w:val="004717AA"/>
    <w:rsid w:val="00473F40"/>
    <w:rsid w:val="0047474A"/>
    <w:rsid w:val="004775E1"/>
    <w:rsid w:val="00483C99"/>
    <w:rsid w:val="00487F96"/>
    <w:rsid w:val="00491894"/>
    <w:rsid w:val="00492335"/>
    <w:rsid w:val="00493534"/>
    <w:rsid w:val="00493A93"/>
    <w:rsid w:val="00496A97"/>
    <w:rsid w:val="00496BBB"/>
    <w:rsid w:val="00497415"/>
    <w:rsid w:val="004A4588"/>
    <w:rsid w:val="004A727A"/>
    <w:rsid w:val="004A79FF"/>
    <w:rsid w:val="004B1CBB"/>
    <w:rsid w:val="004B4095"/>
    <w:rsid w:val="004B6F9D"/>
    <w:rsid w:val="004B798E"/>
    <w:rsid w:val="004C20CC"/>
    <w:rsid w:val="004C2BF3"/>
    <w:rsid w:val="004C5DA0"/>
    <w:rsid w:val="004C64AC"/>
    <w:rsid w:val="004C7F6F"/>
    <w:rsid w:val="004D0952"/>
    <w:rsid w:val="004E0C2A"/>
    <w:rsid w:val="004E3EF7"/>
    <w:rsid w:val="004E4A62"/>
    <w:rsid w:val="004E5F8B"/>
    <w:rsid w:val="004E7340"/>
    <w:rsid w:val="004E797E"/>
    <w:rsid w:val="004E7C3D"/>
    <w:rsid w:val="004F0C56"/>
    <w:rsid w:val="005014C9"/>
    <w:rsid w:val="00501944"/>
    <w:rsid w:val="005035C7"/>
    <w:rsid w:val="005065F8"/>
    <w:rsid w:val="00511B8B"/>
    <w:rsid w:val="00512AAB"/>
    <w:rsid w:val="0051429C"/>
    <w:rsid w:val="00514D5C"/>
    <w:rsid w:val="0051569A"/>
    <w:rsid w:val="0052328D"/>
    <w:rsid w:val="0052501F"/>
    <w:rsid w:val="00525E97"/>
    <w:rsid w:val="00530203"/>
    <w:rsid w:val="0053234E"/>
    <w:rsid w:val="00534CBA"/>
    <w:rsid w:val="0053740B"/>
    <w:rsid w:val="00537E6F"/>
    <w:rsid w:val="00540051"/>
    <w:rsid w:val="005404A2"/>
    <w:rsid w:val="0054158D"/>
    <w:rsid w:val="00546222"/>
    <w:rsid w:val="00546E44"/>
    <w:rsid w:val="005533D9"/>
    <w:rsid w:val="00556D76"/>
    <w:rsid w:val="00563FA9"/>
    <w:rsid w:val="00567588"/>
    <w:rsid w:val="00570221"/>
    <w:rsid w:val="00572A39"/>
    <w:rsid w:val="00573F36"/>
    <w:rsid w:val="00580223"/>
    <w:rsid w:val="00580A90"/>
    <w:rsid w:val="00582230"/>
    <w:rsid w:val="005858EC"/>
    <w:rsid w:val="00586E0A"/>
    <w:rsid w:val="00591B78"/>
    <w:rsid w:val="0059315B"/>
    <w:rsid w:val="00593D7F"/>
    <w:rsid w:val="00595F31"/>
    <w:rsid w:val="005979BF"/>
    <w:rsid w:val="005A30B7"/>
    <w:rsid w:val="005A4EBE"/>
    <w:rsid w:val="005B045C"/>
    <w:rsid w:val="005B1BD3"/>
    <w:rsid w:val="005B5507"/>
    <w:rsid w:val="005B5D96"/>
    <w:rsid w:val="005B70A9"/>
    <w:rsid w:val="005B7AE8"/>
    <w:rsid w:val="005C6789"/>
    <w:rsid w:val="005C6EB7"/>
    <w:rsid w:val="005D2BE8"/>
    <w:rsid w:val="005D2D14"/>
    <w:rsid w:val="005D35C2"/>
    <w:rsid w:val="005D37E7"/>
    <w:rsid w:val="005D3E63"/>
    <w:rsid w:val="005D5F70"/>
    <w:rsid w:val="005E0515"/>
    <w:rsid w:val="005E1C60"/>
    <w:rsid w:val="005E21EA"/>
    <w:rsid w:val="005E29E5"/>
    <w:rsid w:val="005E2C73"/>
    <w:rsid w:val="005E35EF"/>
    <w:rsid w:val="005E3B85"/>
    <w:rsid w:val="005E505F"/>
    <w:rsid w:val="005E54EB"/>
    <w:rsid w:val="005E6CE4"/>
    <w:rsid w:val="005F2EA8"/>
    <w:rsid w:val="005F4EA4"/>
    <w:rsid w:val="00604CB7"/>
    <w:rsid w:val="00610E21"/>
    <w:rsid w:val="00613B8E"/>
    <w:rsid w:val="0061417D"/>
    <w:rsid w:val="0061565F"/>
    <w:rsid w:val="00620872"/>
    <w:rsid w:val="00620F43"/>
    <w:rsid w:val="00625F1F"/>
    <w:rsid w:val="00627998"/>
    <w:rsid w:val="00631C39"/>
    <w:rsid w:val="0063363D"/>
    <w:rsid w:val="00644C74"/>
    <w:rsid w:val="00645236"/>
    <w:rsid w:val="006530B2"/>
    <w:rsid w:val="00653AA8"/>
    <w:rsid w:val="00655B07"/>
    <w:rsid w:val="00657DF0"/>
    <w:rsid w:val="00664A65"/>
    <w:rsid w:val="00666BD1"/>
    <w:rsid w:val="006708F9"/>
    <w:rsid w:val="006721D6"/>
    <w:rsid w:val="006735E3"/>
    <w:rsid w:val="00673CFB"/>
    <w:rsid w:val="00676006"/>
    <w:rsid w:val="00676A94"/>
    <w:rsid w:val="0068010F"/>
    <w:rsid w:val="006809C1"/>
    <w:rsid w:val="00683E2B"/>
    <w:rsid w:val="006845AE"/>
    <w:rsid w:val="006846C7"/>
    <w:rsid w:val="00685584"/>
    <w:rsid w:val="00685F04"/>
    <w:rsid w:val="006924A7"/>
    <w:rsid w:val="0069324F"/>
    <w:rsid w:val="00694EA7"/>
    <w:rsid w:val="006966A5"/>
    <w:rsid w:val="00696EF6"/>
    <w:rsid w:val="006A5819"/>
    <w:rsid w:val="006A63BE"/>
    <w:rsid w:val="006B1EDC"/>
    <w:rsid w:val="006B413F"/>
    <w:rsid w:val="006C4709"/>
    <w:rsid w:val="006C476F"/>
    <w:rsid w:val="006C6112"/>
    <w:rsid w:val="006C698A"/>
    <w:rsid w:val="006D1721"/>
    <w:rsid w:val="006D33FA"/>
    <w:rsid w:val="006D49AD"/>
    <w:rsid w:val="006D584D"/>
    <w:rsid w:val="006D68A0"/>
    <w:rsid w:val="006E13E0"/>
    <w:rsid w:val="006F1AD3"/>
    <w:rsid w:val="006F2B0E"/>
    <w:rsid w:val="006F670D"/>
    <w:rsid w:val="007014D3"/>
    <w:rsid w:val="00701736"/>
    <w:rsid w:val="007030C6"/>
    <w:rsid w:val="0071277B"/>
    <w:rsid w:val="007129D9"/>
    <w:rsid w:val="00713475"/>
    <w:rsid w:val="00714F83"/>
    <w:rsid w:val="00721423"/>
    <w:rsid w:val="0072232D"/>
    <w:rsid w:val="0072321E"/>
    <w:rsid w:val="00725F31"/>
    <w:rsid w:val="0073152C"/>
    <w:rsid w:val="007339D3"/>
    <w:rsid w:val="0073444E"/>
    <w:rsid w:val="00735C20"/>
    <w:rsid w:val="00736163"/>
    <w:rsid w:val="007374EF"/>
    <w:rsid w:val="00742F37"/>
    <w:rsid w:val="00744BA2"/>
    <w:rsid w:val="0074655C"/>
    <w:rsid w:val="00747439"/>
    <w:rsid w:val="00751598"/>
    <w:rsid w:val="00751B0F"/>
    <w:rsid w:val="00752800"/>
    <w:rsid w:val="00752A7B"/>
    <w:rsid w:val="0075369C"/>
    <w:rsid w:val="007542E9"/>
    <w:rsid w:val="00755974"/>
    <w:rsid w:val="00763889"/>
    <w:rsid w:val="007658A2"/>
    <w:rsid w:val="007710F5"/>
    <w:rsid w:val="007716C2"/>
    <w:rsid w:val="00773E16"/>
    <w:rsid w:val="00774904"/>
    <w:rsid w:val="00775EB8"/>
    <w:rsid w:val="0077611C"/>
    <w:rsid w:val="0078319A"/>
    <w:rsid w:val="00783C78"/>
    <w:rsid w:val="00784136"/>
    <w:rsid w:val="00784770"/>
    <w:rsid w:val="007854E9"/>
    <w:rsid w:val="00785D59"/>
    <w:rsid w:val="00786C96"/>
    <w:rsid w:val="007921EA"/>
    <w:rsid w:val="007922DC"/>
    <w:rsid w:val="007936E7"/>
    <w:rsid w:val="007A0503"/>
    <w:rsid w:val="007A3437"/>
    <w:rsid w:val="007A42CC"/>
    <w:rsid w:val="007A7D36"/>
    <w:rsid w:val="007A7D6F"/>
    <w:rsid w:val="007B045D"/>
    <w:rsid w:val="007B760C"/>
    <w:rsid w:val="007C0873"/>
    <w:rsid w:val="007C21D1"/>
    <w:rsid w:val="007C2DDA"/>
    <w:rsid w:val="007C36F3"/>
    <w:rsid w:val="007C6358"/>
    <w:rsid w:val="007D34D5"/>
    <w:rsid w:val="007D7574"/>
    <w:rsid w:val="007E4DB7"/>
    <w:rsid w:val="007E4FD2"/>
    <w:rsid w:val="007E601C"/>
    <w:rsid w:val="007E743F"/>
    <w:rsid w:val="007F1D86"/>
    <w:rsid w:val="007F324B"/>
    <w:rsid w:val="00806BDB"/>
    <w:rsid w:val="00810EF9"/>
    <w:rsid w:val="00813455"/>
    <w:rsid w:val="008164E9"/>
    <w:rsid w:val="008167EB"/>
    <w:rsid w:val="00817F68"/>
    <w:rsid w:val="00821710"/>
    <w:rsid w:val="00822142"/>
    <w:rsid w:val="008231AF"/>
    <w:rsid w:val="00830CFE"/>
    <w:rsid w:val="008310C7"/>
    <w:rsid w:val="00832F7C"/>
    <w:rsid w:val="00836A95"/>
    <w:rsid w:val="008407EC"/>
    <w:rsid w:val="00840C5B"/>
    <w:rsid w:val="008437FE"/>
    <w:rsid w:val="00843CA3"/>
    <w:rsid w:val="00843CF5"/>
    <w:rsid w:val="00846BBB"/>
    <w:rsid w:val="00846CAD"/>
    <w:rsid w:val="00847585"/>
    <w:rsid w:val="008504A8"/>
    <w:rsid w:val="00850E08"/>
    <w:rsid w:val="00855A4F"/>
    <w:rsid w:val="00860207"/>
    <w:rsid w:val="008613FA"/>
    <w:rsid w:val="00863816"/>
    <w:rsid w:val="008660FA"/>
    <w:rsid w:val="00867B47"/>
    <w:rsid w:val="00867C34"/>
    <w:rsid w:val="008739A2"/>
    <w:rsid w:val="00876966"/>
    <w:rsid w:val="00880911"/>
    <w:rsid w:val="00886171"/>
    <w:rsid w:val="00891CD1"/>
    <w:rsid w:val="008938A8"/>
    <w:rsid w:val="00893B3B"/>
    <w:rsid w:val="008946E7"/>
    <w:rsid w:val="00894DBC"/>
    <w:rsid w:val="008A3B46"/>
    <w:rsid w:val="008A44E4"/>
    <w:rsid w:val="008A5B5C"/>
    <w:rsid w:val="008A6139"/>
    <w:rsid w:val="008A7DE5"/>
    <w:rsid w:val="008B2A07"/>
    <w:rsid w:val="008B2F6F"/>
    <w:rsid w:val="008B3AEF"/>
    <w:rsid w:val="008B50BE"/>
    <w:rsid w:val="008B54A5"/>
    <w:rsid w:val="008B6D24"/>
    <w:rsid w:val="008C1D1D"/>
    <w:rsid w:val="008C20A5"/>
    <w:rsid w:val="008C336A"/>
    <w:rsid w:val="008C45D4"/>
    <w:rsid w:val="008C6FB0"/>
    <w:rsid w:val="008D086C"/>
    <w:rsid w:val="008D5052"/>
    <w:rsid w:val="008D5CAF"/>
    <w:rsid w:val="008E00C7"/>
    <w:rsid w:val="008E304F"/>
    <w:rsid w:val="008E7816"/>
    <w:rsid w:val="008E7ED5"/>
    <w:rsid w:val="008F14DD"/>
    <w:rsid w:val="008F4B73"/>
    <w:rsid w:val="008F73B2"/>
    <w:rsid w:val="00900851"/>
    <w:rsid w:val="00900B61"/>
    <w:rsid w:val="0090215A"/>
    <w:rsid w:val="0090244A"/>
    <w:rsid w:val="00902BC8"/>
    <w:rsid w:val="00906A57"/>
    <w:rsid w:val="009075A7"/>
    <w:rsid w:val="00913E59"/>
    <w:rsid w:val="009203E4"/>
    <w:rsid w:val="009213DB"/>
    <w:rsid w:val="00924C8E"/>
    <w:rsid w:val="009252AB"/>
    <w:rsid w:val="0092794E"/>
    <w:rsid w:val="0093044E"/>
    <w:rsid w:val="00933340"/>
    <w:rsid w:val="009339A8"/>
    <w:rsid w:val="009349D7"/>
    <w:rsid w:val="009358D1"/>
    <w:rsid w:val="00936C8B"/>
    <w:rsid w:val="00937032"/>
    <w:rsid w:val="0094350B"/>
    <w:rsid w:val="00944752"/>
    <w:rsid w:val="00945382"/>
    <w:rsid w:val="00947B42"/>
    <w:rsid w:val="0095311B"/>
    <w:rsid w:val="00953260"/>
    <w:rsid w:val="00953EB8"/>
    <w:rsid w:val="009549A8"/>
    <w:rsid w:val="00961424"/>
    <w:rsid w:val="009650FF"/>
    <w:rsid w:val="0096526E"/>
    <w:rsid w:val="00967C45"/>
    <w:rsid w:val="00971FAC"/>
    <w:rsid w:val="009726AD"/>
    <w:rsid w:val="0097279E"/>
    <w:rsid w:val="00973DD9"/>
    <w:rsid w:val="00974359"/>
    <w:rsid w:val="00974585"/>
    <w:rsid w:val="00975E89"/>
    <w:rsid w:val="00975ECC"/>
    <w:rsid w:val="00976936"/>
    <w:rsid w:val="00981438"/>
    <w:rsid w:val="00986A23"/>
    <w:rsid w:val="00987C53"/>
    <w:rsid w:val="00991CD9"/>
    <w:rsid w:val="00992880"/>
    <w:rsid w:val="00992D24"/>
    <w:rsid w:val="0099316E"/>
    <w:rsid w:val="00996636"/>
    <w:rsid w:val="009A0B92"/>
    <w:rsid w:val="009A246A"/>
    <w:rsid w:val="009B4A88"/>
    <w:rsid w:val="009B55E5"/>
    <w:rsid w:val="009B6BB3"/>
    <w:rsid w:val="009C6D93"/>
    <w:rsid w:val="009D65D8"/>
    <w:rsid w:val="009E3F7B"/>
    <w:rsid w:val="009E4622"/>
    <w:rsid w:val="009E6997"/>
    <w:rsid w:val="009F3671"/>
    <w:rsid w:val="009F4643"/>
    <w:rsid w:val="009F594E"/>
    <w:rsid w:val="009F5FF3"/>
    <w:rsid w:val="009F6319"/>
    <w:rsid w:val="009F6AE6"/>
    <w:rsid w:val="00A0388B"/>
    <w:rsid w:val="00A075C0"/>
    <w:rsid w:val="00A07999"/>
    <w:rsid w:val="00A1174C"/>
    <w:rsid w:val="00A12975"/>
    <w:rsid w:val="00A15150"/>
    <w:rsid w:val="00A15A3E"/>
    <w:rsid w:val="00A15C1F"/>
    <w:rsid w:val="00A1600D"/>
    <w:rsid w:val="00A24875"/>
    <w:rsid w:val="00A26D78"/>
    <w:rsid w:val="00A31581"/>
    <w:rsid w:val="00A31D74"/>
    <w:rsid w:val="00A33D05"/>
    <w:rsid w:val="00A342DE"/>
    <w:rsid w:val="00A342F2"/>
    <w:rsid w:val="00A34A61"/>
    <w:rsid w:val="00A4011A"/>
    <w:rsid w:val="00A40F4A"/>
    <w:rsid w:val="00A41732"/>
    <w:rsid w:val="00A43A3A"/>
    <w:rsid w:val="00A458EB"/>
    <w:rsid w:val="00A51F05"/>
    <w:rsid w:val="00A57C07"/>
    <w:rsid w:val="00A57E55"/>
    <w:rsid w:val="00A61EE8"/>
    <w:rsid w:val="00A6315A"/>
    <w:rsid w:val="00A64658"/>
    <w:rsid w:val="00A67D06"/>
    <w:rsid w:val="00A70054"/>
    <w:rsid w:val="00A705A8"/>
    <w:rsid w:val="00A711D4"/>
    <w:rsid w:val="00A715FE"/>
    <w:rsid w:val="00A716D6"/>
    <w:rsid w:val="00A71949"/>
    <w:rsid w:val="00A73A26"/>
    <w:rsid w:val="00A73E58"/>
    <w:rsid w:val="00A8156C"/>
    <w:rsid w:val="00A86CEF"/>
    <w:rsid w:val="00A92B9F"/>
    <w:rsid w:val="00A9333F"/>
    <w:rsid w:val="00A9392B"/>
    <w:rsid w:val="00A93AEC"/>
    <w:rsid w:val="00A95AEE"/>
    <w:rsid w:val="00A97401"/>
    <w:rsid w:val="00AA45EC"/>
    <w:rsid w:val="00AA6837"/>
    <w:rsid w:val="00AA7FE9"/>
    <w:rsid w:val="00AB21EF"/>
    <w:rsid w:val="00AB371D"/>
    <w:rsid w:val="00AC1E4C"/>
    <w:rsid w:val="00AC2AF9"/>
    <w:rsid w:val="00AC343B"/>
    <w:rsid w:val="00AC3C0B"/>
    <w:rsid w:val="00AC6ACE"/>
    <w:rsid w:val="00AC71E3"/>
    <w:rsid w:val="00AD041B"/>
    <w:rsid w:val="00AD1BE8"/>
    <w:rsid w:val="00AD5F01"/>
    <w:rsid w:val="00AE06F6"/>
    <w:rsid w:val="00AE119E"/>
    <w:rsid w:val="00AE2682"/>
    <w:rsid w:val="00AE5D37"/>
    <w:rsid w:val="00AE60DA"/>
    <w:rsid w:val="00AF2B66"/>
    <w:rsid w:val="00AF4350"/>
    <w:rsid w:val="00AF7778"/>
    <w:rsid w:val="00AF7FA7"/>
    <w:rsid w:val="00B03B29"/>
    <w:rsid w:val="00B102AB"/>
    <w:rsid w:val="00B1174D"/>
    <w:rsid w:val="00B1441A"/>
    <w:rsid w:val="00B16981"/>
    <w:rsid w:val="00B21C72"/>
    <w:rsid w:val="00B23B22"/>
    <w:rsid w:val="00B24268"/>
    <w:rsid w:val="00B25FD4"/>
    <w:rsid w:val="00B278BC"/>
    <w:rsid w:val="00B32412"/>
    <w:rsid w:val="00B32E1B"/>
    <w:rsid w:val="00B4114F"/>
    <w:rsid w:val="00B41B13"/>
    <w:rsid w:val="00B431CB"/>
    <w:rsid w:val="00B43309"/>
    <w:rsid w:val="00B4368A"/>
    <w:rsid w:val="00B51961"/>
    <w:rsid w:val="00B52958"/>
    <w:rsid w:val="00B52A0A"/>
    <w:rsid w:val="00B52A69"/>
    <w:rsid w:val="00B54919"/>
    <w:rsid w:val="00B55B75"/>
    <w:rsid w:val="00B55FAB"/>
    <w:rsid w:val="00B56979"/>
    <w:rsid w:val="00B57303"/>
    <w:rsid w:val="00B75187"/>
    <w:rsid w:val="00B8271F"/>
    <w:rsid w:val="00B90491"/>
    <w:rsid w:val="00B92EE3"/>
    <w:rsid w:val="00B9392C"/>
    <w:rsid w:val="00B93B8D"/>
    <w:rsid w:val="00B94456"/>
    <w:rsid w:val="00BA1E8D"/>
    <w:rsid w:val="00BA657E"/>
    <w:rsid w:val="00BB1B42"/>
    <w:rsid w:val="00BB3597"/>
    <w:rsid w:val="00BB3DA7"/>
    <w:rsid w:val="00BB40FA"/>
    <w:rsid w:val="00BC1C6F"/>
    <w:rsid w:val="00BC2755"/>
    <w:rsid w:val="00BC3F29"/>
    <w:rsid w:val="00BC6C72"/>
    <w:rsid w:val="00BD150A"/>
    <w:rsid w:val="00BD378F"/>
    <w:rsid w:val="00BD4ECC"/>
    <w:rsid w:val="00BD5A4A"/>
    <w:rsid w:val="00BD6B83"/>
    <w:rsid w:val="00BE071D"/>
    <w:rsid w:val="00BE2C5D"/>
    <w:rsid w:val="00BE4C82"/>
    <w:rsid w:val="00BE76B3"/>
    <w:rsid w:val="00BE7F94"/>
    <w:rsid w:val="00BF03F2"/>
    <w:rsid w:val="00BF34F4"/>
    <w:rsid w:val="00BF6D1C"/>
    <w:rsid w:val="00C00702"/>
    <w:rsid w:val="00C033B9"/>
    <w:rsid w:val="00C03AC3"/>
    <w:rsid w:val="00C0428D"/>
    <w:rsid w:val="00C055D6"/>
    <w:rsid w:val="00C05708"/>
    <w:rsid w:val="00C05B0E"/>
    <w:rsid w:val="00C06368"/>
    <w:rsid w:val="00C11647"/>
    <w:rsid w:val="00C14C39"/>
    <w:rsid w:val="00C20D78"/>
    <w:rsid w:val="00C236F4"/>
    <w:rsid w:val="00C269B8"/>
    <w:rsid w:val="00C309AD"/>
    <w:rsid w:val="00C30DA9"/>
    <w:rsid w:val="00C31B08"/>
    <w:rsid w:val="00C414AF"/>
    <w:rsid w:val="00C45DC7"/>
    <w:rsid w:val="00C515B7"/>
    <w:rsid w:val="00C53877"/>
    <w:rsid w:val="00C612B9"/>
    <w:rsid w:val="00C61B45"/>
    <w:rsid w:val="00C663F9"/>
    <w:rsid w:val="00C731CB"/>
    <w:rsid w:val="00C822A1"/>
    <w:rsid w:val="00C83922"/>
    <w:rsid w:val="00C83B37"/>
    <w:rsid w:val="00C846CD"/>
    <w:rsid w:val="00C850FD"/>
    <w:rsid w:val="00C941FE"/>
    <w:rsid w:val="00C949B4"/>
    <w:rsid w:val="00C97759"/>
    <w:rsid w:val="00C979E3"/>
    <w:rsid w:val="00CA021D"/>
    <w:rsid w:val="00CA2547"/>
    <w:rsid w:val="00CA3314"/>
    <w:rsid w:val="00CB3DF0"/>
    <w:rsid w:val="00CB4C4C"/>
    <w:rsid w:val="00CB704E"/>
    <w:rsid w:val="00CC192C"/>
    <w:rsid w:val="00CD7BBA"/>
    <w:rsid w:val="00CE1D74"/>
    <w:rsid w:val="00CF19E8"/>
    <w:rsid w:val="00CF1EA0"/>
    <w:rsid w:val="00CF22D8"/>
    <w:rsid w:val="00CF370C"/>
    <w:rsid w:val="00CF66D4"/>
    <w:rsid w:val="00D02F9A"/>
    <w:rsid w:val="00D067E4"/>
    <w:rsid w:val="00D06AF0"/>
    <w:rsid w:val="00D10E5F"/>
    <w:rsid w:val="00D15463"/>
    <w:rsid w:val="00D17703"/>
    <w:rsid w:val="00D1787C"/>
    <w:rsid w:val="00D17DEB"/>
    <w:rsid w:val="00D212FC"/>
    <w:rsid w:val="00D2211F"/>
    <w:rsid w:val="00D221B8"/>
    <w:rsid w:val="00D237BD"/>
    <w:rsid w:val="00D245AF"/>
    <w:rsid w:val="00D32239"/>
    <w:rsid w:val="00D324D6"/>
    <w:rsid w:val="00D3346B"/>
    <w:rsid w:val="00D3679A"/>
    <w:rsid w:val="00D36F76"/>
    <w:rsid w:val="00D37C60"/>
    <w:rsid w:val="00D425D0"/>
    <w:rsid w:val="00D42FCD"/>
    <w:rsid w:val="00D4375F"/>
    <w:rsid w:val="00D44390"/>
    <w:rsid w:val="00D44C75"/>
    <w:rsid w:val="00D462EA"/>
    <w:rsid w:val="00D46A7F"/>
    <w:rsid w:val="00D510D6"/>
    <w:rsid w:val="00D51D57"/>
    <w:rsid w:val="00D543EC"/>
    <w:rsid w:val="00D555FB"/>
    <w:rsid w:val="00D564B6"/>
    <w:rsid w:val="00D642FC"/>
    <w:rsid w:val="00D644C9"/>
    <w:rsid w:val="00D656FB"/>
    <w:rsid w:val="00D66FF0"/>
    <w:rsid w:val="00D702B3"/>
    <w:rsid w:val="00D7052D"/>
    <w:rsid w:val="00D712B4"/>
    <w:rsid w:val="00D71E87"/>
    <w:rsid w:val="00D82D8A"/>
    <w:rsid w:val="00D84426"/>
    <w:rsid w:val="00D848A4"/>
    <w:rsid w:val="00D85110"/>
    <w:rsid w:val="00D91453"/>
    <w:rsid w:val="00D937B4"/>
    <w:rsid w:val="00DA19C0"/>
    <w:rsid w:val="00DA45CA"/>
    <w:rsid w:val="00DA5B50"/>
    <w:rsid w:val="00DB09D0"/>
    <w:rsid w:val="00DB203F"/>
    <w:rsid w:val="00DB21CB"/>
    <w:rsid w:val="00DB6C10"/>
    <w:rsid w:val="00DC3C6D"/>
    <w:rsid w:val="00DC5365"/>
    <w:rsid w:val="00DD21AD"/>
    <w:rsid w:val="00DD2CC0"/>
    <w:rsid w:val="00DD39C8"/>
    <w:rsid w:val="00DD3CB8"/>
    <w:rsid w:val="00DD537B"/>
    <w:rsid w:val="00DD624E"/>
    <w:rsid w:val="00DE3629"/>
    <w:rsid w:val="00DE5B93"/>
    <w:rsid w:val="00DE6393"/>
    <w:rsid w:val="00DF2839"/>
    <w:rsid w:val="00DF28D2"/>
    <w:rsid w:val="00DF4267"/>
    <w:rsid w:val="00DF64FF"/>
    <w:rsid w:val="00DF6CF5"/>
    <w:rsid w:val="00E0020B"/>
    <w:rsid w:val="00E0396C"/>
    <w:rsid w:val="00E03CE0"/>
    <w:rsid w:val="00E054DD"/>
    <w:rsid w:val="00E1080E"/>
    <w:rsid w:val="00E10829"/>
    <w:rsid w:val="00E1272E"/>
    <w:rsid w:val="00E13987"/>
    <w:rsid w:val="00E14BD1"/>
    <w:rsid w:val="00E171A0"/>
    <w:rsid w:val="00E17EAD"/>
    <w:rsid w:val="00E2001A"/>
    <w:rsid w:val="00E218AA"/>
    <w:rsid w:val="00E2527E"/>
    <w:rsid w:val="00E26BD8"/>
    <w:rsid w:val="00E2767C"/>
    <w:rsid w:val="00E2772A"/>
    <w:rsid w:val="00E2776B"/>
    <w:rsid w:val="00E302B7"/>
    <w:rsid w:val="00E36DD6"/>
    <w:rsid w:val="00E37F7C"/>
    <w:rsid w:val="00E40E4E"/>
    <w:rsid w:val="00E457FA"/>
    <w:rsid w:val="00E46427"/>
    <w:rsid w:val="00E4645C"/>
    <w:rsid w:val="00E47C4D"/>
    <w:rsid w:val="00E530F7"/>
    <w:rsid w:val="00E53352"/>
    <w:rsid w:val="00E60DBB"/>
    <w:rsid w:val="00E61A57"/>
    <w:rsid w:val="00E61D2E"/>
    <w:rsid w:val="00E62194"/>
    <w:rsid w:val="00E62CFE"/>
    <w:rsid w:val="00E62D39"/>
    <w:rsid w:val="00E638DE"/>
    <w:rsid w:val="00E641D0"/>
    <w:rsid w:val="00E644BE"/>
    <w:rsid w:val="00E6598E"/>
    <w:rsid w:val="00E672D1"/>
    <w:rsid w:val="00E772AD"/>
    <w:rsid w:val="00E84E5A"/>
    <w:rsid w:val="00E858E7"/>
    <w:rsid w:val="00E860CC"/>
    <w:rsid w:val="00E87ECE"/>
    <w:rsid w:val="00E906CC"/>
    <w:rsid w:val="00E91C51"/>
    <w:rsid w:val="00E95510"/>
    <w:rsid w:val="00E96B9D"/>
    <w:rsid w:val="00E97D90"/>
    <w:rsid w:val="00EA62CB"/>
    <w:rsid w:val="00EA73A8"/>
    <w:rsid w:val="00EB2E04"/>
    <w:rsid w:val="00EB3691"/>
    <w:rsid w:val="00EB38E8"/>
    <w:rsid w:val="00EB4283"/>
    <w:rsid w:val="00EB43C4"/>
    <w:rsid w:val="00EB5A8E"/>
    <w:rsid w:val="00EB6402"/>
    <w:rsid w:val="00EB692D"/>
    <w:rsid w:val="00EC04EC"/>
    <w:rsid w:val="00EC1442"/>
    <w:rsid w:val="00EC37B8"/>
    <w:rsid w:val="00EC4162"/>
    <w:rsid w:val="00EC6085"/>
    <w:rsid w:val="00ED0DD8"/>
    <w:rsid w:val="00ED21D6"/>
    <w:rsid w:val="00ED273C"/>
    <w:rsid w:val="00ED3194"/>
    <w:rsid w:val="00ED6C17"/>
    <w:rsid w:val="00ED7971"/>
    <w:rsid w:val="00EE7658"/>
    <w:rsid w:val="00F073FD"/>
    <w:rsid w:val="00F1172F"/>
    <w:rsid w:val="00F13117"/>
    <w:rsid w:val="00F15680"/>
    <w:rsid w:val="00F17966"/>
    <w:rsid w:val="00F23863"/>
    <w:rsid w:val="00F24206"/>
    <w:rsid w:val="00F265C2"/>
    <w:rsid w:val="00F30F4A"/>
    <w:rsid w:val="00F315AF"/>
    <w:rsid w:val="00F40443"/>
    <w:rsid w:val="00F41A7F"/>
    <w:rsid w:val="00F44479"/>
    <w:rsid w:val="00F44585"/>
    <w:rsid w:val="00F46365"/>
    <w:rsid w:val="00F52319"/>
    <w:rsid w:val="00F56506"/>
    <w:rsid w:val="00F6032A"/>
    <w:rsid w:val="00F62FD8"/>
    <w:rsid w:val="00F64B93"/>
    <w:rsid w:val="00F67993"/>
    <w:rsid w:val="00F710C1"/>
    <w:rsid w:val="00F7392C"/>
    <w:rsid w:val="00F74053"/>
    <w:rsid w:val="00F74F08"/>
    <w:rsid w:val="00F777DF"/>
    <w:rsid w:val="00F85A50"/>
    <w:rsid w:val="00F87D99"/>
    <w:rsid w:val="00F9547F"/>
    <w:rsid w:val="00F95E95"/>
    <w:rsid w:val="00F97F3C"/>
    <w:rsid w:val="00FA0163"/>
    <w:rsid w:val="00FA2379"/>
    <w:rsid w:val="00FA3E57"/>
    <w:rsid w:val="00FB0C81"/>
    <w:rsid w:val="00FB1DF5"/>
    <w:rsid w:val="00FB63DB"/>
    <w:rsid w:val="00FC1FBC"/>
    <w:rsid w:val="00FC533C"/>
    <w:rsid w:val="00FD1954"/>
    <w:rsid w:val="00FD7A1A"/>
    <w:rsid w:val="00FE0968"/>
    <w:rsid w:val="00FE5E26"/>
    <w:rsid w:val="00FF058D"/>
    <w:rsid w:val="00FF1A19"/>
    <w:rsid w:val="00FF56A9"/>
    <w:rsid w:val="00FF5810"/>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1C6B"/>
  <w15:docId w15:val="{B7A7EA26-9D1F-4BFF-8DCE-3C033C53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4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1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2A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4E"/>
  </w:style>
  <w:style w:type="paragraph" w:styleId="Footer">
    <w:name w:val="footer"/>
    <w:basedOn w:val="Normal"/>
    <w:link w:val="FooterChar"/>
    <w:uiPriority w:val="99"/>
    <w:unhideWhenUsed/>
    <w:rsid w:val="00930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4E"/>
  </w:style>
  <w:style w:type="paragraph" w:styleId="ListParagraph">
    <w:name w:val="List Paragraph"/>
    <w:basedOn w:val="Normal"/>
    <w:uiPriority w:val="34"/>
    <w:qFormat/>
    <w:rsid w:val="0093044E"/>
    <w:pPr>
      <w:ind w:left="720"/>
      <w:contextualSpacing/>
    </w:pPr>
  </w:style>
  <w:style w:type="character" w:styleId="Hyperlink">
    <w:name w:val="Hyperlink"/>
    <w:basedOn w:val="DefaultParagraphFont"/>
    <w:uiPriority w:val="99"/>
    <w:unhideWhenUsed/>
    <w:rsid w:val="00AC343B"/>
    <w:rPr>
      <w:color w:val="0563C1" w:themeColor="hyperlink"/>
      <w:u w:val="single"/>
    </w:rPr>
  </w:style>
  <w:style w:type="character" w:styleId="UnresolvedMention">
    <w:name w:val="Unresolved Mention"/>
    <w:basedOn w:val="DefaultParagraphFont"/>
    <w:uiPriority w:val="99"/>
    <w:semiHidden/>
    <w:unhideWhenUsed/>
    <w:rsid w:val="00AC343B"/>
    <w:rPr>
      <w:color w:val="605E5C"/>
      <w:shd w:val="clear" w:color="auto" w:fill="E1DFDD"/>
    </w:rPr>
  </w:style>
  <w:style w:type="paragraph" w:styleId="Title">
    <w:name w:val="Title"/>
    <w:basedOn w:val="Normal"/>
    <w:next w:val="Normal"/>
    <w:link w:val="TitleChar"/>
    <w:uiPriority w:val="10"/>
    <w:qFormat/>
    <w:rsid w:val="003A04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4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41D"/>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9252AB"/>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992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880"/>
    <w:rPr>
      <w:sz w:val="20"/>
      <w:szCs w:val="20"/>
    </w:rPr>
  </w:style>
  <w:style w:type="character" w:styleId="FootnoteReference">
    <w:name w:val="footnote reference"/>
    <w:basedOn w:val="DefaultParagraphFont"/>
    <w:uiPriority w:val="99"/>
    <w:semiHidden/>
    <w:unhideWhenUsed/>
    <w:rsid w:val="00992880"/>
    <w:rPr>
      <w:vertAlign w:val="superscript"/>
    </w:rPr>
  </w:style>
  <w:style w:type="character" w:styleId="PlaceholderText">
    <w:name w:val="Placeholder Text"/>
    <w:basedOn w:val="DefaultParagraphFont"/>
    <w:uiPriority w:val="99"/>
    <w:semiHidden/>
    <w:rsid w:val="00BB1B42"/>
    <w:rPr>
      <w:color w:val="666666"/>
    </w:rPr>
  </w:style>
  <w:style w:type="character" w:customStyle="1" w:styleId="Heading2Char">
    <w:name w:val="Heading 2 Char"/>
    <w:basedOn w:val="DefaultParagraphFont"/>
    <w:link w:val="Heading2"/>
    <w:uiPriority w:val="9"/>
    <w:rsid w:val="00A711D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6F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134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AC2AF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53108"/>
    <w:pPr>
      <w:outlineLvl w:val="9"/>
    </w:pPr>
  </w:style>
  <w:style w:type="paragraph" w:styleId="TOC1">
    <w:name w:val="toc 1"/>
    <w:basedOn w:val="Normal"/>
    <w:next w:val="Normal"/>
    <w:autoRedefine/>
    <w:uiPriority w:val="39"/>
    <w:unhideWhenUsed/>
    <w:rsid w:val="00453108"/>
    <w:pPr>
      <w:spacing w:after="100"/>
    </w:pPr>
  </w:style>
  <w:style w:type="paragraph" w:styleId="TOC2">
    <w:name w:val="toc 2"/>
    <w:basedOn w:val="Normal"/>
    <w:next w:val="Normal"/>
    <w:autoRedefine/>
    <w:uiPriority w:val="39"/>
    <w:unhideWhenUsed/>
    <w:rsid w:val="00453108"/>
    <w:pPr>
      <w:spacing w:after="100"/>
      <w:ind w:left="220"/>
    </w:pPr>
  </w:style>
  <w:style w:type="paragraph" w:styleId="TOC3">
    <w:name w:val="toc 3"/>
    <w:basedOn w:val="Normal"/>
    <w:next w:val="Normal"/>
    <w:autoRedefine/>
    <w:uiPriority w:val="39"/>
    <w:unhideWhenUsed/>
    <w:rsid w:val="00453108"/>
    <w:pPr>
      <w:spacing w:after="100"/>
      <w:ind w:left="440"/>
    </w:pPr>
  </w:style>
  <w:style w:type="paragraph" w:styleId="TableofFigures">
    <w:name w:val="table of figures"/>
    <w:basedOn w:val="Normal"/>
    <w:next w:val="Normal"/>
    <w:uiPriority w:val="99"/>
    <w:unhideWhenUsed/>
    <w:rsid w:val="00453108"/>
    <w:pPr>
      <w:spacing w:after="0"/>
    </w:pPr>
  </w:style>
  <w:style w:type="paragraph" w:styleId="NormalWeb">
    <w:name w:val="Normal (Web)"/>
    <w:basedOn w:val="Normal"/>
    <w:uiPriority w:val="99"/>
    <w:unhideWhenUsed/>
    <w:rsid w:val="00586E0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CBB"/>
    <w:rPr>
      <w:sz w:val="16"/>
      <w:szCs w:val="16"/>
    </w:rPr>
  </w:style>
  <w:style w:type="paragraph" w:styleId="CommentText">
    <w:name w:val="annotation text"/>
    <w:basedOn w:val="Normal"/>
    <w:link w:val="CommentTextChar"/>
    <w:uiPriority w:val="99"/>
    <w:unhideWhenUsed/>
    <w:rsid w:val="004B1CBB"/>
    <w:pPr>
      <w:spacing w:line="240" w:lineRule="auto"/>
    </w:pPr>
    <w:rPr>
      <w:sz w:val="20"/>
      <w:szCs w:val="20"/>
    </w:rPr>
  </w:style>
  <w:style w:type="character" w:customStyle="1" w:styleId="CommentTextChar">
    <w:name w:val="Comment Text Char"/>
    <w:basedOn w:val="DefaultParagraphFont"/>
    <w:link w:val="CommentText"/>
    <w:uiPriority w:val="99"/>
    <w:rsid w:val="004B1CBB"/>
    <w:rPr>
      <w:sz w:val="20"/>
      <w:szCs w:val="20"/>
    </w:rPr>
  </w:style>
  <w:style w:type="paragraph" w:styleId="CommentSubject">
    <w:name w:val="annotation subject"/>
    <w:basedOn w:val="CommentText"/>
    <w:next w:val="CommentText"/>
    <w:link w:val="CommentSubjectChar"/>
    <w:uiPriority w:val="99"/>
    <w:semiHidden/>
    <w:unhideWhenUsed/>
    <w:rsid w:val="004B1CBB"/>
    <w:rPr>
      <w:b/>
      <w:bCs/>
    </w:rPr>
  </w:style>
  <w:style w:type="character" w:customStyle="1" w:styleId="CommentSubjectChar">
    <w:name w:val="Comment Subject Char"/>
    <w:basedOn w:val="CommentTextChar"/>
    <w:link w:val="CommentSubject"/>
    <w:uiPriority w:val="99"/>
    <w:semiHidden/>
    <w:rsid w:val="004B1CBB"/>
    <w:rPr>
      <w:b/>
      <w:bCs/>
      <w:sz w:val="20"/>
      <w:szCs w:val="20"/>
    </w:rPr>
  </w:style>
  <w:style w:type="paragraph" w:styleId="Revision">
    <w:name w:val="Revision"/>
    <w:hidden/>
    <w:uiPriority w:val="99"/>
    <w:semiHidden/>
    <w:rsid w:val="002B4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1706">
      <w:bodyDiv w:val="1"/>
      <w:marLeft w:val="0"/>
      <w:marRight w:val="0"/>
      <w:marTop w:val="0"/>
      <w:marBottom w:val="0"/>
      <w:divBdr>
        <w:top w:val="none" w:sz="0" w:space="0" w:color="auto"/>
        <w:left w:val="none" w:sz="0" w:space="0" w:color="auto"/>
        <w:bottom w:val="none" w:sz="0" w:space="0" w:color="auto"/>
        <w:right w:val="none" w:sz="0" w:space="0" w:color="auto"/>
      </w:divBdr>
      <w:divsChild>
        <w:div w:id="903099165">
          <w:marLeft w:val="480"/>
          <w:marRight w:val="0"/>
          <w:marTop w:val="0"/>
          <w:marBottom w:val="0"/>
          <w:divBdr>
            <w:top w:val="none" w:sz="0" w:space="0" w:color="auto"/>
            <w:left w:val="none" w:sz="0" w:space="0" w:color="auto"/>
            <w:bottom w:val="none" w:sz="0" w:space="0" w:color="auto"/>
            <w:right w:val="none" w:sz="0" w:space="0" w:color="auto"/>
          </w:divBdr>
          <w:divsChild>
            <w:div w:id="281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6592">
      <w:bodyDiv w:val="1"/>
      <w:marLeft w:val="0"/>
      <w:marRight w:val="0"/>
      <w:marTop w:val="0"/>
      <w:marBottom w:val="0"/>
      <w:divBdr>
        <w:top w:val="none" w:sz="0" w:space="0" w:color="auto"/>
        <w:left w:val="none" w:sz="0" w:space="0" w:color="auto"/>
        <w:bottom w:val="none" w:sz="0" w:space="0" w:color="auto"/>
        <w:right w:val="none" w:sz="0" w:space="0" w:color="auto"/>
      </w:divBdr>
      <w:divsChild>
        <w:div w:id="1455708817">
          <w:marLeft w:val="480"/>
          <w:marRight w:val="0"/>
          <w:marTop w:val="0"/>
          <w:marBottom w:val="0"/>
          <w:divBdr>
            <w:top w:val="none" w:sz="0" w:space="0" w:color="auto"/>
            <w:left w:val="none" w:sz="0" w:space="0" w:color="auto"/>
            <w:bottom w:val="none" w:sz="0" w:space="0" w:color="auto"/>
            <w:right w:val="none" w:sz="0" w:space="0" w:color="auto"/>
          </w:divBdr>
          <w:divsChild>
            <w:div w:id="1804886381">
              <w:marLeft w:val="0"/>
              <w:marRight w:val="0"/>
              <w:marTop w:val="0"/>
              <w:marBottom w:val="0"/>
              <w:divBdr>
                <w:top w:val="none" w:sz="0" w:space="0" w:color="auto"/>
                <w:left w:val="none" w:sz="0" w:space="0" w:color="auto"/>
                <w:bottom w:val="none" w:sz="0" w:space="0" w:color="auto"/>
                <w:right w:val="none" w:sz="0" w:space="0" w:color="auto"/>
              </w:divBdr>
            </w:div>
            <w:div w:id="1091436931">
              <w:marLeft w:val="0"/>
              <w:marRight w:val="0"/>
              <w:marTop w:val="0"/>
              <w:marBottom w:val="0"/>
              <w:divBdr>
                <w:top w:val="none" w:sz="0" w:space="0" w:color="auto"/>
                <w:left w:val="none" w:sz="0" w:space="0" w:color="auto"/>
                <w:bottom w:val="none" w:sz="0" w:space="0" w:color="auto"/>
                <w:right w:val="none" w:sz="0" w:space="0" w:color="auto"/>
              </w:divBdr>
            </w:div>
            <w:div w:id="231745449">
              <w:marLeft w:val="0"/>
              <w:marRight w:val="0"/>
              <w:marTop w:val="0"/>
              <w:marBottom w:val="0"/>
              <w:divBdr>
                <w:top w:val="none" w:sz="0" w:space="0" w:color="auto"/>
                <w:left w:val="none" w:sz="0" w:space="0" w:color="auto"/>
                <w:bottom w:val="none" w:sz="0" w:space="0" w:color="auto"/>
                <w:right w:val="none" w:sz="0" w:space="0" w:color="auto"/>
              </w:divBdr>
            </w:div>
            <w:div w:id="346442899">
              <w:marLeft w:val="0"/>
              <w:marRight w:val="0"/>
              <w:marTop w:val="0"/>
              <w:marBottom w:val="0"/>
              <w:divBdr>
                <w:top w:val="none" w:sz="0" w:space="0" w:color="auto"/>
                <w:left w:val="none" w:sz="0" w:space="0" w:color="auto"/>
                <w:bottom w:val="none" w:sz="0" w:space="0" w:color="auto"/>
                <w:right w:val="none" w:sz="0" w:space="0" w:color="auto"/>
              </w:divBdr>
            </w:div>
            <w:div w:id="1274827826">
              <w:marLeft w:val="0"/>
              <w:marRight w:val="0"/>
              <w:marTop w:val="0"/>
              <w:marBottom w:val="0"/>
              <w:divBdr>
                <w:top w:val="none" w:sz="0" w:space="0" w:color="auto"/>
                <w:left w:val="none" w:sz="0" w:space="0" w:color="auto"/>
                <w:bottom w:val="none" w:sz="0" w:space="0" w:color="auto"/>
                <w:right w:val="none" w:sz="0" w:space="0" w:color="auto"/>
              </w:divBdr>
            </w:div>
            <w:div w:id="7291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1697">
      <w:bodyDiv w:val="1"/>
      <w:marLeft w:val="0"/>
      <w:marRight w:val="0"/>
      <w:marTop w:val="0"/>
      <w:marBottom w:val="0"/>
      <w:divBdr>
        <w:top w:val="none" w:sz="0" w:space="0" w:color="auto"/>
        <w:left w:val="none" w:sz="0" w:space="0" w:color="auto"/>
        <w:bottom w:val="none" w:sz="0" w:space="0" w:color="auto"/>
        <w:right w:val="none" w:sz="0" w:space="0" w:color="auto"/>
      </w:divBdr>
      <w:divsChild>
        <w:div w:id="1644508468">
          <w:marLeft w:val="480"/>
          <w:marRight w:val="0"/>
          <w:marTop w:val="0"/>
          <w:marBottom w:val="0"/>
          <w:divBdr>
            <w:top w:val="none" w:sz="0" w:space="0" w:color="auto"/>
            <w:left w:val="none" w:sz="0" w:space="0" w:color="auto"/>
            <w:bottom w:val="none" w:sz="0" w:space="0" w:color="auto"/>
            <w:right w:val="none" w:sz="0" w:space="0" w:color="auto"/>
          </w:divBdr>
          <w:divsChild>
            <w:div w:id="11821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832">
      <w:bodyDiv w:val="1"/>
      <w:marLeft w:val="0"/>
      <w:marRight w:val="0"/>
      <w:marTop w:val="0"/>
      <w:marBottom w:val="0"/>
      <w:divBdr>
        <w:top w:val="none" w:sz="0" w:space="0" w:color="auto"/>
        <w:left w:val="none" w:sz="0" w:space="0" w:color="auto"/>
        <w:bottom w:val="none" w:sz="0" w:space="0" w:color="auto"/>
        <w:right w:val="none" w:sz="0" w:space="0" w:color="auto"/>
      </w:divBdr>
      <w:divsChild>
        <w:div w:id="715007720">
          <w:marLeft w:val="480"/>
          <w:marRight w:val="0"/>
          <w:marTop w:val="0"/>
          <w:marBottom w:val="0"/>
          <w:divBdr>
            <w:top w:val="none" w:sz="0" w:space="0" w:color="auto"/>
            <w:left w:val="none" w:sz="0" w:space="0" w:color="auto"/>
            <w:bottom w:val="none" w:sz="0" w:space="0" w:color="auto"/>
            <w:right w:val="none" w:sz="0" w:space="0" w:color="auto"/>
          </w:divBdr>
          <w:divsChild>
            <w:div w:id="17146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19002">
      <w:bodyDiv w:val="1"/>
      <w:marLeft w:val="0"/>
      <w:marRight w:val="0"/>
      <w:marTop w:val="0"/>
      <w:marBottom w:val="0"/>
      <w:divBdr>
        <w:top w:val="none" w:sz="0" w:space="0" w:color="auto"/>
        <w:left w:val="none" w:sz="0" w:space="0" w:color="auto"/>
        <w:bottom w:val="none" w:sz="0" w:space="0" w:color="auto"/>
        <w:right w:val="none" w:sz="0" w:space="0" w:color="auto"/>
      </w:divBdr>
      <w:divsChild>
        <w:div w:id="96600389">
          <w:marLeft w:val="480"/>
          <w:marRight w:val="0"/>
          <w:marTop w:val="0"/>
          <w:marBottom w:val="0"/>
          <w:divBdr>
            <w:top w:val="none" w:sz="0" w:space="0" w:color="auto"/>
            <w:left w:val="none" w:sz="0" w:space="0" w:color="auto"/>
            <w:bottom w:val="none" w:sz="0" w:space="0" w:color="auto"/>
            <w:right w:val="none" w:sz="0" w:space="0" w:color="auto"/>
          </w:divBdr>
          <w:divsChild>
            <w:div w:id="12439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0971">
      <w:bodyDiv w:val="1"/>
      <w:marLeft w:val="0"/>
      <w:marRight w:val="0"/>
      <w:marTop w:val="0"/>
      <w:marBottom w:val="0"/>
      <w:divBdr>
        <w:top w:val="none" w:sz="0" w:space="0" w:color="auto"/>
        <w:left w:val="none" w:sz="0" w:space="0" w:color="auto"/>
        <w:bottom w:val="none" w:sz="0" w:space="0" w:color="auto"/>
        <w:right w:val="none" w:sz="0" w:space="0" w:color="auto"/>
      </w:divBdr>
    </w:div>
    <w:div w:id="899100434">
      <w:bodyDiv w:val="1"/>
      <w:marLeft w:val="0"/>
      <w:marRight w:val="0"/>
      <w:marTop w:val="0"/>
      <w:marBottom w:val="0"/>
      <w:divBdr>
        <w:top w:val="none" w:sz="0" w:space="0" w:color="auto"/>
        <w:left w:val="none" w:sz="0" w:space="0" w:color="auto"/>
        <w:bottom w:val="none" w:sz="0" w:space="0" w:color="auto"/>
        <w:right w:val="none" w:sz="0" w:space="0" w:color="auto"/>
      </w:divBdr>
    </w:div>
    <w:div w:id="919093940">
      <w:bodyDiv w:val="1"/>
      <w:marLeft w:val="0"/>
      <w:marRight w:val="0"/>
      <w:marTop w:val="0"/>
      <w:marBottom w:val="0"/>
      <w:divBdr>
        <w:top w:val="none" w:sz="0" w:space="0" w:color="auto"/>
        <w:left w:val="none" w:sz="0" w:space="0" w:color="auto"/>
        <w:bottom w:val="none" w:sz="0" w:space="0" w:color="auto"/>
        <w:right w:val="none" w:sz="0" w:space="0" w:color="auto"/>
      </w:divBdr>
      <w:divsChild>
        <w:div w:id="473058778">
          <w:marLeft w:val="480"/>
          <w:marRight w:val="0"/>
          <w:marTop w:val="0"/>
          <w:marBottom w:val="0"/>
          <w:divBdr>
            <w:top w:val="none" w:sz="0" w:space="0" w:color="auto"/>
            <w:left w:val="none" w:sz="0" w:space="0" w:color="auto"/>
            <w:bottom w:val="none" w:sz="0" w:space="0" w:color="auto"/>
            <w:right w:val="none" w:sz="0" w:space="0" w:color="auto"/>
          </w:divBdr>
          <w:divsChild>
            <w:div w:id="19408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7008">
      <w:bodyDiv w:val="1"/>
      <w:marLeft w:val="0"/>
      <w:marRight w:val="0"/>
      <w:marTop w:val="0"/>
      <w:marBottom w:val="0"/>
      <w:divBdr>
        <w:top w:val="none" w:sz="0" w:space="0" w:color="auto"/>
        <w:left w:val="none" w:sz="0" w:space="0" w:color="auto"/>
        <w:bottom w:val="none" w:sz="0" w:space="0" w:color="auto"/>
        <w:right w:val="none" w:sz="0" w:space="0" w:color="auto"/>
      </w:divBdr>
      <w:divsChild>
        <w:div w:id="412239762">
          <w:marLeft w:val="480"/>
          <w:marRight w:val="0"/>
          <w:marTop w:val="0"/>
          <w:marBottom w:val="0"/>
          <w:divBdr>
            <w:top w:val="none" w:sz="0" w:space="0" w:color="auto"/>
            <w:left w:val="none" w:sz="0" w:space="0" w:color="auto"/>
            <w:bottom w:val="none" w:sz="0" w:space="0" w:color="auto"/>
            <w:right w:val="none" w:sz="0" w:space="0" w:color="auto"/>
          </w:divBdr>
          <w:divsChild>
            <w:div w:id="1052463916">
              <w:marLeft w:val="0"/>
              <w:marRight w:val="0"/>
              <w:marTop w:val="0"/>
              <w:marBottom w:val="0"/>
              <w:divBdr>
                <w:top w:val="none" w:sz="0" w:space="0" w:color="auto"/>
                <w:left w:val="none" w:sz="0" w:space="0" w:color="auto"/>
                <w:bottom w:val="none" w:sz="0" w:space="0" w:color="auto"/>
                <w:right w:val="none" w:sz="0" w:space="0" w:color="auto"/>
              </w:divBdr>
            </w:div>
            <w:div w:id="1735154758">
              <w:marLeft w:val="0"/>
              <w:marRight w:val="0"/>
              <w:marTop w:val="0"/>
              <w:marBottom w:val="0"/>
              <w:divBdr>
                <w:top w:val="none" w:sz="0" w:space="0" w:color="auto"/>
                <w:left w:val="none" w:sz="0" w:space="0" w:color="auto"/>
                <w:bottom w:val="none" w:sz="0" w:space="0" w:color="auto"/>
                <w:right w:val="none" w:sz="0" w:space="0" w:color="auto"/>
              </w:divBdr>
            </w:div>
            <w:div w:id="73747681">
              <w:marLeft w:val="0"/>
              <w:marRight w:val="0"/>
              <w:marTop w:val="0"/>
              <w:marBottom w:val="0"/>
              <w:divBdr>
                <w:top w:val="none" w:sz="0" w:space="0" w:color="auto"/>
                <w:left w:val="none" w:sz="0" w:space="0" w:color="auto"/>
                <w:bottom w:val="none" w:sz="0" w:space="0" w:color="auto"/>
                <w:right w:val="none" w:sz="0" w:space="0" w:color="auto"/>
              </w:divBdr>
            </w:div>
            <w:div w:id="2012371868">
              <w:marLeft w:val="0"/>
              <w:marRight w:val="0"/>
              <w:marTop w:val="0"/>
              <w:marBottom w:val="0"/>
              <w:divBdr>
                <w:top w:val="none" w:sz="0" w:space="0" w:color="auto"/>
                <w:left w:val="none" w:sz="0" w:space="0" w:color="auto"/>
                <w:bottom w:val="none" w:sz="0" w:space="0" w:color="auto"/>
                <w:right w:val="none" w:sz="0" w:space="0" w:color="auto"/>
              </w:divBdr>
            </w:div>
            <w:div w:id="534737340">
              <w:marLeft w:val="0"/>
              <w:marRight w:val="0"/>
              <w:marTop w:val="0"/>
              <w:marBottom w:val="0"/>
              <w:divBdr>
                <w:top w:val="none" w:sz="0" w:space="0" w:color="auto"/>
                <w:left w:val="none" w:sz="0" w:space="0" w:color="auto"/>
                <w:bottom w:val="none" w:sz="0" w:space="0" w:color="auto"/>
                <w:right w:val="none" w:sz="0" w:space="0" w:color="auto"/>
              </w:divBdr>
            </w:div>
            <w:div w:id="1733194412">
              <w:marLeft w:val="0"/>
              <w:marRight w:val="0"/>
              <w:marTop w:val="0"/>
              <w:marBottom w:val="0"/>
              <w:divBdr>
                <w:top w:val="none" w:sz="0" w:space="0" w:color="auto"/>
                <w:left w:val="none" w:sz="0" w:space="0" w:color="auto"/>
                <w:bottom w:val="none" w:sz="0" w:space="0" w:color="auto"/>
                <w:right w:val="none" w:sz="0" w:space="0" w:color="auto"/>
              </w:divBdr>
            </w:div>
            <w:div w:id="1682664963">
              <w:marLeft w:val="0"/>
              <w:marRight w:val="0"/>
              <w:marTop w:val="0"/>
              <w:marBottom w:val="0"/>
              <w:divBdr>
                <w:top w:val="none" w:sz="0" w:space="0" w:color="auto"/>
                <w:left w:val="none" w:sz="0" w:space="0" w:color="auto"/>
                <w:bottom w:val="none" w:sz="0" w:space="0" w:color="auto"/>
                <w:right w:val="none" w:sz="0" w:space="0" w:color="auto"/>
              </w:divBdr>
            </w:div>
            <w:div w:id="342050500">
              <w:marLeft w:val="0"/>
              <w:marRight w:val="0"/>
              <w:marTop w:val="0"/>
              <w:marBottom w:val="0"/>
              <w:divBdr>
                <w:top w:val="none" w:sz="0" w:space="0" w:color="auto"/>
                <w:left w:val="none" w:sz="0" w:space="0" w:color="auto"/>
                <w:bottom w:val="none" w:sz="0" w:space="0" w:color="auto"/>
                <w:right w:val="none" w:sz="0" w:space="0" w:color="auto"/>
              </w:divBdr>
            </w:div>
            <w:div w:id="1765373628">
              <w:marLeft w:val="0"/>
              <w:marRight w:val="0"/>
              <w:marTop w:val="0"/>
              <w:marBottom w:val="0"/>
              <w:divBdr>
                <w:top w:val="none" w:sz="0" w:space="0" w:color="auto"/>
                <w:left w:val="none" w:sz="0" w:space="0" w:color="auto"/>
                <w:bottom w:val="none" w:sz="0" w:space="0" w:color="auto"/>
                <w:right w:val="none" w:sz="0" w:space="0" w:color="auto"/>
              </w:divBdr>
            </w:div>
            <w:div w:id="1085036135">
              <w:marLeft w:val="0"/>
              <w:marRight w:val="0"/>
              <w:marTop w:val="0"/>
              <w:marBottom w:val="0"/>
              <w:divBdr>
                <w:top w:val="none" w:sz="0" w:space="0" w:color="auto"/>
                <w:left w:val="none" w:sz="0" w:space="0" w:color="auto"/>
                <w:bottom w:val="none" w:sz="0" w:space="0" w:color="auto"/>
                <w:right w:val="none" w:sz="0" w:space="0" w:color="auto"/>
              </w:divBdr>
            </w:div>
            <w:div w:id="1069116521">
              <w:marLeft w:val="0"/>
              <w:marRight w:val="0"/>
              <w:marTop w:val="0"/>
              <w:marBottom w:val="0"/>
              <w:divBdr>
                <w:top w:val="none" w:sz="0" w:space="0" w:color="auto"/>
                <w:left w:val="none" w:sz="0" w:space="0" w:color="auto"/>
                <w:bottom w:val="none" w:sz="0" w:space="0" w:color="auto"/>
                <w:right w:val="none" w:sz="0" w:space="0" w:color="auto"/>
              </w:divBdr>
            </w:div>
            <w:div w:id="547230773">
              <w:marLeft w:val="0"/>
              <w:marRight w:val="0"/>
              <w:marTop w:val="0"/>
              <w:marBottom w:val="0"/>
              <w:divBdr>
                <w:top w:val="none" w:sz="0" w:space="0" w:color="auto"/>
                <w:left w:val="none" w:sz="0" w:space="0" w:color="auto"/>
                <w:bottom w:val="none" w:sz="0" w:space="0" w:color="auto"/>
                <w:right w:val="none" w:sz="0" w:space="0" w:color="auto"/>
              </w:divBdr>
            </w:div>
            <w:div w:id="1024987549">
              <w:marLeft w:val="0"/>
              <w:marRight w:val="0"/>
              <w:marTop w:val="0"/>
              <w:marBottom w:val="0"/>
              <w:divBdr>
                <w:top w:val="none" w:sz="0" w:space="0" w:color="auto"/>
                <w:left w:val="none" w:sz="0" w:space="0" w:color="auto"/>
                <w:bottom w:val="none" w:sz="0" w:space="0" w:color="auto"/>
                <w:right w:val="none" w:sz="0" w:space="0" w:color="auto"/>
              </w:divBdr>
            </w:div>
            <w:div w:id="1201551177">
              <w:marLeft w:val="0"/>
              <w:marRight w:val="0"/>
              <w:marTop w:val="0"/>
              <w:marBottom w:val="0"/>
              <w:divBdr>
                <w:top w:val="none" w:sz="0" w:space="0" w:color="auto"/>
                <w:left w:val="none" w:sz="0" w:space="0" w:color="auto"/>
                <w:bottom w:val="none" w:sz="0" w:space="0" w:color="auto"/>
                <w:right w:val="none" w:sz="0" w:space="0" w:color="auto"/>
              </w:divBdr>
            </w:div>
            <w:div w:id="96485362">
              <w:marLeft w:val="0"/>
              <w:marRight w:val="0"/>
              <w:marTop w:val="0"/>
              <w:marBottom w:val="0"/>
              <w:divBdr>
                <w:top w:val="none" w:sz="0" w:space="0" w:color="auto"/>
                <w:left w:val="none" w:sz="0" w:space="0" w:color="auto"/>
                <w:bottom w:val="none" w:sz="0" w:space="0" w:color="auto"/>
                <w:right w:val="none" w:sz="0" w:space="0" w:color="auto"/>
              </w:divBdr>
            </w:div>
            <w:div w:id="1145589771">
              <w:marLeft w:val="0"/>
              <w:marRight w:val="0"/>
              <w:marTop w:val="0"/>
              <w:marBottom w:val="0"/>
              <w:divBdr>
                <w:top w:val="none" w:sz="0" w:space="0" w:color="auto"/>
                <w:left w:val="none" w:sz="0" w:space="0" w:color="auto"/>
                <w:bottom w:val="none" w:sz="0" w:space="0" w:color="auto"/>
                <w:right w:val="none" w:sz="0" w:space="0" w:color="auto"/>
              </w:divBdr>
            </w:div>
            <w:div w:id="1363214930">
              <w:marLeft w:val="0"/>
              <w:marRight w:val="0"/>
              <w:marTop w:val="0"/>
              <w:marBottom w:val="0"/>
              <w:divBdr>
                <w:top w:val="none" w:sz="0" w:space="0" w:color="auto"/>
                <w:left w:val="none" w:sz="0" w:space="0" w:color="auto"/>
                <w:bottom w:val="none" w:sz="0" w:space="0" w:color="auto"/>
                <w:right w:val="none" w:sz="0" w:space="0" w:color="auto"/>
              </w:divBdr>
            </w:div>
            <w:div w:id="215701656">
              <w:marLeft w:val="0"/>
              <w:marRight w:val="0"/>
              <w:marTop w:val="0"/>
              <w:marBottom w:val="0"/>
              <w:divBdr>
                <w:top w:val="none" w:sz="0" w:space="0" w:color="auto"/>
                <w:left w:val="none" w:sz="0" w:space="0" w:color="auto"/>
                <w:bottom w:val="none" w:sz="0" w:space="0" w:color="auto"/>
                <w:right w:val="none" w:sz="0" w:space="0" w:color="auto"/>
              </w:divBdr>
            </w:div>
            <w:div w:id="1676034819">
              <w:marLeft w:val="0"/>
              <w:marRight w:val="0"/>
              <w:marTop w:val="0"/>
              <w:marBottom w:val="0"/>
              <w:divBdr>
                <w:top w:val="none" w:sz="0" w:space="0" w:color="auto"/>
                <w:left w:val="none" w:sz="0" w:space="0" w:color="auto"/>
                <w:bottom w:val="none" w:sz="0" w:space="0" w:color="auto"/>
                <w:right w:val="none" w:sz="0" w:space="0" w:color="auto"/>
              </w:divBdr>
            </w:div>
            <w:div w:id="1917008969">
              <w:marLeft w:val="0"/>
              <w:marRight w:val="0"/>
              <w:marTop w:val="0"/>
              <w:marBottom w:val="0"/>
              <w:divBdr>
                <w:top w:val="none" w:sz="0" w:space="0" w:color="auto"/>
                <w:left w:val="none" w:sz="0" w:space="0" w:color="auto"/>
                <w:bottom w:val="none" w:sz="0" w:space="0" w:color="auto"/>
                <w:right w:val="none" w:sz="0" w:space="0" w:color="auto"/>
              </w:divBdr>
            </w:div>
            <w:div w:id="1131167548">
              <w:marLeft w:val="0"/>
              <w:marRight w:val="0"/>
              <w:marTop w:val="0"/>
              <w:marBottom w:val="0"/>
              <w:divBdr>
                <w:top w:val="none" w:sz="0" w:space="0" w:color="auto"/>
                <w:left w:val="none" w:sz="0" w:space="0" w:color="auto"/>
                <w:bottom w:val="none" w:sz="0" w:space="0" w:color="auto"/>
                <w:right w:val="none" w:sz="0" w:space="0" w:color="auto"/>
              </w:divBdr>
            </w:div>
            <w:div w:id="2045129356">
              <w:marLeft w:val="0"/>
              <w:marRight w:val="0"/>
              <w:marTop w:val="0"/>
              <w:marBottom w:val="0"/>
              <w:divBdr>
                <w:top w:val="none" w:sz="0" w:space="0" w:color="auto"/>
                <w:left w:val="none" w:sz="0" w:space="0" w:color="auto"/>
                <w:bottom w:val="none" w:sz="0" w:space="0" w:color="auto"/>
                <w:right w:val="none" w:sz="0" w:space="0" w:color="auto"/>
              </w:divBdr>
            </w:div>
            <w:div w:id="880821734">
              <w:marLeft w:val="0"/>
              <w:marRight w:val="0"/>
              <w:marTop w:val="0"/>
              <w:marBottom w:val="0"/>
              <w:divBdr>
                <w:top w:val="none" w:sz="0" w:space="0" w:color="auto"/>
                <w:left w:val="none" w:sz="0" w:space="0" w:color="auto"/>
                <w:bottom w:val="none" w:sz="0" w:space="0" w:color="auto"/>
                <w:right w:val="none" w:sz="0" w:space="0" w:color="auto"/>
              </w:divBdr>
            </w:div>
            <w:div w:id="371996985">
              <w:marLeft w:val="0"/>
              <w:marRight w:val="0"/>
              <w:marTop w:val="0"/>
              <w:marBottom w:val="0"/>
              <w:divBdr>
                <w:top w:val="none" w:sz="0" w:space="0" w:color="auto"/>
                <w:left w:val="none" w:sz="0" w:space="0" w:color="auto"/>
                <w:bottom w:val="none" w:sz="0" w:space="0" w:color="auto"/>
                <w:right w:val="none" w:sz="0" w:space="0" w:color="auto"/>
              </w:divBdr>
            </w:div>
            <w:div w:id="1646396873">
              <w:marLeft w:val="0"/>
              <w:marRight w:val="0"/>
              <w:marTop w:val="0"/>
              <w:marBottom w:val="0"/>
              <w:divBdr>
                <w:top w:val="none" w:sz="0" w:space="0" w:color="auto"/>
                <w:left w:val="none" w:sz="0" w:space="0" w:color="auto"/>
                <w:bottom w:val="none" w:sz="0" w:space="0" w:color="auto"/>
                <w:right w:val="none" w:sz="0" w:space="0" w:color="auto"/>
              </w:divBdr>
            </w:div>
            <w:div w:id="1945110952">
              <w:marLeft w:val="0"/>
              <w:marRight w:val="0"/>
              <w:marTop w:val="0"/>
              <w:marBottom w:val="0"/>
              <w:divBdr>
                <w:top w:val="none" w:sz="0" w:space="0" w:color="auto"/>
                <w:left w:val="none" w:sz="0" w:space="0" w:color="auto"/>
                <w:bottom w:val="none" w:sz="0" w:space="0" w:color="auto"/>
                <w:right w:val="none" w:sz="0" w:space="0" w:color="auto"/>
              </w:divBdr>
            </w:div>
            <w:div w:id="2063669810">
              <w:marLeft w:val="0"/>
              <w:marRight w:val="0"/>
              <w:marTop w:val="0"/>
              <w:marBottom w:val="0"/>
              <w:divBdr>
                <w:top w:val="none" w:sz="0" w:space="0" w:color="auto"/>
                <w:left w:val="none" w:sz="0" w:space="0" w:color="auto"/>
                <w:bottom w:val="none" w:sz="0" w:space="0" w:color="auto"/>
                <w:right w:val="none" w:sz="0" w:space="0" w:color="auto"/>
              </w:divBdr>
            </w:div>
            <w:div w:id="277874952">
              <w:marLeft w:val="0"/>
              <w:marRight w:val="0"/>
              <w:marTop w:val="0"/>
              <w:marBottom w:val="0"/>
              <w:divBdr>
                <w:top w:val="none" w:sz="0" w:space="0" w:color="auto"/>
                <w:left w:val="none" w:sz="0" w:space="0" w:color="auto"/>
                <w:bottom w:val="none" w:sz="0" w:space="0" w:color="auto"/>
                <w:right w:val="none" w:sz="0" w:space="0" w:color="auto"/>
              </w:divBdr>
            </w:div>
            <w:div w:id="2008750667">
              <w:marLeft w:val="0"/>
              <w:marRight w:val="0"/>
              <w:marTop w:val="0"/>
              <w:marBottom w:val="0"/>
              <w:divBdr>
                <w:top w:val="none" w:sz="0" w:space="0" w:color="auto"/>
                <w:left w:val="none" w:sz="0" w:space="0" w:color="auto"/>
                <w:bottom w:val="none" w:sz="0" w:space="0" w:color="auto"/>
                <w:right w:val="none" w:sz="0" w:space="0" w:color="auto"/>
              </w:divBdr>
            </w:div>
            <w:div w:id="1083604664">
              <w:marLeft w:val="0"/>
              <w:marRight w:val="0"/>
              <w:marTop w:val="0"/>
              <w:marBottom w:val="0"/>
              <w:divBdr>
                <w:top w:val="none" w:sz="0" w:space="0" w:color="auto"/>
                <w:left w:val="none" w:sz="0" w:space="0" w:color="auto"/>
                <w:bottom w:val="none" w:sz="0" w:space="0" w:color="auto"/>
                <w:right w:val="none" w:sz="0" w:space="0" w:color="auto"/>
              </w:divBdr>
            </w:div>
            <w:div w:id="1998806195">
              <w:marLeft w:val="0"/>
              <w:marRight w:val="0"/>
              <w:marTop w:val="0"/>
              <w:marBottom w:val="0"/>
              <w:divBdr>
                <w:top w:val="none" w:sz="0" w:space="0" w:color="auto"/>
                <w:left w:val="none" w:sz="0" w:space="0" w:color="auto"/>
                <w:bottom w:val="none" w:sz="0" w:space="0" w:color="auto"/>
                <w:right w:val="none" w:sz="0" w:space="0" w:color="auto"/>
              </w:divBdr>
            </w:div>
            <w:div w:id="1543860221">
              <w:marLeft w:val="0"/>
              <w:marRight w:val="0"/>
              <w:marTop w:val="0"/>
              <w:marBottom w:val="0"/>
              <w:divBdr>
                <w:top w:val="none" w:sz="0" w:space="0" w:color="auto"/>
                <w:left w:val="none" w:sz="0" w:space="0" w:color="auto"/>
                <w:bottom w:val="none" w:sz="0" w:space="0" w:color="auto"/>
                <w:right w:val="none" w:sz="0" w:space="0" w:color="auto"/>
              </w:divBdr>
            </w:div>
            <w:div w:id="1599949642">
              <w:marLeft w:val="0"/>
              <w:marRight w:val="0"/>
              <w:marTop w:val="0"/>
              <w:marBottom w:val="0"/>
              <w:divBdr>
                <w:top w:val="none" w:sz="0" w:space="0" w:color="auto"/>
                <w:left w:val="none" w:sz="0" w:space="0" w:color="auto"/>
                <w:bottom w:val="none" w:sz="0" w:space="0" w:color="auto"/>
                <w:right w:val="none" w:sz="0" w:space="0" w:color="auto"/>
              </w:divBdr>
            </w:div>
            <w:div w:id="1950775812">
              <w:marLeft w:val="0"/>
              <w:marRight w:val="0"/>
              <w:marTop w:val="0"/>
              <w:marBottom w:val="0"/>
              <w:divBdr>
                <w:top w:val="none" w:sz="0" w:space="0" w:color="auto"/>
                <w:left w:val="none" w:sz="0" w:space="0" w:color="auto"/>
                <w:bottom w:val="none" w:sz="0" w:space="0" w:color="auto"/>
                <w:right w:val="none" w:sz="0" w:space="0" w:color="auto"/>
              </w:divBdr>
            </w:div>
            <w:div w:id="265699323">
              <w:marLeft w:val="0"/>
              <w:marRight w:val="0"/>
              <w:marTop w:val="0"/>
              <w:marBottom w:val="0"/>
              <w:divBdr>
                <w:top w:val="none" w:sz="0" w:space="0" w:color="auto"/>
                <w:left w:val="none" w:sz="0" w:space="0" w:color="auto"/>
                <w:bottom w:val="none" w:sz="0" w:space="0" w:color="auto"/>
                <w:right w:val="none" w:sz="0" w:space="0" w:color="auto"/>
              </w:divBdr>
            </w:div>
            <w:div w:id="1430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4157">
      <w:bodyDiv w:val="1"/>
      <w:marLeft w:val="0"/>
      <w:marRight w:val="0"/>
      <w:marTop w:val="0"/>
      <w:marBottom w:val="0"/>
      <w:divBdr>
        <w:top w:val="none" w:sz="0" w:space="0" w:color="auto"/>
        <w:left w:val="none" w:sz="0" w:space="0" w:color="auto"/>
        <w:bottom w:val="none" w:sz="0" w:space="0" w:color="auto"/>
        <w:right w:val="none" w:sz="0" w:space="0" w:color="auto"/>
      </w:divBdr>
    </w:div>
    <w:div w:id="1448280130">
      <w:bodyDiv w:val="1"/>
      <w:marLeft w:val="0"/>
      <w:marRight w:val="0"/>
      <w:marTop w:val="0"/>
      <w:marBottom w:val="0"/>
      <w:divBdr>
        <w:top w:val="none" w:sz="0" w:space="0" w:color="auto"/>
        <w:left w:val="none" w:sz="0" w:space="0" w:color="auto"/>
        <w:bottom w:val="none" w:sz="0" w:space="0" w:color="auto"/>
        <w:right w:val="none" w:sz="0" w:space="0" w:color="auto"/>
      </w:divBdr>
    </w:div>
    <w:div w:id="1841969478">
      <w:bodyDiv w:val="1"/>
      <w:marLeft w:val="0"/>
      <w:marRight w:val="0"/>
      <w:marTop w:val="0"/>
      <w:marBottom w:val="0"/>
      <w:divBdr>
        <w:top w:val="none" w:sz="0" w:space="0" w:color="auto"/>
        <w:left w:val="none" w:sz="0" w:space="0" w:color="auto"/>
        <w:bottom w:val="none" w:sz="0" w:space="0" w:color="auto"/>
        <w:right w:val="none" w:sz="0" w:space="0" w:color="auto"/>
      </w:divBdr>
    </w:div>
    <w:div w:id="2061905035">
      <w:bodyDiv w:val="1"/>
      <w:marLeft w:val="0"/>
      <w:marRight w:val="0"/>
      <w:marTop w:val="0"/>
      <w:marBottom w:val="0"/>
      <w:divBdr>
        <w:top w:val="none" w:sz="0" w:space="0" w:color="auto"/>
        <w:left w:val="none" w:sz="0" w:space="0" w:color="auto"/>
        <w:bottom w:val="none" w:sz="0" w:space="0" w:color="auto"/>
        <w:right w:val="none" w:sz="0" w:space="0" w:color="auto"/>
      </w:divBdr>
      <w:divsChild>
        <w:div w:id="1794134025">
          <w:marLeft w:val="480"/>
          <w:marRight w:val="0"/>
          <w:marTop w:val="0"/>
          <w:marBottom w:val="0"/>
          <w:divBdr>
            <w:top w:val="none" w:sz="0" w:space="0" w:color="auto"/>
            <w:left w:val="none" w:sz="0" w:space="0" w:color="auto"/>
            <w:bottom w:val="none" w:sz="0" w:space="0" w:color="auto"/>
            <w:right w:val="none" w:sz="0" w:space="0" w:color="auto"/>
          </w:divBdr>
          <w:divsChild>
            <w:div w:id="981887265">
              <w:marLeft w:val="0"/>
              <w:marRight w:val="0"/>
              <w:marTop w:val="0"/>
              <w:marBottom w:val="0"/>
              <w:divBdr>
                <w:top w:val="none" w:sz="0" w:space="0" w:color="auto"/>
                <w:left w:val="none" w:sz="0" w:space="0" w:color="auto"/>
                <w:bottom w:val="none" w:sz="0" w:space="0" w:color="auto"/>
                <w:right w:val="none" w:sz="0" w:space="0" w:color="auto"/>
              </w:divBdr>
            </w:div>
            <w:div w:id="1283927263">
              <w:marLeft w:val="0"/>
              <w:marRight w:val="0"/>
              <w:marTop w:val="0"/>
              <w:marBottom w:val="0"/>
              <w:divBdr>
                <w:top w:val="none" w:sz="0" w:space="0" w:color="auto"/>
                <w:left w:val="none" w:sz="0" w:space="0" w:color="auto"/>
                <w:bottom w:val="none" w:sz="0" w:space="0" w:color="auto"/>
                <w:right w:val="none" w:sz="0" w:space="0" w:color="auto"/>
              </w:divBdr>
            </w:div>
            <w:div w:id="111290147">
              <w:marLeft w:val="0"/>
              <w:marRight w:val="0"/>
              <w:marTop w:val="0"/>
              <w:marBottom w:val="0"/>
              <w:divBdr>
                <w:top w:val="none" w:sz="0" w:space="0" w:color="auto"/>
                <w:left w:val="none" w:sz="0" w:space="0" w:color="auto"/>
                <w:bottom w:val="none" w:sz="0" w:space="0" w:color="auto"/>
                <w:right w:val="none" w:sz="0" w:space="0" w:color="auto"/>
              </w:divBdr>
            </w:div>
            <w:div w:id="97988958">
              <w:marLeft w:val="0"/>
              <w:marRight w:val="0"/>
              <w:marTop w:val="0"/>
              <w:marBottom w:val="0"/>
              <w:divBdr>
                <w:top w:val="none" w:sz="0" w:space="0" w:color="auto"/>
                <w:left w:val="none" w:sz="0" w:space="0" w:color="auto"/>
                <w:bottom w:val="none" w:sz="0" w:space="0" w:color="auto"/>
                <w:right w:val="none" w:sz="0" w:space="0" w:color="auto"/>
              </w:divBdr>
            </w:div>
            <w:div w:id="2113889072">
              <w:marLeft w:val="0"/>
              <w:marRight w:val="0"/>
              <w:marTop w:val="0"/>
              <w:marBottom w:val="0"/>
              <w:divBdr>
                <w:top w:val="none" w:sz="0" w:space="0" w:color="auto"/>
                <w:left w:val="none" w:sz="0" w:space="0" w:color="auto"/>
                <w:bottom w:val="none" w:sz="0" w:space="0" w:color="auto"/>
                <w:right w:val="none" w:sz="0" w:space="0" w:color="auto"/>
              </w:divBdr>
            </w:div>
            <w:div w:id="10791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57/s41599-023-01590-5" TargetMode="External"/><Relationship Id="rId21" Type="http://schemas.openxmlformats.org/officeDocument/2006/relationships/hyperlink" Target="https://doi.org/10.1016/j.euroecorev.2020.103386" TargetMode="External"/><Relationship Id="rId34" Type="http://schemas.openxmlformats.org/officeDocument/2006/relationships/hyperlink" Target="https://doi.org/10.1007/s11698-019-00200-2" TargetMode="External"/><Relationship Id="rId42" Type="http://schemas.openxmlformats.org/officeDocument/2006/relationships/hyperlink" Target="https://doi.org/10.3316/informit.028894070857786" TargetMode="External"/><Relationship Id="rId47" Type="http://schemas.openxmlformats.org/officeDocument/2006/relationships/hyperlink" Target="https://doi.org/10.1787/903c19c9-en" TargetMode="External"/><Relationship Id="rId50" Type="http://schemas.openxmlformats.org/officeDocument/2006/relationships/hyperlink" Target="https://doi.org/10.1111/irj.12136" TargetMode="External"/><Relationship Id="rId55" Type="http://schemas.openxmlformats.org/officeDocument/2006/relationships/hyperlink" Target="https://doi.org/10.2139/ssrn.4406591" TargetMode="External"/><Relationship Id="rId63" Type="http://schemas.openxmlformats.org/officeDocument/2006/relationships/hyperlink" Target="https://doi.org/10.48529/7691-NF41"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86/w31570" TargetMode="External"/><Relationship Id="rId29" Type="http://schemas.openxmlformats.org/officeDocument/2006/relationships/hyperlink" Target="https://doi.org/10.3390/su132212763" TargetMode="External"/><Relationship Id="rId11" Type="http://schemas.openxmlformats.org/officeDocument/2006/relationships/hyperlink" Target="https://doi.org/10.3386/w30659" TargetMode="External"/><Relationship Id="rId24" Type="http://schemas.openxmlformats.org/officeDocument/2006/relationships/hyperlink" Target="https://doi.org/10.17016/feds.2021.068" TargetMode="External"/><Relationship Id="rId32" Type="http://schemas.openxmlformats.org/officeDocument/2006/relationships/hyperlink" Target="https://doi.org/10.3386/w28344" TargetMode="External"/><Relationship Id="rId37" Type="http://schemas.openxmlformats.org/officeDocument/2006/relationships/hyperlink" Target="https://doi.org/10.1016/j.econmod.2021.02.011" TargetMode="External"/><Relationship Id="rId40" Type="http://schemas.openxmlformats.org/officeDocument/2006/relationships/hyperlink" Target="https://doi.org/10.1080/2157930X.2020.1858612" TargetMode="External"/><Relationship Id="rId45" Type="http://schemas.openxmlformats.org/officeDocument/2006/relationships/hyperlink" Target="https://doi.org/10.1257/aer.20162002" TargetMode="External"/><Relationship Id="rId53" Type="http://schemas.openxmlformats.org/officeDocument/2006/relationships/hyperlink" Target="https://doi.org/10.1177/14779714221145863" TargetMode="External"/><Relationship Id="rId58" Type="http://schemas.openxmlformats.org/officeDocument/2006/relationships/hyperlink" Target="https://doi.org/10.1177/0149206317739959"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oi.org/10.13189/ujm.2019.070402" TargetMode="External"/><Relationship Id="rId19" Type="http://schemas.openxmlformats.org/officeDocument/2006/relationships/hyperlink" Target="https://doi.org/10.1007/978-3-319-57365-6_382-1" TargetMode="External"/><Relationship Id="rId14" Type="http://schemas.openxmlformats.org/officeDocument/2006/relationships/hyperlink" Target="https://doi.org/10.1093/oso/9780192894311.001.0001" TargetMode="External"/><Relationship Id="rId22" Type="http://schemas.openxmlformats.org/officeDocument/2006/relationships/hyperlink" Target="https://doi.org/10.1111/joes.12424" TargetMode="External"/><Relationship Id="rId27" Type="http://schemas.openxmlformats.org/officeDocument/2006/relationships/hyperlink" Target="https://doi.org/10.31235/osf.io/wamxs" TargetMode="External"/><Relationship Id="rId30" Type="http://schemas.openxmlformats.org/officeDocument/2006/relationships/hyperlink" Target="https://doi.org/10.1016/j.labeco.2020.101928" TargetMode="External"/><Relationship Id="rId35" Type="http://schemas.openxmlformats.org/officeDocument/2006/relationships/hyperlink" Target="https://doi.org/10.1007/978-3-658-41794-9_2" TargetMode="External"/><Relationship Id="rId43" Type="http://schemas.openxmlformats.org/officeDocument/2006/relationships/hyperlink" Target="https://doi.org/10.1007/978-3-030-50244-7_18" TargetMode="External"/><Relationship Id="rId48" Type="http://schemas.openxmlformats.org/officeDocument/2006/relationships/hyperlink" Target="https://doi.org/10.1371/journal.pone.0276755" TargetMode="External"/><Relationship Id="rId56" Type="http://schemas.openxmlformats.org/officeDocument/2006/relationships/hyperlink" Target="https://doi.org/10.1093/oso/9780198821885.001.0001" TargetMode="External"/><Relationship Id="rId64" Type="http://schemas.openxmlformats.org/officeDocument/2006/relationships/hyperlink" Target="https://documents1.worldbank.org/curated/en/225051473859171409/pdf/108249-REVISED-STEPSnapshotWebUpdated.pdf" TargetMode="External"/><Relationship Id="rId8" Type="http://schemas.openxmlformats.org/officeDocument/2006/relationships/image" Target="media/image1.emf"/><Relationship Id="rId51" Type="http://schemas.openxmlformats.org/officeDocument/2006/relationships/hyperlink" Target="https://doi.org/10.4236/aasoci.2022.129033" TargetMode="External"/><Relationship Id="rId3" Type="http://schemas.openxmlformats.org/officeDocument/2006/relationships/styles" Target="styles.xml"/><Relationship Id="rId12" Type="http://schemas.openxmlformats.org/officeDocument/2006/relationships/hyperlink" Target="https://doi.org/10.3982/ECTA15959" TargetMode="External"/><Relationship Id="rId17" Type="http://schemas.openxmlformats.org/officeDocument/2006/relationships/hyperlink" Target="https://doi.org/10.2139/ssrn.3571595" TargetMode="External"/><Relationship Id="rId25" Type="http://schemas.openxmlformats.org/officeDocument/2006/relationships/hyperlink" Target="https://doi.org/10.1257/jep.38.1.221" TargetMode="External"/><Relationship Id="rId33" Type="http://schemas.openxmlformats.org/officeDocument/2006/relationships/hyperlink" Target="https://doi.org/10.3982/ECTA18582" TargetMode="External"/><Relationship Id="rId38" Type="http://schemas.openxmlformats.org/officeDocument/2006/relationships/hyperlink" Target="https://doi.org/10.1016/j.red.2020.10.007" TargetMode="External"/><Relationship Id="rId46" Type="http://schemas.openxmlformats.org/officeDocument/2006/relationships/hyperlink" Target="https://doi.org/10.6036/9427" TargetMode="External"/><Relationship Id="rId59" Type="http://schemas.openxmlformats.org/officeDocument/2006/relationships/hyperlink" Target="https://doi.org/10.1111/j.1468-0084.2006.00162.x" TargetMode="External"/><Relationship Id="rId67" Type="http://schemas.openxmlformats.org/officeDocument/2006/relationships/fontTable" Target="fontTable.xml"/><Relationship Id="rId20" Type="http://schemas.openxmlformats.org/officeDocument/2006/relationships/hyperlink" Target="https://doi.org/10.17016/feds.2021.006" TargetMode="External"/><Relationship Id="rId41" Type="http://schemas.openxmlformats.org/officeDocument/2006/relationships/hyperlink" Target="https://doi.org/10.48550/arXiv.2109.02554" TargetMode="External"/><Relationship Id="rId54" Type="http://schemas.openxmlformats.org/officeDocument/2006/relationships/hyperlink" Target="https://africaportal.org/publication/industries-without-smokestacks-africa-kenya-case-study/" TargetMode="External"/><Relationship Id="rId62" Type="http://schemas.openxmlformats.org/officeDocument/2006/relationships/hyperlink" Target="https://doi.org/10.1016/j.jmoneco.2020.09.0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jbusres.2023.114018" TargetMode="External"/><Relationship Id="rId23" Type="http://schemas.openxmlformats.org/officeDocument/2006/relationships/hyperlink" Target="https://doi.org/10.3386/w25871" TargetMode="External"/><Relationship Id="rId28" Type="http://schemas.openxmlformats.org/officeDocument/2006/relationships/hyperlink" Target="https://doi.org/10.3386/w31572" TargetMode="External"/><Relationship Id="rId36" Type="http://schemas.openxmlformats.org/officeDocument/2006/relationships/hyperlink" Target="https://doi.org/10.1007/s10842-019-00331-2" TargetMode="External"/><Relationship Id="rId49" Type="http://schemas.openxmlformats.org/officeDocument/2006/relationships/hyperlink" Target="https://doi.org/10.2139/ssrn.3513639" TargetMode="External"/><Relationship Id="rId57" Type="http://schemas.openxmlformats.org/officeDocument/2006/relationships/hyperlink" Target="https://doi.org/10.1080/13636820.2022.2029544" TargetMode="External"/><Relationship Id="rId10" Type="http://schemas.openxmlformats.org/officeDocument/2006/relationships/image" Target="media/image3.emf"/><Relationship Id="rId31" Type="http://schemas.openxmlformats.org/officeDocument/2006/relationships/hyperlink" Target="https://doi.org/10.1080/00128775.2020.1870407" TargetMode="External"/><Relationship Id="rId44" Type="http://schemas.openxmlformats.org/officeDocument/2006/relationships/hyperlink" Target="http://www.lse.ac.uk/International-Inequalities" TargetMode="External"/><Relationship Id="rId52" Type="http://schemas.openxmlformats.org/officeDocument/2006/relationships/hyperlink" Target="https://doi.org/10.1177/0308518X19889634" TargetMode="External"/><Relationship Id="rId60" Type="http://schemas.openxmlformats.org/officeDocument/2006/relationships/hyperlink" Target="https://doi.org/10.48550/arXiv.2411.03625" TargetMode="External"/><Relationship Id="rId65" Type="http://schemas.openxmlformats.org/officeDocument/2006/relationships/hyperlink" Target="https://www.tandfonline.com/doi/epdf/10.1080/09613218.2021.1961574?needAccess=true"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s://doi.org/10.1111/1467-8268.12463" TargetMode="External"/><Relationship Id="rId18" Type="http://schemas.openxmlformats.org/officeDocument/2006/relationships/hyperlink" Target="https://doi.org/10.1257/aer.102.7.3574" TargetMode="External"/><Relationship Id="rId39" Type="http://schemas.openxmlformats.org/officeDocument/2006/relationships/hyperlink" Target="https://doi.org/10.1177/001979391772935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karypeters2018@gmail.com" TargetMode="External"/><Relationship Id="rId2" Type="http://schemas.openxmlformats.org/officeDocument/2006/relationships/hyperlink" Target="mailto:mbinyabettym@gmail.com" TargetMode="External"/><Relationship Id="rId1" Type="http://schemas.openxmlformats.org/officeDocument/2006/relationships/hyperlink" Target="mailto:keffasimiy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67D47-4F58-4510-B09C-0BE06203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8876</Words>
  <Characters>50596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Mbinya</dc:creator>
  <cp:keywords/>
  <dc:description/>
  <cp:lastModifiedBy>Kefa Simiyu</cp:lastModifiedBy>
  <cp:revision>2</cp:revision>
  <cp:lastPrinted>2024-05-31T09:11:00Z</cp:lastPrinted>
  <dcterms:created xsi:type="dcterms:W3CDTF">2025-06-07T14:31:00Z</dcterms:created>
  <dcterms:modified xsi:type="dcterms:W3CDTF">2025-06-07T14:31:00Z</dcterms:modified>
</cp:coreProperties>
</file>