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A847" w14:textId="77777777" w:rsidR="002C712A" w:rsidRPr="004779B6" w:rsidRDefault="002C712A" w:rsidP="004779B6">
      <w:pPr>
        <w:jc w:val="both"/>
        <w:rPr>
          <w:rFonts w:asciiTheme="majorHAnsi" w:hAnsiTheme="majorHAnsi" w:cstheme="majorHAnsi"/>
        </w:rPr>
      </w:pPr>
    </w:p>
    <w:p w14:paraId="6E0CEC4C" w14:textId="77777777" w:rsidR="002C712A" w:rsidRPr="004779B6" w:rsidRDefault="002C712A" w:rsidP="004779B6">
      <w:pPr>
        <w:jc w:val="both"/>
        <w:rPr>
          <w:rFonts w:asciiTheme="majorHAnsi" w:hAnsiTheme="majorHAnsi" w:cstheme="majorHAnsi"/>
        </w:rPr>
      </w:pPr>
    </w:p>
    <w:p w14:paraId="13CE51C5" w14:textId="0B05588A" w:rsidR="002C712A" w:rsidRPr="004779B6" w:rsidRDefault="00CF2A1F" w:rsidP="004779B6">
      <w:pPr>
        <w:jc w:val="center"/>
        <w:rPr>
          <w:rFonts w:asciiTheme="majorHAnsi" w:hAnsiTheme="majorHAnsi" w:cstheme="majorHAnsi"/>
        </w:rPr>
      </w:pPr>
      <w:r w:rsidRPr="004779B6">
        <w:rPr>
          <w:rFonts w:asciiTheme="majorHAnsi" w:hAnsiTheme="majorHAnsi" w:cstheme="majorHAnsi"/>
        </w:rPr>
        <w:t>Paving the Path to Sustainability: Green Growth and Innovation in Kenya</w:t>
      </w:r>
    </w:p>
    <w:p w14:paraId="0C666882" w14:textId="77777777" w:rsidR="002C712A" w:rsidRPr="004779B6" w:rsidRDefault="002C712A" w:rsidP="004779B6">
      <w:pPr>
        <w:jc w:val="center"/>
        <w:rPr>
          <w:rFonts w:asciiTheme="majorHAnsi" w:hAnsiTheme="majorHAnsi" w:cstheme="majorHAnsi"/>
        </w:rPr>
      </w:pPr>
    </w:p>
    <w:p w14:paraId="5511ED00" w14:textId="6D23AB10" w:rsidR="002C712A" w:rsidRPr="004779B6" w:rsidRDefault="002C712A" w:rsidP="004779B6">
      <w:pPr>
        <w:jc w:val="center"/>
        <w:rPr>
          <w:rFonts w:asciiTheme="majorHAnsi" w:hAnsiTheme="majorHAnsi" w:cstheme="majorHAnsi"/>
        </w:rPr>
      </w:pPr>
      <w:r w:rsidRPr="004779B6">
        <w:rPr>
          <w:rFonts w:asciiTheme="majorHAnsi" w:hAnsiTheme="majorHAnsi" w:cstheme="majorHAnsi"/>
        </w:rPr>
        <w:t>Powel Murunga</w:t>
      </w:r>
    </w:p>
    <w:p w14:paraId="1D2296D9" w14:textId="53AF7B31" w:rsidR="002C712A" w:rsidRPr="004779B6" w:rsidRDefault="002C712A" w:rsidP="004779B6">
      <w:pPr>
        <w:jc w:val="center"/>
        <w:rPr>
          <w:rFonts w:asciiTheme="majorHAnsi" w:hAnsiTheme="majorHAnsi" w:cstheme="majorHAnsi"/>
        </w:rPr>
      </w:pPr>
      <w:r w:rsidRPr="004779B6">
        <w:rPr>
          <w:rFonts w:asciiTheme="majorHAnsi" w:hAnsiTheme="majorHAnsi" w:cstheme="majorHAnsi"/>
        </w:rPr>
        <w:t>University of Nairobi</w:t>
      </w:r>
    </w:p>
    <w:p w14:paraId="75DE93F7" w14:textId="1DE12AD8" w:rsidR="006907FE" w:rsidRPr="004779B6" w:rsidRDefault="006907FE" w:rsidP="004779B6">
      <w:pPr>
        <w:jc w:val="center"/>
        <w:rPr>
          <w:rFonts w:asciiTheme="majorHAnsi" w:hAnsiTheme="majorHAnsi" w:cstheme="majorHAnsi"/>
        </w:rPr>
      </w:pPr>
      <w:hyperlink r:id="rId5" w:history="1">
        <w:r w:rsidRPr="004779B6">
          <w:rPr>
            <w:rStyle w:val="Hyperlink"/>
            <w:rFonts w:asciiTheme="majorHAnsi" w:hAnsiTheme="majorHAnsi" w:cstheme="majorHAnsi"/>
          </w:rPr>
          <w:t>powelmurunga@gmail.com</w:t>
        </w:r>
      </w:hyperlink>
    </w:p>
    <w:p w14:paraId="09CA9A16" w14:textId="337B7D4F" w:rsidR="00AC3785" w:rsidRPr="004779B6" w:rsidRDefault="006A539D" w:rsidP="004779B6">
      <w:pPr>
        <w:jc w:val="both"/>
        <w:rPr>
          <w:rFonts w:asciiTheme="majorHAnsi" w:hAnsiTheme="majorHAnsi" w:cstheme="majorHAnsi"/>
        </w:rPr>
      </w:pPr>
      <w:r w:rsidRPr="004779B6">
        <w:rPr>
          <w:rStyle w:val="Strong"/>
          <w:rFonts w:asciiTheme="majorHAnsi" w:hAnsiTheme="majorHAnsi" w:cstheme="majorHAnsi"/>
        </w:rPr>
        <w:t>Abstract</w:t>
      </w:r>
      <w:r w:rsidRPr="004779B6">
        <w:rPr>
          <w:rFonts w:asciiTheme="majorHAnsi" w:hAnsiTheme="majorHAnsi" w:cstheme="majorHAnsi"/>
        </w:rPr>
        <w:br/>
        <w:t>Climate change and environmental degradation have become central global concerns</w:t>
      </w:r>
      <w:r w:rsidR="00C01D9D" w:rsidRPr="004779B6">
        <w:rPr>
          <w:rFonts w:asciiTheme="majorHAnsi" w:hAnsiTheme="majorHAnsi" w:cstheme="majorHAnsi"/>
        </w:rPr>
        <w:t xml:space="preserve"> due to </w:t>
      </w:r>
      <w:r w:rsidRPr="004779B6">
        <w:rPr>
          <w:rFonts w:asciiTheme="majorHAnsi" w:hAnsiTheme="majorHAnsi" w:cstheme="majorHAnsi"/>
        </w:rPr>
        <w:t xml:space="preserve">increased industrialization, fossil fuel use, and economic activities. As countries strive to balance economic development with ecological preservation, understanding the roles of green growth, technological innovation, and digital transformation becomes </w:t>
      </w:r>
      <w:r w:rsidR="00C01D9D" w:rsidRPr="004779B6">
        <w:rPr>
          <w:rFonts w:asciiTheme="majorHAnsi" w:hAnsiTheme="majorHAnsi" w:cstheme="majorHAnsi"/>
        </w:rPr>
        <w:t>important</w:t>
      </w:r>
      <w:r w:rsidRPr="004779B6">
        <w:rPr>
          <w:rFonts w:asciiTheme="majorHAnsi" w:hAnsiTheme="majorHAnsi" w:cstheme="majorHAnsi"/>
        </w:rPr>
        <w:t>. This study examines th</w:t>
      </w:r>
      <w:r w:rsidR="007E32D1" w:rsidRPr="004779B6">
        <w:rPr>
          <w:rFonts w:asciiTheme="majorHAnsi" w:hAnsiTheme="majorHAnsi" w:cstheme="majorHAnsi"/>
        </w:rPr>
        <w:t>e</w:t>
      </w:r>
      <w:r w:rsidRPr="004779B6">
        <w:rPr>
          <w:rFonts w:asciiTheme="majorHAnsi" w:hAnsiTheme="majorHAnsi" w:cstheme="majorHAnsi"/>
        </w:rPr>
        <w:t xml:space="preserve"> impacts of green growth, green innovation, and information and communication technology (ICT) on CO₂ emissions in Kenya using the Augmented Autoregressive Distributed Lag (AARDL) model. Results indicate that green growth significantly reduces emissions</w:t>
      </w:r>
      <w:r w:rsidR="00C01D9D" w:rsidRPr="004779B6">
        <w:rPr>
          <w:rFonts w:asciiTheme="majorHAnsi" w:hAnsiTheme="majorHAnsi" w:cstheme="majorHAnsi"/>
        </w:rPr>
        <w:t xml:space="preserve"> hence promoting </w:t>
      </w:r>
      <w:r w:rsidRPr="004779B6">
        <w:rPr>
          <w:rFonts w:asciiTheme="majorHAnsi" w:hAnsiTheme="majorHAnsi" w:cstheme="majorHAnsi"/>
        </w:rPr>
        <w:t xml:space="preserve">sustainable development. While green innovation initially correlates with rising emissions, its interaction with ICT </w:t>
      </w:r>
      <w:r w:rsidR="00103AA1" w:rsidRPr="004779B6">
        <w:rPr>
          <w:rFonts w:asciiTheme="majorHAnsi" w:hAnsiTheme="majorHAnsi" w:cstheme="majorHAnsi"/>
        </w:rPr>
        <w:t xml:space="preserve">over long run </w:t>
      </w:r>
      <w:r w:rsidR="004908F7" w:rsidRPr="004779B6">
        <w:rPr>
          <w:rFonts w:asciiTheme="majorHAnsi" w:hAnsiTheme="majorHAnsi" w:cstheme="majorHAnsi"/>
        </w:rPr>
        <w:t>shows</w:t>
      </w:r>
      <w:r w:rsidRPr="004779B6">
        <w:rPr>
          <w:rFonts w:asciiTheme="majorHAnsi" w:hAnsiTheme="majorHAnsi" w:cstheme="majorHAnsi"/>
        </w:rPr>
        <w:t xml:space="preserve"> reduction effect</w:t>
      </w:r>
      <w:r w:rsidR="00C01D9D" w:rsidRPr="004779B6">
        <w:rPr>
          <w:rFonts w:asciiTheme="majorHAnsi" w:hAnsiTheme="majorHAnsi" w:cstheme="majorHAnsi"/>
        </w:rPr>
        <w:t xml:space="preserve">, a </w:t>
      </w:r>
      <w:r w:rsidR="007E32D1" w:rsidRPr="004779B6">
        <w:rPr>
          <w:rFonts w:asciiTheme="majorHAnsi" w:hAnsiTheme="majorHAnsi" w:cstheme="majorHAnsi"/>
        </w:rPr>
        <w:t xml:space="preserve">benefit of </w:t>
      </w:r>
      <w:r w:rsidRPr="004779B6">
        <w:rPr>
          <w:rFonts w:asciiTheme="majorHAnsi" w:hAnsiTheme="majorHAnsi" w:cstheme="majorHAnsi"/>
        </w:rPr>
        <w:t>integrated green technological strategies. In contrast, ICT independently contributes to higher CO₂ levels</w:t>
      </w:r>
      <w:r w:rsidR="007E32D1" w:rsidRPr="004779B6">
        <w:rPr>
          <w:rFonts w:asciiTheme="majorHAnsi" w:hAnsiTheme="majorHAnsi" w:cstheme="majorHAnsi"/>
        </w:rPr>
        <w:t xml:space="preserve"> indicating</w:t>
      </w:r>
      <w:r w:rsidRPr="004779B6">
        <w:rPr>
          <w:rFonts w:asciiTheme="majorHAnsi" w:hAnsiTheme="majorHAnsi" w:cstheme="majorHAnsi"/>
        </w:rPr>
        <w:t xml:space="preserve"> the environmental cost of digital expansion when not paired with sustainable practices. </w:t>
      </w:r>
      <w:r w:rsidR="007E32D1" w:rsidRPr="004779B6">
        <w:rPr>
          <w:rFonts w:asciiTheme="majorHAnsi" w:hAnsiTheme="majorHAnsi" w:cstheme="majorHAnsi"/>
        </w:rPr>
        <w:t>T</w:t>
      </w:r>
      <w:r w:rsidRPr="004779B6">
        <w:rPr>
          <w:rFonts w:asciiTheme="majorHAnsi" w:hAnsiTheme="majorHAnsi" w:cstheme="majorHAnsi"/>
        </w:rPr>
        <w:t>rade openness is associated with lower emissions</w:t>
      </w:r>
      <w:r w:rsidR="007E32D1" w:rsidRPr="004779B6">
        <w:rPr>
          <w:rFonts w:asciiTheme="majorHAnsi" w:hAnsiTheme="majorHAnsi" w:cstheme="majorHAnsi"/>
        </w:rPr>
        <w:t xml:space="preserve"> showing benefits of </w:t>
      </w:r>
      <w:r w:rsidRPr="004779B6">
        <w:rPr>
          <w:rFonts w:asciiTheme="majorHAnsi" w:hAnsiTheme="majorHAnsi" w:cstheme="majorHAnsi"/>
        </w:rPr>
        <w:t>technology diffusion and environmental standards. The study recommends leveraging Kenya’s renewable energy potential</w:t>
      </w:r>
      <w:r w:rsidR="00644997" w:rsidRPr="004779B6">
        <w:rPr>
          <w:rFonts w:asciiTheme="majorHAnsi" w:hAnsiTheme="majorHAnsi" w:cstheme="majorHAnsi"/>
        </w:rPr>
        <w:t xml:space="preserve"> for cleaner technologies</w:t>
      </w:r>
      <w:r w:rsidRPr="004779B6">
        <w:rPr>
          <w:rFonts w:asciiTheme="majorHAnsi" w:hAnsiTheme="majorHAnsi" w:cstheme="majorHAnsi"/>
        </w:rPr>
        <w:t>, promoting green innovations, and reshaping the ICT sector to align with environmental goals.</w:t>
      </w:r>
    </w:p>
    <w:p w14:paraId="74F2B049" w14:textId="4E7600FF" w:rsidR="004779B6" w:rsidRPr="004779B6" w:rsidRDefault="004779B6" w:rsidP="004779B6">
      <w:pPr>
        <w:jc w:val="both"/>
        <w:rPr>
          <w:rFonts w:asciiTheme="majorHAnsi" w:hAnsiTheme="majorHAnsi" w:cstheme="majorHAnsi"/>
        </w:rPr>
      </w:pPr>
      <w:r w:rsidRPr="004779B6">
        <w:rPr>
          <w:rFonts w:asciiTheme="majorHAnsi" w:hAnsiTheme="majorHAnsi" w:cstheme="majorHAnsi"/>
          <w:b/>
          <w:bCs/>
        </w:rPr>
        <w:t>Keywords:</w:t>
      </w:r>
      <w:r w:rsidRPr="004779B6">
        <w:rPr>
          <w:rFonts w:asciiTheme="majorHAnsi" w:hAnsiTheme="majorHAnsi" w:cstheme="majorHAnsi"/>
        </w:rPr>
        <w:t xml:space="preserve"> </w:t>
      </w:r>
      <w:r w:rsidRPr="004779B6">
        <w:rPr>
          <w:rFonts w:asciiTheme="majorHAnsi" w:hAnsiTheme="majorHAnsi" w:cstheme="majorHAnsi"/>
        </w:rPr>
        <w:t>Green Growth, Green Innovation, ICT, CO₂ Emissions, Sustainable Development, Kenya</w:t>
      </w:r>
    </w:p>
    <w:p w14:paraId="788D85C6" w14:textId="77777777" w:rsidR="00AC3785" w:rsidRPr="004779B6" w:rsidRDefault="00AC3785" w:rsidP="004779B6">
      <w:pPr>
        <w:jc w:val="both"/>
        <w:rPr>
          <w:rFonts w:asciiTheme="majorHAnsi" w:hAnsiTheme="majorHAnsi" w:cstheme="majorHAnsi"/>
        </w:rPr>
      </w:pPr>
    </w:p>
    <w:p w14:paraId="29D0D0E6" w14:textId="77777777" w:rsidR="00AC3785" w:rsidRPr="004779B6" w:rsidRDefault="00AC3785" w:rsidP="004779B6">
      <w:pPr>
        <w:jc w:val="both"/>
        <w:rPr>
          <w:rFonts w:asciiTheme="majorHAnsi" w:hAnsiTheme="majorHAnsi" w:cstheme="majorHAnsi"/>
        </w:rPr>
      </w:pPr>
    </w:p>
    <w:p w14:paraId="2EB35E6D" w14:textId="77777777" w:rsidR="00AC3785" w:rsidRPr="004779B6" w:rsidRDefault="00AC3785" w:rsidP="004779B6">
      <w:pPr>
        <w:jc w:val="both"/>
        <w:rPr>
          <w:rFonts w:asciiTheme="majorHAnsi" w:hAnsiTheme="majorHAnsi" w:cstheme="majorHAnsi"/>
        </w:rPr>
      </w:pPr>
    </w:p>
    <w:p w14:paraId="01FDE619" w14:textId="77777777" w:rsidR="00AC3785" w:rsidRPr="004779B6" w:rsidRDefault="00AC3785" w:rsidP="004779B6">
      <w:pPr>
        <w:jc w:val="both"/>
        <w:rPr>
          <w:rFonts w:asciiTheme="majorHAnsi" w:hAnsiTheme="majorHAnsi" w:cstheme="majorHAnsi"/>
        </w:rPr>
      </w:pPr>
    </w:p>
    <w:p w14:paraId="7DA265F5" w14:textId="77777777" w:rsidR="00AC3785" w:rsidRPr="004779B6" w:rsidRDefault="00AC3785" w:rsidP="004779B6">
      <w:pPr>
        <w:jc w:val="both"/>
        <w:rPr>
          <w:rFonts w:asciiTheme="majorHAnsi" w:hAnsiTheme="majorHAnsi" w:cstheme="majorHAnsi"/>
        </w:rPr>
      </w:pPr>
    </w:p>
    <w:p w14:paraId="14666DC4" w14:textId="75B9621C" w:rsidR="002C712A" w:rsidRDefault="002C712A" w:rsidP="004779B6">
      <w:pPr>
        <w:jc w:val="both"/>
        <w:rPr>
          <w:rFonts w:asciiTheme="majorHAnsi" w:hAnsiTheme="majorHAnsi" w:cstheme="majorHAnsi"/>
        </w:rPr>
      </w:pPr>
    </w:p>
    <w:p w14:paraId="6458971B" w14:textId="77777777" w:rsidR="008B5D7B" w:rsidRPr="004779B6" w:rsidRDefault="008B5D7B" w:rsidP="004779B6">
      <w:pPr>
        <w:jc w:val="both"/>
        <w:rPr>
          <w:rFonts w:asciiTheme="majorHAnsi" w:hAnsiTheme="majorHAnsi" w:cstheme="majorHAnsi"/>
          <w:b/>
          <w:bCs/>
        </w:rPr>
      </w:pPr>
    </w:p>
    <w:p w14:paraId="1EEAAB97" w14:textId="35E45A3C" w:rsidR="00544A4A" w:rsidRPr="004779B6" w:rsidRDefault="00544A4A" w:rsidP="004779B6">
      <w:pPr>
        <w:jc w:val="both"/>
        <w:rPr>
          <w:rFonts w:asciiTheme="majorHAnsi" w:hAnsiTheme="majorHAnsi" w:cstheme="majorHAnsi"/>
          <w:b/>
          <w:bCs/>
        </w:rPr>
      </w:pPr>
      <w:r w:rsidRPr="004779B6">
        <w:rPr>
          <w:rFonts w:asciiTheme="majorHAnsi" w:hAnsiTheme="majorHAnsi" w:cstheme="majorHAnsi"/>
          <w:b/>
          <w:bCs/>
        </w:rPr>
        <w:lastRenderedPageBreak/>
        <w:t xml:space="preserve">1. Introduction </w:t>
      </w:r>
    </w:p>
    <w:p w14:paraId="60F91EC5" w14:textId="4EF390DE" w:rsidR="00CB5317" w:rsidRPr="004779B6" w:rsidRDefault="00CB5317" w:rsidP="004779B6">
      <w:pPr>
        <w:jc w:val="both"/>
        <w:rPr>
          <w:rFonts w:asciiTheme="majorHAnsi" w:hAnsiTheme="majorHAnsi" w:cstheme="majorHAnsi"/>
        </w:rPr>
      </w:pPr>
      <w:r w:rsidRPr="004779B6">
        <w:rPr>
          <w:rFonts w:asciiTheme="majorHAnsi" w:hAnsiTheme="majorHAnsi" w:cstheme="majorHAnsi"/>
        </w:rPr>
        <w:t>Even after more than 4 years of grappling with the COVID-19 pandemic, climate change remains the primary focus of international policy efforts (Kakar, Khan, &amp; Khan, 2024). A noticeable outcome of global temperature increases, most likely attributed to climate change, is the detrimental effect on both natural systems and human populations. Climate-related hazards are typically categorized as either transitional in nature or as physical-environmental challenges (UNDP, 2021). A large portion of greenhouse gas (GHG) emissions originates from commercial sectors, thereby intensifying the pace of global warming. Over the years, academic research has increasingly addressed the issue of GHG outputs, particularly carbon dioxide (CO₂), as governments have enacted numerous climate-focused policies. Escalating levels of CO₂ are widely recognized by experts as a significant contributor to ecological degradation. Climate change, driven by these emissions, has emerged as one of the most critical policy dilemmas of the current century (Khan, Chenggang, Khan, &amp; Muhammad, 2020). The Paris Agreement acknowledges that although climate change is a global concern, its consequences are unevenly distributed across regions, and countries face varying expectations in terms of reducing their emissions (UNDP, 2025).</w:t>
      </w:r>
    </w:p>
    <w:p w14:paraId="14305C02" w14:textId="518A170D" w:rsidR="002D6EDB" w:rsidRPr="004779B6" w:rsidRDefault="00CE02E6" w:rsidP="004779B6">
      <w:pPr>
        <w:jc w:val="both"/>
        <w:rPr>
          <w:rFonts w:asciiTheme="majorHAnsi" w:hAnsiTheme="majorHAnsi" w:cstheme="majorHAnsi"/>
        </w:rPr>
      </w:pPr>
      <w:r w:rsidRPr="004779B6">
        <w:rPr>
          <w:rFonts w:asciiTheme="majorHAnsi" w:hAnsiTheme="majorHAnsi" w:cstheme="majorHAnsi"/>
        </w:rPr>
        <w:t>Globally</w:t>
      </w:r>
      <w:r w:rsidR="002D6EDB" w:rsidRPr="004779B6">
        <w:rPr>
          <w:rFonts w:asciiTheme="majorHAnsi" w:hAnsiTheme="majorHAnsi" w:cstheme="majorHAnsi"/>
        </w:rPr>
        <w:t>, the movement for environmental sustainability is gaining momentum. Countries everywhere are experiencing the negative effects of rising global temperatures and more frequent extreme weather events, which disrupt economic stability and reduce living standards (Raza &amp; Lin, 2022). Since the late 19th century, atmospheric carbon dioxide levels have risen by approximately 45%</w:t>
      </w:r>
      <w:r w:rsidRPr="004779B6">
        <w:rPr>
          <w:rFonts w:asciiTheme="majorHAnsi" w:hAnsiTheme="majorHAnsi" w:cstheme="majorHAnsi"/>
        </w:rPr>
        <w:t xml:space="preserve"> further </w:t>
      </w:r>
      <w:r w:rsidR="00404334" w:rsidRPr="004779B6">
        <w:rPr>
          <w:rFonts w:asciiTheme="majorHAnsi" w:hAnsiTheme="majorHAnsi" w:cstheme="majorHAnsi"/>
        </w:rPr>
        <w:t>worsening</w:t>
      </w:r>
      <w:r w:rsidRPr="004779B6">
        <w:rPr>
          <w:rFonts w:asciiTheme="majorHAnsi" w:hAnsiTheme="majorHAnsi" w:cstheme="majorHAnsi"/>
        </w:rPr>
        <w:t xml:space="preserve"> the</w:t>
      </w:r>
      <w:r w:rsidR="002D6EDB" w:rsidRPr="004779B6">
        <w:rPr>
          <w:rFonts w:asciiTheme="majorHAnsi" w:hAnsiTheme="majorHAnsi" w:cstheme="majorHAnsi"/>
        </w:rPr>
        <w:t xml:space="preserve"> growing impact of human activity on the planet's climate (Amin, Khan, &amp; Mehmood, 2022).</w:t>
      </w:r>
    </w:p>
    <w:p w14:paraId="0DD48E07" w14:textId="073D766C" w:rsidR="002D6EDB" w:rsidRPr="004779B6" w:rsidRDefault="002D6EDB" w:rsidP="004779B6">
      <w:pPr>
        <w:jc w:val="both"/>
        <w:rPr>
          <w:rFonts w:asciiTheme="majorHAnsi" w:hAnsiTheme="majorHAnsi" w:cstheme="majorHAnsi"/>
        </w:rPr>
      </w:pPr>
      <w:r w:rsidRPr="004779B6">
        <w:rPr>
          <w:rFonts w:asciiTheme="majorHAnsi" w:hAnsiTheme="majorHAnsi" w:cstheme="majorHAnsi"/>
        </w:rPr>
        <w:t>Kenya’s climate action framework is considered to align with global temperature goals</w:t>
      </w:r>
      <w:r w:rsidR="00CE02E6" w:rsidRPr="004779B6">
        <w:rPr>
          <w:rFonts w:asciiTheme="majorHAnsi" w:hAnsiTheme="majorHAnsi" w:cstheme="majorHAnsi"/>
        </w:rPr>
        <w:t xml:space="preserve"> especially regarding </w:t>
      </w:r>
      <w:r w:rsidRPr="004779B6">
        <w:rPr>
          <w:rFonts w:asciiTheme="majorHAnsi" w:hAnsiTheme="majorHAnsi" w:cstheme="majorHAnsi"/>
        </w:rPr>
        <w:t>the 1.5°C threshold</w:t>
      </w:r>
      <w:r w:rsidR="00CE02E6" w:rsidRPr="004779B6">
        <w:rPr>
          <w:rFonts w:asciiTheme="majorHAnsi" w:hAnsiTheme="majorHAnsi" w:cstheme="majorHAnsi"/>
        </w:rPr>
        <w:t xml:space="preserve">. It is supported </w:t>
      </w:r>
      <w:r w:rsidRPr="004779B6">
        <w:rPr>
          <w:rFonts w:asciiTheme="majorHAnsi" w:hAnsiTheme="majorHAnsi" w:cstheme="majorHAnsi"/>
        </w:rPr>
        <w:t>provided it continues to meet objectives in key sectors such as transportation and agriculture, and refrains from initiating new coal-based energy projects. The country has pledged to lower greenhouse gas (GHG) emissions by 32% by 2030 compared to a business-as-usual (BAU) path</w:t>
      </w:r>
      <w:r w:rsidR="00CE02E6" w:rsidRPr="004779B6">
        <w:rPr>
          <w:rFonts w:asciiTheme="majorHAnsi" w:hAnsiTheme="majorHAnsi" w:cstheme="majorHAnsi"/>
        </w:rPr>
        <w:t>. It focuses on</w:t>
      </w:r>
      <w:r w:rsidRPr="004779B6">
        <w:rPr>
          <w:rFonts w:asciiTheme="majorHAnsi" w:hAnsiTheme="majorHAnsi" w:cstheme="majorHAnsi"/>
        </w:rPr>
        <w:t xml:space="preserve"> sustainable progress and the importance of global partnerships for effective mitigation. Kenya’s total emissions have been </w:t>
      </w:r>
      <w:r w:rsidR="00DB0FCC" w:rsidRPr="004779B6">
        <w:rPr>
          <w:rFonts w:asciiTheme="majorHAnsi" w:hAnsiTheme="majorHAnsi" w:cstheme="majorHAnsi"/>
        </w:rPr>
        <w:t>rising</w:t>
      </w:r>
      <w:r w:rsidRPr="004779B6">
        <w:rPr>
          <w:rFonts w:asciiTheme="majorHAnsi" w:hAnsiTheme="majorHAnsi" w:cstheme="majorHAnsi"/>
        </w:rPr>
        <w:t xml:space="preserve"> in recent years. Between 1990 and 2022, </w:t>
      </w:r>
      <w:r w:rsidR="00DB0FCC" w:rsidRPr="004779B6">
        <w:rPr>
          <w:rFonts w:asciiTheme="majorHAnsi" w:hAnsiTheme="majorHAnsi" w:cstheme="majorHAnsi"/>
        </w:rPr>
        <w:t>Kenya’</w:t>
      </w:r>
      <w:r w:rsidRPr="004779B6">
        <w:rPr>
          <w:rFonts w:asciiTheme="majorHAnsi" w:hAnsiTheme="majorHAnsi" w:cstheme="majorHAnsi"/>
        </w:rPr>
        <w:t>s GHG output increased at an estimated annual average of 4%</w:t>
      </w:r>
      <w:r w:rsidR="00DB0FCC" w:rsidRPr="004779B6">
        <w:rPr>
          <w:rFonts w:asciiTheme="majorHAnsi" w:hAnsiTheme="majorHAnsi" w:cstheme="majorHAnsi"/>
        </w:rPr>
        <w:t xml:space="preserve"> attaining</w:t>
      </w:r>
      <w:r w:rsidRPr="004779B6">
        <w:rPr>
          <w:rFonts w:asciiTheme="majorHAnsi" w:hAnsiTheme="majorHAnsi" w:cstheme="majorHAnsi"/>
        </w:rPr>
        <w:t xml:space="preserve"> </w:t>
      </w:r>
      <w:r w:rsidR="00DB0FCC" w:rsidRPr="004779B6">
        <w:rPr>
          <w:rFonts w:asciiTheme="majorHAnsi" w:hAnsiTheme="majorHAnsi" w:cstheme="majorHAnsi"/>
        </w:rPr>
        <w:t>about</w:t>
      </w:r>
      <w:r w:rsidRPr="004779B6">
        <w:rPr>
          <w:rFonts w:asciiTheme="majorHAnsi" w:hAnsiTheme="majorHAnsi" w:cstheme="majorHAnsi"/>
        </w:rPr>
        <w:t xml:space="preserve"> 113 million metric </w:t>
      </w:r>
      <w:r w:rsidR="00E87747" w:rsidRPr="004779B6">
        <w:rPr>
          <w:rFonts w:asciiTheme="majorHAnsi" w:hAnsiTheme="majorHAnsi" w:cstheme="majorHAnsi"/>
        </w:rPr>
        <w:t>tons</w:t>
      </w:r>
      <w:r w:rsidRPr="004779B6">
        <w:rPr>
          <w:rFonts w:asciiTheme="majorHAnsi" w:hAnsiTheme="majorHAnsi" w:cstheme="majorHAnsi"/>
        </w:rPr>
        <w:t xml:space="preserve"> of CO2 equivalent (MtCO2eq), factoring in land use, land-use changes, and forestry (Republic of Kenya, Ministry of Environment, Climate Change and Forestry, 2025).</w:t>
      </w:r>
    </w:p>
    <w:p w14:paraId="32365739" w14:textId="5C3849DD" w:rsidR="002D6EDB" w:rsidRPr="004779B6" w:rsidRDefault="002D6EDB" w:rsidP="004779B6">
      <w:pPr>
        <w:jc w:val="both"/>
        <w:rPr>
          <w:rFonts w:asciiTheme="majorHAnsi" w:hAnsiTheme="majorHAnsi" w:cstheme="majorHAnsi"/>
        </w:rPr>
      </w:pPr>
      <w:r w:rsidRPr="004779B6">
        <w:rPr>
          <w:rFonts w:asciiTheme="majorHAnsi" w:hAnsiTheme="majorHAnsi" w:cstheme="majorHAnsi"/>
        </w:rPr>
        <w:t xml:space="preserve">Specifically, carbon dioxide emissions surged from 7.82 million </w:t>
      </w:r>
      <w:r w:rsidR="00E87747" w:rsidRPr="004779B6">
        <w:rPr>
          <w:rFonts w:asciiTheme="majorHAnsi" w:hAnsiTheme="majorHAnsi" w:cstheme="majorHAnsi"/>
        </w:rPr>
        <w:t>tons</w:t>
      </w:r>
      <w:r w:rsidRPr="004779B6">
        <w:rPr>
          <w:rFonts w:asciiTheme="majorHAnsi" w:hAnsiTheme="majorHAnsi" w:cstheme="majorHAnsi"/>
        </w:rPr>
        <w:t xml:space="preserve"> a decade ago to 16.15 million </w:t>
      </w:r>
      <w:r w:rsidR="00E87747" w:rsidRPr="004779B6">
        <w:rPr>
          <w:rFonts w:asciiTheme="majorHAnsi" w:hAnsiTheme="majorHAnsi" w:cstheme="majorHAnsi"/>
        </w:rPr>
        <w:t>tons</w:t>
      </w:r>
      <w:r w:rsidRPr="004779B6">
        <w:rPr>
          <w:rFonts w:asciiTheme="majorHAnsi" w:hAnsiTheme="majorHAnsi" w:cstheme="majorHAnsi"/>
        </w:rPr>
        <w:t xml:space="preserve"> recently, a trend driven by expanding fossil fuel reliance and higher energy consumption (Strathmore University Energy Research Centre, 2025). Nevertheless, Kenya’s emissions per person remain below the global mean, with each individual contributing about 2.09 metric </w:t>
      </w:r>
      <w:proofErr w:type="spellStart"/>
      <w:r w:rsidRPr="004779B6">
        <w:rPr>
          <w:rFonts w:asciiTheme="majorHAnsi" w:hAnsiTheme="majorHAnsi" w:cstheme="majorHAnsi"/>
        </w:rPr>
        <w:t>tonnes</w:t>
      </w:r>
      <w:proofErr w:type="spellEnd"/>
      <w:r w:rsidRPr="004779B6">
        <w:rPr>
          <w:rFonts w:asciiTheme="majorHAnsi" w:hAnsiTheme="majorHAnsi" w:cstheme="majorHAnsi"/>
        </w:rPr>
        <w:t xml:space="preserve"> in 2022, compared to the worldwide average of 6.76 </w:t>
      </w:r>
      <w:proofErr w:type="spellStart"/>
      <w:r w:rsidRPr="004779B6">
        <w:rPr>
          <w:rFonts w:asciiTheme="majorHAnsi" w:hAnsiTheme="majorHAnsi" w:cstheme="majorHAnsi"/>
        </w:rPr>
        <w:t>tonnes</w:t>
      </w:r>
      <w:proofErr w:type="spellEnd"/>
      <w:r w:rsidRPr="004779B6">
        <w:rPr>
          <w:rFonts w:asciiTheme="majorHAnsi" w:hAnsiTheme="majorHAnsi" w:cstheme="majorHAnsi"/>
        </w:rPr>
        <w:t xml:space="preserve"> (Tete, 2025).</w:t>
      </w:r>
    </w:p>
    <w:p w14:paraId="0E0B547E" w14:textId="57CB54D5" w:rsidR="002D6EDB" w:rsidRPr="004779B6" w:rsidRDefault="002D6EDB" w:rsidP="004779B6">
      <w:pPr>
        <w:jc w:val="both"/>
        <w:rPr>
          <w:rFonts w:asciiTheme="majorHAnsi" w:hAnsiTheme="majorHAnsi" w:cstheme="majorHAnsi"/>
        </w:rPr>
      </w:pPr>
      <w:r w:rsidRPr="004779B6">
        <w:rPr>
          <w:rFonts w:asciiTheme="majorHAnsi" w:hAnsiTheme="majorHAnsi" w:cstheme="majorHAnsi"/>
        </w:rPr>
        <w:lastRenderedPageBreak/>
        <w:t>In line with the Paris Agreement, Kenya submitted its Second Nationally Determined Contribution (NDC) in 2025, committing to a 35% reduction in GHGs by 2035 under BAU conditions</w:t>
      </w:r>
      <w:r w:rsidR="000649E3" w:rsidRPr="004779B6">
        <w:rPr>
          <w:rFonts w:asciiTheme="majorHAnsi" w:hAnsiTheme="majorHAnsi" w:cstheme="majorHAnsi"/>
        </w:rPr>
        <w:t xml:space="preserve">, which is </w:t>
      </w:r>
      <w:r w:rsidRPr="004779B6">
        <w:rPr>
          <w:rFonts w:asciiTheme="majorHAnsi" w:hAnsiTheme="majorHAnsi" w:cstheme="majorHAnsi"/>
        </w:rPr>
        <w:t>equivalent to avoiding 75.25 MtCO2eq (Xinhua News Agency, 2025). Of this reduction, a fifth is expected to be achieved domestically, while the remainder hinges on international aid, including funding, technological assistance, and capacity enhancement. This updated NDC represents an increase from the earlier 32% target and brings the country closer to limiting temperature rise to 1.5°C (Climate Action Tracker, 2023).</w:t>
      </w:r>
    </w:p>
    <w:p w14:paraId="3856BE3D" w14:textId="4C0A222D" w:rsidR="002D6EDB" w:rsidRPr="004779B6" w:rsidRDefault="002D6EDB" w:rsidP="004779B6">
      <w:pPr>
        <w:jc w:val="both"/>
        <w:rPr>
          <w:rFonts w:asciiTheme="majorHAnsi" w:hAnsiTheme="majorHAnsi" w:cstheme="majorHAnsi"/>
        </w:rPr>
      </w:pPr>
      <w:r w:rsidRPr="004779B6">
        <w:rPr>
          <w:rFonts w:asciiTheme="majorHAnsi" w:hAnsiTheme="majorHAnsi" w:cstheme="majorHAnsi"/>
        </w:rPr>
        <w:t xml:space="preserve">Kenya’s emissions predominantly originate from its energy sector and the agriculture, forestry, and land use (AFOLU) categories. Increased fossil fuel use, land clearing, and expansion of agricultural activity are key contributors. </w:t>
      </w:r>
      <w:r w:rsidR="000649E3" w:rsidRPr="004779B6">
        <w:rPr>
          <w:rFonts w:asciiTheme="majorHAnsi" w:hAnsiTheme="majorHAnsi" w:cstheme="majorHAnsi"/>
        </w:rPr>
        <w:t>For example</w:t>
      </w:r>
      <w:r w:rsidRPr="004779B6">
        <w:rPr>
          <w:rFonts w:asciiTheme="majorHAnsi" w:hAnsiTheme="majorHAnsi" w:cstheme="majorHAnsi"/>
        </w:rPr>
        <w:t>, forest loss is happening at a faster pace than replanting efforts. Most of the emissions in the energy sector come from the burning of coal, oil, and gas for electricity and transport needs (International Energy Agency, 2025). Still, according to Climate Action Tracker (2023), Kenya’s current strategies are mostly in line with the goal of keeping temperature rise under 1.5°C, though further international backing is needed to ensure emissions don’t continue to rise.</w:t>
      </w:r>
    </w:p>
    <w:p w14:paraId="429597A7" w14:textId="6FB2640C" w:rsidR="00FB3E97" w:rsidRPr="004779B6" w:rsidRDefault="002D6EDB" w:rsidP="004779B6">
      <w:pPr>
        <w:jc w:val="both"/>
        <w:rPr>
          <w:rFonts w:asciiTheme="majorHAnsi" w:hAnsiTheme="majorHAnsi" w:cstheme="majorHAnsi"/>
        </w:rPr>
      </w:pPr>
      <w:r w:rsidRPr="004779B6">
        <w:rPr>
          <w:rFonts w:asciiTheme="majorHAnsi" w:hAnsiTheme="majorHAnsi" w:cstheme="majorHAnsi"/>
        </w:rPr>
        <w:t>To support both emissions reduction and sustainable development, Kenya is actively engaging in carbon trading. The voluntary carbon market (VCM) is anticipated to play a</w:t>
      </w:r>
      <w:r w:rsidR="007A3C12" w:rsidRPr="004779B6">
        <w:rPr>
          <w:rFonts w:asciiTheme="majorHAnsi" w:hAnsiTheme="majorHAnsi" w:cstheme="majorHAnsi"/>
        </w:rPr>
        <w:t xml:space="preserve">n important </w:t>
      </w:r>
      <w:r w:rsidRPr="004779B6">
        <w:rPr>
          <w:rFonts w:asciiTheme="majorHAnsi" w:hAnsiTheme="majorHAnsi" w:cstheme="majorHAnsi"/>
        </w:rPr>
        <w:t>role, with a projected mitigation capacity of approximately 200 MtCO2e during the NDC implementation timeline</w:t>
      </w:r>
      <w:r w:rsidR="00F97A7E" w:rsidRPr="004779B6">
        <w:rPr>
          <w:rFonts w:asciiTheme="majorHAnsi" w:hAnsiTheme="majorHAnsi" w:cstheme="majorHAnsi"/>
        </w:rPr>
        <w:t xml:space="preserve"> 2031-2050</w:t>
      </w:r>
      <w:r w:rsidRPr="004779B6">
        <w:rPr>
          <w:rFonts w:asciiTheme="majorHAnsi" w:hAnsiTheme="majorHAnsi" w:cstheme="majorHAnsi"/>
        </w:rPr>
        <w:t xml:space="preserve"> (Nordahl, 2025). Several area</w:t>
      </w:r>
      <w:r w:rsidR="00217186" w:rsidRPr="004779B6">
        <w:rPr>
          <w:rFonts w:asciiTheme="majorHAnsi" w:hAnsiTheme="majorHAnsi" w:cstheme="majorHAnsi"/>
        </w:rPr>
        <w:t>s, for example,</w:t>
      </w:r>
      <w:r w:rsidRPr="004779B6">
        <w:rPr>
          <w:rFonts w:asciiTheme="majorHAnsi" w:hAnsiTheme="majorHAnsi" w:cstheme="majorHAnsi"/>
        </w:rPr>
        <w:t xml:space="preserve"> transport, industrial operations, and waste management</w:t>
      </w:r>
      <w:r w:rsidR="00217186" w:rsidRPr="004779B6">
        <w:rPr>
          <w:rFonts w:asciiTheme="majorHAnsi" w:hAnsiTheme="majorHAnsi" w:cstheme="majorHAnsi"/>
        </w:rPr>
        <w:t xml:space="preserve">, </w:t>
      </w:r>
      <w:r w:rsidRPr="004779B6">
        <w:rPr>
          <w:rFonts w:asciiTheme="majorHAnsi" w:hAnsiTheme="majorHAnsi" w:cstheme="majorHAnsi"/>
        </w:rPr>
        <w:t xml:space="preserve">are making tangible strides toward their specific mitigation goals, </w:t>
      </w:r>
      <w:r w:rsidR="00217186" w:rsidRPr="004779B6">
        <w:rPr>
          <w:rFonts w:asciiTheme="majorHAnsi" w:hAnsiTheme="majorHAnsi" w:cstheme="majorHAnsi"/>
        </w:rPr>
        <w:t>mostly</w:t>
      </w:r>
      <w:r w:rsidRPr="004779B6">
        <w:rPr>
          <w:rFonts w:asciiTheme="majorHAnsi" w:hAnsiTheme="majorHAnsi" w:cstheme="majorHAnsi"/>
        </w:rPr>
        <w:t xml:space="preserve"> through these market-based strategies (Climate Action Tracker, 2025). Furthermore, innovations in green technology, digital infrastructure, and environmentally conscious economic planning are considered highly promising approaches to enhance ecological resilience.</w:t>
      </w:r>
    </w:p>
    <w:p w14:paraId="7637ED78" w14:textId="57747D96" w:rsidR="002D6EDB" w:rsidRPr="004779B6" w:rsidRDefault="00FB3E97" w:rsidP="004779B6">
      <w:pPr>
        <w:jc w:val="both"/>
        <w:rPr>
          <w:rFonts w:asciiTheme="majorHAnsi" w:hAnsiTheme="majorHAnsi" w:cstheme="majorHAnsi"/>
        </w:rPr>
      </w:pPr>
      <w:r w:rsidRPr="004779B6">
        <w:rPr>
          <w:rFonts w:asciiTheme="majorHAnsi" w:hAnsiTheme="majorHAnsi" w:cstheme="majorHAnsi"/>
        </w:rPr>
        <w:t xml:space="preserve">Sustainable development provides the foundation for green growth, which seeks to enhance societal well-being and generate employment through integrated socioeconomic progress. This approach also involves reshaping patterns of consumption and production to address challenges related to inefficient resource use and ecological deterioration (Ben Lahouel, Taleb, Managi, &amp; Abaoub, 2023). A widely recognized definition is offered by the </w:t>
      </w:r>
      <w:r w:rsidR="00793CFA" w:rsidRPr="004779B6">
        <w:rPr>
          <w:rFonts w:asciiTheme="majorHAnsi" w:hAnsiTheme="majorHAnsi" w:cstheme="majorHAnsi"/>
        </w:rPr>
        <w:t>Organization</w:t>
      </w:r>
      <w:r w:rsidRPr="004779B6">
        <w:rPr>
          <w:rFonts w:asciiTheme="majorHAnsi" w:hAnsiTheme="majorHAnsi" w:cstheme="majorHAnsi"/>
        </w:rPr>
        <w:t xml:space="preserve"> for Economic Co-operation and Development (OECD), which describes green growth as a strategy for advancing economic performance while safeguarding natural ecosystems and securing long-term benefits for future populations (OECD, 2025). Achieving green growth depends on curbing emissions driven by consumption, which requires the adoption of environmentally friendly technologies, improvements in production efficiency, and innovative practices across supply chains (Chen, Yi, Chen, Peng, &amp; Yang, 2023). As an approach that supports both improved energy use and reduced carbon output, green growth </w:t>
      </w:r>
      <w:r w:rsidR="00793CFA" w:rsidRPr="004779B6">
        <w:rPr>
          <w:rFonts w:asciiTheme="majorHAnsi" w:hAnsiTheme="majorHAnsi" w:cstheme="majorHAnsi"/>
        </w:rPr>
        <w:t>will help in</w:t>
      </w:r>
      <w:r w:rsidRPr="004779B6">
        <w:rPr>
          <w:rFonts w:asciiTheme="majorHAnsi" w:hAnsiTheme="majorHAnsi" w:cstheme="majorHAnsi"/>
        </w:rPr>
        <w:t xml:space="preserve"> mitigating environmental harm (Fernandes, Veiga, Ferreira, &amp; Hughes, 2021).</w:t>
      </w:r>
    </w:p>
    <w:p w14:paraId="3D99B788" w14:textId="29D0DF0E" w:rsidR="006932B2" w:rsidRPr="004779B6" w:rsidRDefault="006932B2" w:rsidP="004779B6">
      <w:pPr>
        <w:jc w:val="both"/>
        <w:rPr>
          <w:rFonts w:asciiTheme="majorHAnsi" w:hAnsiTheme="majorHAnsi" w:cstheme="majorHAnsi"/>
        </w:rPr>
      </w:pPr>
      <w:r w:rsidRPr="004779B6">
        <w:rPr>
          <w:rFonts w:asciiTheme="majorHAnsi" w:hAnsiTheme="majorHAnsi" w:cstheme="majorHAnsi"/>
        </w:rPr>
        <w:lastRenderedPageBreak/>
        <w:t xml:space="preserve">Achieving a full-scale green transition within Kenya’s economy demands the implementation of broad and coordinated green innovation strategies (Yang &amp; Chen, 2022). Globally, the success of climate mitigation efforts is increasingly tied to the advancement of green technologies, which </w:t>
      </w:r>
      <w:r w:rsidR="00CA6FB1" w:rsidRPr="004779B6">
        <w:rPr>
          <w:rFonts w:asciiTheme="majorHAnsi" w:hAnsiTheme="majorHAnsi" w:cstheme="majorHAnsi"/>
        </w:rPr>
        <w:t>helps in</w:t>
      </w:r>
      <w:r w:rsidRPr="004779B6">
        <w:rPr>
          <w:rFonts w:asciiTheme="majorHAnsi" w:hAnsiTheme="majorHAnsi" w:cstheme="majorHAnsi"/>
        </w:rPr>
        <w:t xml:space="preserve"> lowering both emissions and pollution control costs over time (Thomasson, 2025). Kenya has positioned itself as a pioneer in both clean energy and sustainable finance across the region. This leadership is reflected in initiatives like the Kenya Green Finance Taxonomy (KGFT) 2025, designed to attract climate-resilient investments and enhance environmental, social, and governance (ESG) performance in the financial sector (Traction School of Governance and Business, 2025).</w:t>
      </w:r>
    </w:p>
    <w:p w14:paraId="496E2CC5" w14:textId="69EBFE72" w:rsidR="006932B2" w:rsidRPr="004779B6" w:rsidRDefault="006932B2" w:rsidP="004779B6">
      <w:pPr>
        <w:jc w:val="both"/>
        <w:rPr>
          <w:rFonts w:asciiTheme="majorHAnsi" w:hAnsiTheme="majorHAnsi" w:cstheme="majorHAnsi"/>
        </w:rPr>
      </w:pPr>
      <w:r w:rsidRPr="004779B6">
        <w:rPr>
          <w:rFonts w:asciiTheme="majorHAnsi" w:hAnsiTheme="majorHAnsi" w:cstheme="majorHAnsi"/>
        </w:rPr>
        <w:t>Despite these proactive measures, the connection between adopting green technologies and actual reductions in carbon emissions within Kenya is not yet well understood (Lin &amp; Ma, 2022). As observed in other economies, particularly those at specific development stages, the effectiveness of green technologies in cutting CO₂ emissions remains inconclusive (Du, Li, &amp; Yan, 2019). In Kenya’s case</w:t>
      </w:r>
      <w:r w:rsidR="002B2DED" w:rsidRPr="004779B6">
        <w:rPr>
          <w:rFonts w:asciiTheme="majorHAnsi" w:hAnsiTheme="majorHAnsi" w:cstheme="majorHAnsi"/>
        </w:rPr>
        <w:t xml:space="preserve">, </w:t>
      </w:r>
      <w:r w:rsidRPr="004779B6">
        <w:rPr>
          <w:rFonts w:asciiTheme="majorHAnsi" w:hAnsiTheme="majorHAnsi" w:cstheme="majorHAnsi"/>
        </w:rPr>
        <w:t>where over 90% of its electricity originates from renewable sources and a national goal targets 100% clean energy by 2030</w:t>
      </w:r>
      <w:r w:rsidR="002B2DED" w:rsidRPr="004779B6">
        <w:rPr>
          <w:rFonts w:asciiTheme="majorHAnsi" w:hAnsiTheme="majorHAnsi" w:cstheme="majorHAnsi"/>
        </w:rPr>
        <w:t xml:space="preserve">, </w:t>
      </w:r>
      <w:r w:rsidRPr="004779B6">
        <w:rPr>
          <w:rFonts w:asciiTheme="majorHAnsi" w:hAnsiTheme="majorHAnsi" w:cstheme="majorHAnsi"/>
        </w:rPr>
        <w:t>more data-driven investigations are essential to determine how green innovation shapes environmental performance and emission trends (Santoshi, 2025).</w:t>
      </w:r>
    </w:p>
    <w:p w14:paraId="18C4F1DB" w14:textId="027CB98D" w:rsidR="006932B2" w:rsidRPr="004779B6" w:rsidRDefault="006932B2" w:rsidP="004779B6">
      <w:pPr>
        <w:jc w:val="both"/>
        <w:rPr>
          <w:rFonts w:asciiTheme="majorHAnsi" w:hAnsiTheme="majorHAnsi" w:cstheme="majorHAnsi"/>
        </w:rPr>
      </w:pPr>
      <w:r w:rsidRPr="004779B6">
        <w:rPr>
          <w:rFonts w:asciiTheme="majorHAnsi" w:hAnsiTheme="majorHAnsi" w:cstheme="majorHAnsi"/>
        </w:rPr>
        <w:t xml:space="preserve">Kenya's policy architecture encourages green innovation </w:t>
      </w:r>
      <w:r w:rsidR="00471B3D" w:rsidRPr="004779B6">
        <w:rPr>
          <w:rFonts w:asciiTheme="majorHAnsi" w:hAnsiTheme="majorHAnsi" w:cstheme="majorHAnsi"/>
        </w:rPr>
        <w:t>through offering</w:t>
      </w:r>
      <w:r w:rsidRPr="004779B6">
        <w:rPr>
          <w:rFonts w:asciiTheme="majorHAnsi" w:hAnsiTheme="majorHAnsi" w:cstheme="majorHAnsi"/>
        </w:rPr>
        <w:t xml:space="preserve"> performance-based grants and funding mechanisms for both early-stage ventures and established green enterprises. Areas supported include solar energy systems, electric mobility networks, sustainable farming, and circular economy models (</w:t>
      </w:r>
      <w:proofErr w:type="spellStart"/>
      <w:r w:rsidRPr="004779B6">
        <w:rPr>
          <w:rFonts w:asciiTheme="majorHAnsi" w:hAnsiTheme="majorHAnsi" w:cstheme="majorHAnsi"/>
        </w:rPr>
        <w:t>Shobande</w:t>
      </w:r>
      <w:proofErr w:type="spellEnd"/>
      <w:r w:rsidRPr="004779B6">
        <w:rPr>
          <w:rFonts w:asciiTheme="majorHAnsi" w:hAnsiTheme="majorHAnsi" w:cstheme="majorHAnsi"/>
        </w:rPr>
        <w:t xml:space="preserve">, </w:t>
      </w:r>
      <w:proofErr w:type="spellStart"/>
      <w:r w:rsidRPr="004779B6">
        <w:rPr>
          <w:rFonts w:asciiTheme="majorHAnsi" w:hAnsiTheme="majorHAnsi" w:cstheme="majorHAnsi"/>
        </w:rPr>
        <w:t>Ogbeifun</w:t>
      </w:r>
      <w:proofErr w:type="spellEnd"/>
      <w:r w:rsidRPr="004779B6">
        <w:rPr>
          <w:rFonts w:asciiTheme="majorHAnsi" w:hAnsiTheme="majorHAnsi" w:cstheme="majorHAnsi"/>
        </w:rPr>
        <w:t>, &amp; Tiwari, 2023). These policies aim to generate jobs with lower carbon footprints, build climate resilience, and meet the targets outlined in Kenya’s Nationally Determined Contributions (NDCs) under the Paris Agreement (Africa Enterprise Challenge Fund, 2025).</w:t>
      </w:r>
    </w:p>
    <w:p w14:paraId="6744EE03" w14:textId="1D8D5C4B" w:rsidR="006932B2" w:rsidRPr="004779B6" w:rsidRDefault="006932B2" w:rsidP="004779B6">
      <w:pPr>
        <w:jc w:val="both"/>
        <w:rPr>
          <w:rFonts w:asciiTheme="majorHAnsi" w:hAnsiTheme="majorHAnsi" w:cstheme="majorHAnsi"/>
        </w:rPr>
      </w:pPr>
      <w:r w:rsidRPr="004779B6">
        <w:rPr>
          <w:rFonts w:asciiTheme="majorHAnsi" w:hAnsiTheme="majorHAnsi" w:cstheme="majorHAnsi"/>
        </w:rPr>
        <w:t>Nevertheless, several obstacles hinder the full exploitation of green technologies in tackling the climate crisis. For instance, although Kenya has introduced a regulatory framework for carbon markets and established a national carbon trading registry, the scalability and impact of these tools still require close examination (Santoshi, 2025). Furthermore, little empirical work has explored how green growth, technological innovation, and digital infrastructure collectively influence environmental health within Kenya, leaving an important gap in the literature.</w:t>
      </w:r>
    </w:p>
    <w:p w14:paraId="1647CBD6" w14:textId="4A18D691" w:rsidR="002B2DED" w:rsidRPr="004779B6" w:rsidRDefault="002B2DED" w:rsidP="004779B6">
      <w:pPr>
        <w:jc w:val="both"/>
        <w:rPr>
          <w:rFonts w:asciiTheme="majorHAnsi" w:hAnsiTheme="majorHAnsi" w:cstheme="majorHAnsi"/>
        </w:rPr>
      </w:pPr>
      <w:r w:rsidRPr="004779B6">
        <w:rPr>
          <w:rFonts w:asciiTheme="majorHAnsi" w:hAnsiTheme="majorHAnsi" w:cstheme="majorHAnsi"/>
        </w:rPr>
        <w:t>To address the research gap in Kenya, this domain presents a</w:t>
      </w:r>
      <w:r w:rsidR="00A85948" w:rsidRPr="004779B6">
        <w:rPr>
          <w:rFonts w:asciiTheme="majorHAnsi" w:hAnsiTheme="majorHAnsi" w:cstheme="majorHAnsi"/>
        </w:rPr>
        <w:t>n area for</w:t>
      </w:r>
      <w:r w:rsidRPr="004779B6">
        <w:rPr>
          <w:rFonts w:asciiTheme="majorHAnsi" w:hAnsiTheme="majorHAnsi" w:cstheme="majorHAnsi"/>
        </w:rPr>
        <w:t xml:space="preserve"> focused study. An innovative research study is proposed to explore the following questions from a Kenyan perspective:</w:t>
      </w:r>
    </w:p>
    <w:p w14:paraId="5B639959" w14:textId="77777777" w:rsidR="002B2DED" w:rsidRPr="004779B6" w:rsidRDefault="002B2DED" w:rsidP="004779B6">
      <w:pPr>
        <w:jc w:val="both"/>
        <w:rPr>
          <w:rFonts w:asciiTheme="majorHAnsi" w:hAnsiTheme="majorHAnsi" w:cstheme="majorHAnsi"/>
        </w:rPr>
      </w:pPr>
    </w:p>
    <w:p w14:paraId="46ED5A02" w14:textId="76F30678" w:rsidR="002B2DED" w:rsidRPr="004779B6" w:rsidRDefault="002B2DED" w:rsidP="004779B6">
      <w:pPr>
        <w:pStyle w:val="ListParagraph"/>
        <w:numPr>
          <w:ilvl w:val="0"/>
          <w:numId w:val="2"/>
        </w:numPr>
        <w:jc w:val="both"/>
        <w:rPr>
          <w:rFonts w:asciiTheme="majorHAnsi" w:hAnsiTheme="majorHAnsi" w:cstheme="majorHAnsi"/>
        </w:rPr>
      </w:pPr>
      <w:r w:rsidRPr="004779B6">
        <w:rPr>
          <w:rFonts w:asciiTheme="majorHAnsi" w:hAnsiTheme="majorHAnsi" w:cstheme="majorHAnsi"/>
        </w:rPr>
        <w:t>How do Kenya’s green growth initiatives, green innovation, and information and communication technology (ICT) contribute to environmental sustainability?</w:t>
      </w:r>
    </w:p>
    <w:p w14:paraId="37D0DAF2" w14:textId="1AA2E9E0" w:rsidR="002B2DED" w:rsidRPr="004779B6" w:rsidRDefault="002B2DED" w:rsidP="004779B6">
      <w:pPr>
        <w:pStyle w:val="ListParagraph"/>
        <w:numPr>
          <w:ilvl w:val="0"/>
          <w:numId w:val="2"/>
        </w:numPr>
        <w:jc w:val="both"/>
        <w:rPr>
          <w:rFonts w:asciiTheme="majorHAnsi" w:hAnsiTheme="majorHAnsi" w:cstheme="majorHAnsi"/>
        </w:rPr>
      </w:pPr>
      <w:r w:rsidRPr="004779B6">
        <w:rPr>
          <w:rFonts w:asciiTheme="majorHAnsi" w:hAnsiTheme="majorHAnsi" w:cstheme="majorHAnsi"/>
        </w:rPr>
        <w:lastRenderedPageBreak/>
        <w:t>Does the interaction of ICT with green growth and green innovation in Kenya support the achievement of environmental neutrality?</w:t>
      </w:r>
    </w:p>
    <w:p w14:paraId="18E2EDE1" w14:textId="674AC47B" w:rsidR="002B1C87" w:rsidRPr="004779B6" w:rsidRDefault="002B1C87" w:rsidP="004779B6">
      <w:pPr>
        <w:jc w:val="both"/>
        <w:rPr>
          <w:rFonts w:asciiTheme="majorHAnsi" w:hAnsiTheme="majorHAnsi" w:cstheme="majorHAnsi"/>
        </w:rPr>
      </w:pPr>
      <w:r w:rsidRPr="004779B6">
        <w:rPr>
          <w:rFonts w:asciiTheme="majorHAnsi" w:hAnsiTheme="majorHAnsi" w:cstheme="majorHAnsi"/>
        </w:rPr>
        <w:t>Although environmental sustainability has gained more visibility, the integrated impact of green growth, green innovation, and information and communication technology (ICT) on Kenya’s ecological outcomes is still insufficiently studied (Jiang, Rahman, Zhang, &amp; Islam, 2022). This research contributes to understanding how these elements interact to influence both carbon emissions and environmental integrity. It specifically evaluates the roles played by green growth (GG), green innovation (GIN), ICT, and their interaction terms (ICTGG and ICTGIN) in influencing Kenya’s environmental trajectory. In examining historical data, the study seeks to identify the main forces that either drive or hinder emissions reduction (Sarkodie &amp; Owusu, 2021).</w:t>
      </w:r>
    </w:p>
    <w:p w14:paraId="454C5FE7" w14:textId="0E8E5F16" w:rsidR="002B1C87" w:rsidRPr="004779B6" w:rsidRDefault="002B1C87" w:rsidP="004779B6">
      <w:pPr>
        <w:jc w:val="both"/>
        <w:rPr>
          <w:rFonts w:asciiTheme="majorHAnsi" w:hAnsiTheme="majorHAnsi" w:cstheme="majorHAnsi"/>
        </w:rPr>
      </w:pPr>
      <w:r w:rsidRPr="004779B6">
        <w:rPr>
          <w:rFonts w:asciiTheme="majorHAnsi" w:hAnsiTheme="majorHAnsi" w:cstheme="majorHAnsi"/>
        </w:rPr>
        <w:t xml:space="preserve">Kenya’s national strategy </w:t>
      </w:r>
      <w:r w:rsidR="00CD6AD8" w:rsidRPr="004779B6">
        <w:rPr>
          <w:rFonts w:asciiTheme="majorHAnsi" w:hAnsiTheme="majorHAnsi" w:cstheme="majorHAnsi"/>
        </w:rPr>
        <w:t>provides a</w:t>
      </w:r>
      <w:r w:rsidRPr="004779B6">
        <w:rPr>
          <w:rFonts w:asciiTheme="majorHAnsi" w:hAnsiTheme="majorHAnsi" w:cstheme="majorHAnsi"/>
        </w:rPr>
        <w:t xml:space="preserve"> gradual </w:t>
      </w:r>
      <w:r w:rsidR="00CD6AD8" w:rsidRPr="004779B6">
        <w:rPr>
          <w:rFonts w:asciiTheme="majorHAnsi" w:hAnsiTheme="majorHAnsi" w:cstheme="majorHAnsi"/>
        </w:rPr>
        <w:t>direction</w:t>
      </w:r>
      <w:r w:rsidRPr="004779B6">
        <w:rPr>
          <w:rFonts w:asciiTheme="majorHAnsi" w:hAnsiTheme="majorHAnsi" w:cstheme="majorHAnsi"/>
        </w:rPr>
        <w:t xml:space="preserve"> from conventional development models toward more integrated green growth policies that prioritize a low-carbon economy and the </w:t>
      </w:r>
      <w:r w:rsidR="00CD6AD8" w:rsidRPr="004779B6">
        <w:rPr>
          <w:rFonts w:asciiTheme="majorHAnsi" w:hAnsiTheme="majorHAnsi" w:cstheme="majorHAnsi"/>
        </w:rPr>
        <w:t xml:space="preserve">improvement </w:t>
      </w:r>
      <w:r w:rsidRPr="004779B6">
        <w:rPr>
          <w:rFonts w:asciiTheme="majorHAnsi" w:hAnsiTheme="majorHAnsi" w:cstheme="majorHAnsi"/>
        </w:rPr>
        <w:t xml:space="preserve">of digital infrastructure (Raza &amp; Lin, 2022). ICT developments </w:t>
      </w:r>
      <w:r w:rsidR="00F27760" w:rsidRPr="004779B6">
        <w:rPr>
          <w:rFonts w:asciiTheme="majorHAnsi" w:hAnsiTheme="majorHAnsi" w:cstheme="majorHAnsi"/>
        </w:rPr>
        <w:t xml:space="preserve">are </w:t>
      </w:r>
      <w:r w:rsidR="00CD6AD8" w:rsidRPr="004779B6">
        <w:rPr>
          <w:rFonts w:asciiTheme="majorHAnsi" w:hAnsiTheme="majorHAnsi" w:cstheme="majorHAnsi"/>
        </w:rPr>
        <w:t xml:space="preserve">part of </w:t>
      </w:r>
      <w:r w:rsidRPr="004779B6">
        <w:rPr>
          <w:rFonts w:asciiTheme="majorHAnsi" w:hAnsiTheme="majorHAnsi" w:cstheme="majorHAnsi"/>
        </w:rPr>
        <w:t xml:space="preserve">transformative role in this process, especially in areas like renewable energy, smart agriculture, and digital manufacturing systems (Lau, </w:t>
      </w:r>
      <w:proofErr w:type="spellStart"/>
      <w:r w:rsidRPr="004779B6">
        <w:rPr>
          <w:rFonts w:asciiTheme="majorHAnsi" w:hAnsiTheme="majorHAnsi" w:cstheme="majorHAnsi"/>
        </w:rPr>
        <w:t>Gozgor</w:t>
      </w:r>
      <w:proofErr w:type="spellEnd"/>
      <w:r w:rsidRPr="004779B6">
        <w:rPr>
          <w:rFonts w:asciiTheme="majorHAnsi" w:hAnsiTheme="majorHAnsi" w:cstheme="majorHAnsi"/>
        </w:rPr>
        <w:t xml:space="preserve">, Mahalik, Patel, &amp; Li, 2023). As a foundational technology, ICT enables innovation and supports technical advancements across multiple sectors, accelerating the green transition (Shahzad, </w:t>
      </w:r>
      <w:proofErr w:type="spellStart"/>
      <w:r w:rsidRPr="004779B6">
        <w:rPr>
          <w:rFonts w:asciiTheme="majorHAnsi" w:hAnsiTheme="majorHAnsi" w:cstheme="majorHAnsi"/>
        </w:rPr>
        <w:t>Jianqiu</w:t>
      </w:r>
      <w:proofErr w:type="spellEnd"/>
      <w:r w:rsidRPr="004779B6">
        <w:rPr>
          <w:rFonts w:asciiTheme="majorHAnsi" w:hAnsiTheme="majorHAnsi" w:cstheme="majorHAnsi"/>
        </w:rPr>
        <w:t xml:space="preserve">, Hashim, Nazam, &amp; Wang, 2020). Nevertheless, the rapid digitization process </w:t>
      </w:r>
      <w:r w:rsidR="00CD6AD8" w:rsidRPr="004779B6">
        <w:rPr>
          <w:rFonts w:asciiTheme="majorHAnsi" w:hAnsiTheme="majorHAnsi" w:cstheme="majorHAnsi"/>
        </w:rPr>
        <w:t>creates</w:t>
      </w:r>
      <w:r w:rsidRPr="004779B6">
        <w:rPr>
          <w:rFonts w:asciiTheme="majorHAnsi" w:hAnsiTheme="majorHAnsi" w:cstheme="majorHAnsi"/>
        </w:rPr>
        <w:t xml:space="preserve"> new environmental risks</w:t>
      </w:r>
      <w:r w:rsidR="00CD6AD8" w:rsidRPr="004779B6">
        <w:rPr>
          <w:rFonts w:asciiTheme="majorHAnsi" w:hAnsiTheme="majorHAnsi" w:cstheme="majorHAnsi"/>
        </w:rPr>
        <w:t>, for example,</w:t>
      </w:r>
      <w:r w:rsidRPr="004779B6">
        <w:rPr>
          <w:rFonts w:asciiTheme="majorHAnsi" w:hAnsiTheme="majorHAnsi" w:cstheme="majorHAnsi"/>
        </w:rPr>
        <w:t xml:space="preserve"> increased use of non-renewable inputs and electronic waste</w:t>
      </w:r>
      <w:r w:rsidR="00CD6AD8" w:rsidRPr="004779B6">
        <w:rPr>
          <w:rFonts w:asciiTheme="majorHAnsi" w:hAnsiTheme="majorHAnsi" w:cstheme="majorHAnsi"/>
        </w:rPr>
        <w:t xml:space="preserve">, </w:t>
      </w:r>
      <w:r w:rsidRPr="004779B6">
        <w:rPr>
          <w:rFonts w:asciiTheme="majorHAnsi" w:hAnsiTheme="majorHAnsi" w:cstheme="majorHAnsi"/>
        </w:rPr>
        <w:t>that need to be carefully managed to preserve sustainability gains (Khan, Teng, Khan, &amp; Khan, 2019).</w:t>
      </w:r>
    </w:p>
    <w:p w14:paraId="3270DE8E" w14:textId="239FBA5D" w:rsidR="002B1C87" w:rsidRPr="004779B6" w:rsidRDefault="002B1C87" w:rsidP="004779B6">
      <w:pPr>
        <w:jc w:val="both"/>
        <w:rPr>
          <w:rFonts w:asciiTheme="majorHAnsi" w:hAnsiTheme="majorHAnsi" w:cstheme="majorHAnsi"/>
        </w:rPr>
      </w:pPr>
      <w:r w:rsidRPr="004779B6">
        <w:rPr>
          <w:rFonts w:asciiTheme="majorHAnsi" w:hAnsiTheme="majorHAnsi" w:cstheme="majorHAnsi"/>
        </w:rPr>
        <w:t>This analysis investigates how ICT interacts with green growth and innovation to assess whether it reinforces environmental sustainability or exacerbates ecological degradation (</w:t>
      </w:r>
      <w:proofErr w:type="spellStart"/>
      <w:r w:rsidRPr="004779B6">
        <w:rPr>
          <w:rFonts w:asciiTheme="majorHAnsi" w:hAnsiTheme="majorHAnsi" w:cstheme="majorHAnsi"/>
        </w:rPr>
        <w:t>Balsalobre</w:t>
      </w:r>
      <w:proofErr w:type="spellEnd"/>
      <w:r w:rsidRPr="004779B6">
        <w:rPr>
          <w:rFonts w:asciiTheme="majorHAnsi" w:hAnsiTheme="majorHAnsi" w:cstheme="majorHAnsi"/>
        </w:rPr>
        <w:t xml:space="preserve">-Lorente, Abbas, He, Pilař, &amp; Shah, 2023; Khan, </w:t>
      </w:r>
      <w:proofErr w:type="spellStart"/>
      <w:r w:rsidRPr="004779B6">
        <w:rPr>
          <w:rFonts w:asciiTheme="majorHAnsi" w:hAnsiTheme="majorHAnsi" w:cstheme="majorHAnsi"/>
        </w:rPr>
        <w:t>Oubaih</w:t>
      </w:r>
      <w:proofErr w:type="spellEnd"/>
      <w:r w:rsidRPr="004779B6">
        <w:rPr>
          <w:rFonts w:asciiTheme="majorHAnsi" w:hAnsiTheme="majorHAnsi" w:cstheme="majorHAnsi"/>
        </w:rPr>
        <w:t xml:space="preserve">, &amp; </w:t>
      </w:r>
      <w:proofErr w:type="spellStart"/>
      <w:r w:rsidRPr="004779B6">
        <w:rPr>
          <w:rFonts w:asciiTheme="majorHAnsi" w:hAnsiTheme="majorHAnsi" w:cstheme="majorHAnsi"/>
        </w:rPr>
        <w:t>Elgourrami</w:t>
      </w:r>
      <w:proofErr w:type="spellEnd"/>
      <w:r w:rsidRPr="004779B6">
        <w:rPr>
          <w:rFonts w:asciiTheme="majorHAnsi" w:hAnsiTheme="majorHAnsi" w:cstheme="majorHAnsi"/>
        </w:rPr>
        <w:t xml:space="preserve">, 2022). </w:t>
      </w:r>
      <w:r w:rsidR="00D565FF" w:rsidRPr="004779B6">
        <w:rPr>
          <w:rFonts w:asciiTheme="majorHAnsi" w:hAnsiTheme="majorHAnsi" w:cstheme="majorHAnsi"/>
        </w:rPr>
        <w:t>In</w:t>
      </w:r>
      <w:r w:rsidRPr="004779B6">
        <w:rPr>
          <w:rFonts w:asciiTheme="majorHAnsi" w:hAnsiTheme="majorHAnsi" w:cstheme="majorHAnsi"/>
        </w:rPr>
        <w:t xml:space="preserve"> focusing on these interdependencies, the study aims to clarify ICT's role in facilitating carbon reduction through green technological advances, </w:t>
      </w:r>
      <w:r w:rsidR="00D565FF" w:rsidRPr="004779B6">
        <w:rPr>
          <w:rFonts w:asciiTheme="majorHAnsi" w:hAnsiTheme="majorHAnsi" w:cstheme="majorHAnsi"/>
        </w:rPr>
        <w:t xml:space="preserve">and </w:t>
      </w:r>
      <w:r w:rsidRPr="004779B6">
        <w:rPr>
          <w:rFonts w:asciiTheme="majorHAnsi" w:hAnsiTheme="majorHAnsi" w:cstheme="majorHAnsi"/>
        </w:rPr>
        <w:t>to guide future policy and investment decisions.</w:t>
      </w:r>
    </w:p>
    <w:p w14:paraId="0DC3CE40" w14:textId="17C25436" w:rsidR="002B1C87" w:rsidRPr="004779B6" w:rsidRDefault="002B1C87" w:rsidP="004779B6">
      <w:pPr>
        <w:jc w:val="both"/>
        <w:rPr>
          <w:rFonts w:asciiTheme="majorHAnsi" w:hAnsiTheme="majorHAnsi" w:cstheme="majorHAnsi"/>
        </w:rPr>
      </w:pPr>
      <w:r w:rsidRPr="004779B6">
        <w:rPr>
          <w:rFonts w:asciiTheme="majorHAnsi" w:hAnsiTheme="majorHAnsi" w:cstheme="majorHAnsi"/>
        </w:rPr>
        <w:t>To summarize, this research makes a significant contribution by (1) investigating the influence of green growth, innovation, and ICT on Kenya’s emissions trends; (2) employing rigorous econometric models to test long-term relationships among these variables; and (3) developing a comprehensive green growth index to measure Kenya’s progress toward net-zero emissions. The results are intended to assist in formulating sustainable policies that foster economic advancement while protecting the environment. This aligns with Kenya’s broader ambition to position green innovation and digital transformation at the heart of its low-carbon development strategy.</w:t>
      </w:r>
    </w:p>
    <w:p w14:paraId="5E3902B2" w14:textId="0C458279" w:rsidR="003219D0" w:rsidRPr="004779B6" w:rsidRDefault="003219D0" w:rsidP="004779B6">
      <w:pPr>
        <w:jc w:val="both"/>
        <w:rPr>
          <w:rFonts w:asciiTheme="majorHAnsi" w:hAnsiTheme="majorHAnsi" w:cstheme="majorHAnsi"/>
        </w:rPr>
      </w:pPr>
      <w:r w:rsidRPr="004779B6">
        <w:rPr>
          <w:rFonts w:asciiTheme="majorHAnsi" w:hAnsiTheme="majorHAnsi" w:cstheme="majorHAnsi"/>
        </w:rPr>
        <w:t xml:space="preserve">The remainder of this study is structured as follows: Section 2 reviews the existing body of literature. Section 3 outlines the data sources and the econometric models employed. Section 4 details the estimation methodology. Section 5 discusses the empirical results and their </w:t>
      </w:r>
      <w:r w:rsidRPr="004779B6">
        <w:rPr>
          <w:rFonts w:asciiTheme="majorHAnsi" w:hAnsiTheme="majorHAnsi" w:cstheme="majorHAnsi"/>
        </w:rPr>
        <w:lastRenderedPageBreak/>
        <w:t>implications. Finally, Section 6 concludes the study and offers recommendations for future research.</w:t>
      </w:r>
    </w:p>
    <w:p w14:paraId="56CA95B0" w14:textId="3F7D64FB" w:rsidR="002B1C87" w:rsidRPr="004779B6" w:rsidRDefault="007E2E7F" w:rsidP="004779B6">
      <w:pPr>
        <w:jc w:val="both"/>
        <w:rPr>
          <w:rFonts w:asciiTheme="majorHAnsi" w:hAnsiTheme="majorHAnsi" w:cstheme="majorHAnsi"/>
          <w:b/>
          <w:bCs/>
        </w:rPr>
      </w:pPr>
      <w:r w:rsidRPr="004779B6">
        <w:rPr>
          <w:rFonts w:asciiTheme="majorHAnsi" w:hAnsiTheme="majorHAnsi" w:cstheme="majorHAnsi"/>
          <w:b/>
          <w:bCs/>
        </w:rPr>
        <w:t>2. Literature review and theoretical links</w:t>
      </w:r>
    </w:p>
    <w:p w14:paraId="034E8B9B" w14:textId="6D899731" w:rsidR="007E2E7F" w:rsidRPr="004779B6" w:rsidRDefault="007E2E7F" w:rsidP="004779B6">
      <w:pPr>
        <w:jc w:val="both"/>
        <w:rPr>
          <w:rFonts w:asciiTheme="majorHAnsi" w:hAnsiTheme="majorHAnsi" w:cstheme="majorHAnsi"/>
          <w:b/>
          <w:bCs/>
        </w:rPr>
      </w:pPr>
      <w:r w:rsidRPr="004779B6">
        <w:rPr>
          <w:rFonts w:asciiTheme="majorHAnsi" w:hAnsiTheme="majorHAnsi" w:cstheme="majorHAnsi"/>
          <w:b/>
          <w:bCs/>
        </w:rPr>
        <w:t>2.1. Theoretical linkages</w:t>
      </w:r>
    </w:p>
    <w:p w14:paraId="3D9FA724" w14:textId="0D205802" w:rsidR="005F43DB" w:rsidRPr="004779B6" w:rsidRDefault="005F43DB" w:rsidP="004779B6">
      <w:pPr>
        <w:jc w:val="both"/>
        <w:rPr>
          <w:rFonts w:asciiTheme="majorHAnsi" w:hAnsiTheme="majorHAnsi" w:cstheme="majorHAnsi"/>
        </w:rPr>
      </w:pPr>
      <w:r w:rsidRPr="004779B6">
        <w:rPr>
          <w:rFonts w:asciiTheme="majorHAnsi" w:hAnsiTheme="majorHAnsi" w:cstheme="majorHAnsi"/>
        </w:rPr>
        <w:t xml:space="preserve">Over time, literature has </w:t>
      </w:r>
      <w:r w:rsidR="000D6527" w:rsidRPr="004779B6">
        <w:rPr>
          <w:rFonts w:asciiTheme="majorHAnsi" w:hAnsiTheme="majorHAnsi" w:cstheme="majorHAnsi"/>
        </w:rPr>
        <w:t>been</w:t>
      </w:r>
      <w:r w:rsidRPr="004779B6">
        <w:rPr>
          <w:rFonts w:asciiTheme="majorHAnsi" w:hAnsiTheme="majorHAnsi" w:cstheme="majorHAnsi"/>
        </w:rPr>
        <w:t xml:space="preserve"> examining how information and communication technology (ICT) and green innovation contribute to resolving environmental challenges. The environmental impact of ICT is </w:t>
      </w:r>
      <w:r w:rsidR="000D6527" w:rsidRPr="004779B6">
        <w:rPr>
          <w:rFonts w:asciiTheme="majorHAnsi" w:hAnsiTheme="majorHAnsi" w:cstheme="majorHAnsi"/>
        </w:rPr>
        <w:t>influenced</w:t>
      </w:r>
      <w:r w:rsidRPr="004779B6">
        <w:rPr>
          <w:rFonts w:asciiTheme="majorHAnsi" w:hAnsiTheme="majorHAnsi" w:cstheme="majorHAnsi"/>
        </w:rPr>
        <w:t xml:space="preserve"> by several interacting factors, including its integration with technological innovation, economic development, and renewable energy deployment (Khan, </w:t>
      </w:r>
      <w:proofErr w:type="spellStart"/>
      <w:r w:rsidRPr="004779B6">
        <w:rPr>
          <w:rFonts w:asciiTheme="majorHAnsi" w:hAnsiTheme="majorHAnsi" w:cstheme="majorHAnsi"/>
        </w:rPr>
        <w:t>Oubaih</w:t>
      </w:r>
      <w:proofErr w:type="spellEnd"/>
      <w:r w:rsidRPr="004779B6">
        <w:rPr>
          <w:rFonts w:asciiTheme="majorHAnsi" w:hAnsiTheme="majorHAnsi" w:cstheme="majorHAnsi"/>
        </w:rPr>
        <w:t xml:space="preserve">, &amp; </w:t>
      </w:r>
      <w:proofErr w:type="spellStart"/>
      <w:r w:rsidRPr="004779B6">
        <w:rPr>
          <w:rFonts w:asciiTheme="majorHAnsi" w:hAnsiTheme="majorHAnsi" w:cstheme="majorHAnsi"/>
        </w:rPr>
        <w:t>Elgourrami</w:t>
      </w:r>
      <w:proofErr w:type="spellEnd"/>
      <w:r w:rsidRPr="004779B6">
        <w:rPr>
          <w:rFonts w:asciiTheme="majorHAnsi" w:hAnsiTheme="majorHAnsi" w:cstheme="majorHAnsi"/>
        </w:rPr>
        <w:t>, 2022; Lahouel, Taleb, Zaied, &amp; Managi, 2021; Azam, Rafiq, Shafique, &amp; Yuan, 2021). One perspective suggests that ICT can play a positive role in environmental protection by enhancing energy efficiency, boosting the use of renewable energy sources, and improving productivity. This view posits that ICT can promote sustainability through more efficient transport systems and manufacturing operations (</w:t>
      </w:r>
      <w:proofErr w:type="spellStart"/>
      <w:r w:rsidRPr="004779B6">
        <w:rPr>
          <w:rFonts w:asciiTheme="majorHAnsi" w:hAnsiTheme="majorHAnsi" w:cstheme="majorHAnsi"/>
        </w:rPr>
        <w:t>Balsalobre</w:t>
      </w:r>
      <w:proofErr w:type="spellEnd"/>
      <w:r w:rsidRPr="004779B6">
        <w:rPr>
          <w:rFonts w:asciiTheme="majorHAnsi" w:hAnsiTheme="majorHAnsi" w:cstheme="majorHAnsi"/>
        </w:rPr>
        <w:t xml:space="preserve">-Lorente, Abbas, He, Pilař, &amp; Shah, 2023; </w:t>
      </w:r>
      <w:proofErr w:type="spellStart"/>
      <w:r w:rsidRPr="004779B6">
        <w:rPr>
          <w:rFonts w:asciiTheme="majorHAnsi" w:hAnsiTheme="majorHAnsi" w:cstheme="majorHAnsi"/>
        </w:rPr>
        <w:t>Chatti</w:t>
      </w:r>
      <w:proofErr w:type="spellEnd"/>
      <w:r w:rsidRPr="004779B6">
        <w:rPr>
          <w:rFonts w:asciiTheme="majorHAnsi" w:hAnsiTheme="majorHAnsi" w:cstheme="majorHAnsi"/>
        </w:rPr>
        <w:t>, 2021; Zhang &amp; Liu, 2015).</w:t>
      </w:r>
    </w:p>
    <w:p w14:paraId="5EE9D940" w14:textId="556DBCBE" w:rsidR="005F43DB" w:rsidRPr="004779B6" w:rsidRDefault="007C2CB1" w:rsidP="004779B6">
      <w:pPr>
        <w:jc w:val="both"/>
        <w:rPr>
          <w:rFonts w:asciiTheme="majorHAnsi" w:hAnsiTheme="majorHAnsi" w:cstheme="majorHAnsi"/>
        </w:rPr>
      </w:pPr>
      <w:r w:rsidRPr="004779B6">
        <w:rPr>
          <w:rFonts w:asciiTheme="majorHAnsi" w:hAnsiTheme="majorHAnsi" w:cstheme="majorHAnsi"/>
        </w:rPr>
        <w:t xml:space="preserve">In contrast, other </w:t>
      </w:r>
      <w:r w:rsidR="005F43DB" w:rsidRPr="004779B6">
        <w:rPr>
          <w:rFonts w:asciiTheme="majorHAnsi" w:hAnsiTheme="majorHAnsi" w:cstheme="majorHAnsi"/>
        </w:rPr>
        <w:t xml:space="preserve">research argues that ICT expansion may contribute to environmental degradation. From this viewpoint, increased ICT penetration can drive up pollution through greater industrial output, accelerated globalization, and higher energy consumption (Wang, Jiang, Dong, &amp; Dong, 2021; Asongu, Le Roux, &amp; </w:t>
      </w:r>
      <w:proofErr w:type="spellStart"/>
      <w:r w:rsidR="005F43DB" w:rsidRPr="004779B6">
        <w:rPr>
          <w:rFonts w:asciiTheme="majorHAnsi" w:hAnsiTheme="majorHAnsi" w:cstheme="majorHAnsi"/>
        </w:rPr>
        <w:t>Biekpe</w:t>
      </w:r>
      <w:proofErr w:type="spellEnd"/>
      <w:r w:rsidR="005F43DB" w:rsidRPr="004779B6">
        <w:rPr>
          <w:rFonts w:asciiTheme="majorHAnsi" w:hAnsiTheme="majorHAnsi" w:cstheme="majorHAnsi"/>
        </w:rPr>
        <w:t>, 2017). Given these contrasting perspectives, the overall effect of ICT on anthropogenic climate change remains contested. Therefore, the empirical literature includes a wide array of global and regional studies</w:t>
      </w:r>
      <w:r w:rsidR="000D6527" w:rsidRPr="004779B6">
        <w:rPr>
          <w:rFonts w:asciiTheme="majorHAnsi" w:hAnsiTheme="majorHAnsi" w:cstheme="majorHAnsi"/>
        </w:rPr>
        <w:t xml:space="preserve">. </w:t>
      </w:r>
    </w:p>
    <w:p w14:paraId="73D5112B" w14:textId="68CB8967" w:rsidR="005F43DB" w:rsidRPr="004779B6" w:rsidRDefault="005F43DB" w:rsidP="004779B6">
      <w:pPr>
        <w:jc w:val="both"/>
        <w:rPr>
          <w:rFonts w:asciiTheme="majorHAnsi" w:hAnsiTheme="majorHAnsi" w:cstheme="majorHAnsi"/>
          <w:b/>
          <w:bCs/>
        </w:rPr>
      </w:pPr>
      <w:r w:rsidRPr="004779B6">
        <w:rPr>
          <w:rFonts w:asciiTheme="majorHAnsi" w:hAnsiTheme="majorHAnsi" w:cstheme="majorHAnsi"/>
          <w:b/>
          <w:bCs/>
        </w:rPr>
        <w:t>2.2 ICT and CO2 emissions Nexus</w:t>
      </w:r>
    </w:p>
    <w:p w14:paraId="7903D3F0" w14:textId="4FB4D19D" w:rsidR="00907CA7" w:rsidRPr="004779B6" w:rsidRDefault="00907CA7" w:rsidP="004779B6">
      <w:pPr>
        <w:jc w:val="both"/>
        <w:rPr>
          <w:rFonts w:asciiTheme="majorHAnsi" w:hAnsiTheme="majorHAnsi" w:cstheme="majorHAnsi"/>
        </w:rPr>
      </w:pPr>
      <w:r w:rsidRPr="004779B6">
        <w:rPr>
          <w:rFonts w:asciiTheme="majorHAnsi" w:hAnsiTheme="majorHAnsi" w:cstheme="majorHAnsi"/>
        </w:rPr>
        <w:t>Studies have explored the environmental implications of ICT, mostly through cross-country comparisons or country-specific analyses. Current research presents mixed outcomes, with ICT showing both beneficial and detrimental effects on the environment. For example, Sun (2022), using a spatial Durbin model to analyze data from China between 2003 and 2017, found that green technology innovation (GTI) and ICT significantly contribute to reducing local carbon intensity. However, these benefits may be offset by negative spatial spillovers that increase emissions in neighboring cities. The study also revealed regional disparities, where eastern provinces demonstrated greater efficiency in lowering carbon intensity compared to central and western regions.</w:t>
      </w:r>
    </w:p>
    <w:p w14:paraId="04CFEEA6" w14:textId="33C17E7A" w:rsidR="00907CA7" w:rsidRPr="004779B6" w:rsidRDefault="00907CA7" w:rsidP="004779B6">
      <w:pPr>
        <w:jc w:val="both"/>
        <w:rPr>
          <w:rFonts w:asciiTheme="majorHAnsi" w:hAnsiTheme="majorHAnsi" w:cstheme="majorHAnsi"/>
        </w:rPr>
      </w:pPr>
      <w:r w:rsidRPr="004779B6">
        <w:rPr>
          <w:rFonts w:asciiTheme="majorHAnsi" w:hAnsiTheme="majorHAnsi" w:cstheme="majorHAnsi"/>
        </w:rPr>
        <w:t xml:space="preserve">Similarly, </w:t>
      </w:r>
      <w:proofErr w:type="spellStart"/>
      <w:r w:rsidRPr="004779B6">
        <w:rPr>
          <w:rFonts w:asciiTheme="majorHAnsi" w:hAnsiTheme="majorHAnsi" w:cstheme="majorHAnsi"/>
        </w:rPr>
        <w:t>Shahnazi</w:t>
      </w:r>
      <w:proofErr w:type="spellEnd"/>
      <w:r w:rsidRPr="004779B6">
        <w:rPr>
          <w:rFonts w:asciiTheme="majorHAnsi" w:hAnsiTheme="majorHAnsi" w:cstheme="majorHAnsi"/>
        </w:rPr>
        <w:t xml:space="preserve"> and Dehghan Shabani (2019) applied a dynamic spatial Durbin model to assess ICT's influence on Iran’s carbon emissions from 2001 to 2015. Their findings indicated an inverted U-shaped relationship, </w:t>
      </w:r>
      <w:r w:rsidR="000D6527" w:rsidRPr="004779B6">
        <w:rPr>
          <w:rFonts w:asciiTheme="majorHAnsi" w:hAnsiTheme="majorHAnsi" w:cstheme="majorHAnsi"/>
        </w:rPr>
        <w:t>meaning</w:t>
      </w:r>
      <w:r w:rsidRPr="004779B6">
        <w:rPr>
          <w:rFonts w:asciiTheme="majorHAnsi" w:hAnsiTheme="majorHAnsi" w:cstheme="majorHAnsi"/>
        </w:rPr>
        <w:t xml:space="preserve"> that ICT initially increases emissions but eventually contributes to their reduction over time. In contrast, Kraemer, Ganley, and Dewan (2005) found that ICT </w:t>
      </w:r>
      <w:r w:rsidRPr="004779B6">
        <w:rPr>
          <w:rFonts w:asciiTheme="majorHAnsi" w:hAnsiTheme="majorHAnsi" w:cstheme="majorHAnsi"/>
        </w:rPr>
        <w:lastRenderedPageBreak/>
        <w:t>development had no significant environmental impact in developing countries, with observable effects limited to developed nations.</w:t>
      </w:r>
    </w:p>
    <w:p w14:paraId="65A405F5" w14:textId="5F7D20F6" w:rsidR="00907CA7" w:rsidRPr="004779B6" w:rsidRDefault="00907CA7" w:rsidP="004779B6">
      <w:pPr>
        <w:jc w:val="both"/>
        <w:rPr>
          <w:rFonts w:asciiTheme="majorHAnsi" w:hAnsiTheme="majorHAnsi" w:cstheme="majorHAnsi"/>
        </w:rPr>
      </w:pPr>
      <w:r w:rsidRPr="004779B6">
        <w:rPr>
          <w:rFonts w:asciiTheme="majorHAnsi" w:hAnsiTheme="majorHAnsi" w:cstheme="majorHAnsi"/>
        </w:rPr>
        <w:t>Zafar, Zaidi, Mansoor, Sinha, and Qin (2022) investigated the role of ICT and education in environmental quality across selected Asian economies from 1990 to 2018. Utilizing the Fully Modified Cup-FM approach, the authors concluded that combining ICT advancement with energy-efficient strategies can enhance environmental outcomes, supporting the case for ICT-driven sustainable development.</w:t>
      </w:r>
    </w:p>
    <w:p w14:paraId="1CD57988" w14:textId="3CB2BC65" w:rsidR="00907CA7" w:rsidRPr="004779B6" w:rsidRDefault="00907CA7" w:rsidP="004779B6">
      <w:pPr>
        <w:jc w:val="both"/>
        <w:rPr>
          <w:rFonts w:asciiTheme="majorHAnsi" w:hAnsiTheme="majorHAnsi" w:cstheme="majorHAnsi"/>
        </w:rPr>
      </w:pPr>
      <w:proofErr w:type="spellStart"/>
      <w:r w:rsidRPr="004779B6">
        <w:rPr>
          <w:rFonts w:asciiTheme="majorHAnsi" w:hAnsiTheme="majorHAnsi" w:cstheme="majorHAnsi"/>
        </w:rPr>
        <w:t>Chatti</w:t>
      </w:r>
      <w:proofErr w:type="spellEnd"/>
      <w:r w:rsidRPr="004779B6">
        <w:rPr>
          <w:rFonts w:asciiTheme="majorHAnsi" w:hAnsiTheme="majorHAnsi" w:cstheme="majorHAnsi"/>
        </w:rPr>
        <w:t xml:space="preserve"> and Majeed (2023) analyzed the role of ICT in mitigating carbon emissions across 60 developing and 34 developed countries during the period from 1998 to 2016 using a two-step GMM system. Their research mentioned that ICT's impact on emission reduction is stronger in urban areas of both developed and developing countries, whereas its effect is comparatively weaker in rural regions. Nonetheless, integrating ICT into smart city frameworks holds substantial potential for lowering pollution in both contexts, underlining spatial disparities in environmental performance.</w:t>
      </w:r>
    </w:p>
    <w:p w14:paraId="1793D946" w14:textId="72358BCA" w:rsidR="00907CA7" w:rsidRPr="004779B6" w:rsidRDefault="00907CA7" w:rsidP="004779B6">
      <w:pPr>
        <w:jc w:val="both"/>
        <w:rPr>
          <w:rFonts w:asciiTheme="majorHAnsi" w:hAnsiTheme="majorHAnsi" w:cstheme="majorHAnsi"/>
          <w:b/>
          <w:bCs/>
        </w:rPr>
      </w:pPr>
      <w:r w:rsidRPr="004779B6">
        <w:rPr>
          <w:rFonts w:asciiTheme="majorHAnsi" w:hAnsiTheme="majorHAnsi" w:cstheme="majorHAnsi"/>
          <w:b/>
          <w:bCs/>
        </w:rPr>
        <w:t>2.3 Green Growth and CO₂ Emissions Nexus</w:t>
      </w:r>
    </w:p>
    <w:p w14:paraId="17303505" w14:textId="0C0D4098" w:rsidR="001D7A38" w:rsidRPr="004779B6" w:rsidRDefault="001D7A38" w:rsidP="004779B6">
      <w:pPr>
        <w:jc w:val="both"/>
        <w:rPr>
          <w:rFonts w:asciiTheme="majorHAnsi" w:hAnsiTheme="majorHAnsi" w:cstheme="majorHAnsi"/>
        </w:rPr>
      </w:pPr>
      <w:r w:rsidRPr="004779B6">
        <w:rPr>
          <w:rFonts w:asciiTheme="majorHAnsi" w:hAnsiTheme="majorHAnsi" w:cstheme="majorHAnsi"/>
        </w:rPr>
        <w:t xml:space="preserve">Over time, human reliance on energy sources like coal, petroleum, and natural gas has led to a discharge of carbon dioxide into the Earth’s atmosphere. This accumulation has contributed to climate-related challenges, such as global temperature increases and rising ocean levels (Mensah et al., 2019; Li &amp; </w:t>
      </w:r>
      <w:proofErr w:type="spellStart"/>
      <w:r w:rsidRPr="004779B6">
        <w:rPr>
          <w:rFonts w:asciiTheme="majorHAnsi" w:hAnsiTheme="majorHAnsi" w:cstheme="majorHAnsi"/>
        </w:rPr>
        <w:t>Haneklaus</w:t>
      </w:r>
      <w:proofErr w:type="spellEnd"/>
      <w:r w:rsidRPr="004779B6">
        <w:rPr>
          <w:rFonts w:asciiTheme="majorHAnsi" w:hAnsiTheme="majorHAnsi" w:cstheme="majorHAnsi"/>
        </w:rPr>
        <w:t xml:space="preserve">, 2021; Hanif et al., 2019; </w:t>
      </w:r>
      <w:proofErr w:type="spellStart"/>
      <w:r w:rsidRPr="004779B6">
        <w:rPr>
          <w:rFonts w:asciiTheme="majorHAnsi" w:hAnsiTheme="majorHAnsi" w:cstheme="majorHAnsi"/>
        </w:rPr>
        <w:t>Lotfalipour</w:t>
      </w:r>
      <w:proofErr w:type="spellEnd"/>
      <w:r w:rsidRPr="004779B6">
        <w:rPr>
          <w:rFonts w:asciiTheme="majorHAnsi" w:hAnsiTheme="majorHAnsi" w:cstheme="majorHAnsi"/>
        </w:rPr>
        <w:t xml:space="preserve">, Falahi, &amp; </w:t>
      </w:r>
      <w:proofErr w:type="spellStart"/>
      <w:r w:rsidRPr="004779B6">
        <w:rPr>
          <w:rFonts w:asciiTheme="majorHAnsi" w:hAnsiTheme="majorHAnsi" w:cstheme="majorHAnsi"/>
        </w:rPr>
        <w:t>Ashena</w:t>
      </w:r>
      <w:proofErr w:type="spellEnd"/>
      <w:r w:rsidRPr="004779B6">
        <w:rPr>
          <w:rFonts w:asciiTheme="majorHAnsi" w:hAnsiTheme="majorHAnsi" w:cstheme="majorHAnsi"/>
        </w:rPr>
        <w:t>, 2010). Due to the detrimental effects linked to greenhouse gas emissions, international initiatives have increasingly focused on cutting carbon output. As environmental degradation becomes a more pressing concern, it is imperative for nations to adopt development paths that prioritize sustainability and inclusivity.</w:t>
      </w:r>
    </w:p>
    <w:p w14:paraId="44217D44" w14:textId="18B00993" w:rsidR="001D7A38" w:rsidRPr="004779B6" w:rsidRDefault="001D7A38" w:rsidP="004779B6">
      <w:pPr>
        <w:jc w:val="both"/>
        <w:rPr>
          <w:rFonts w:asciiTheme="majorHAnsi" w:hAnsiTheme="majorHAnsi" w:cstheme="majorHAnsi"/>
        </w:rPr>
      </w:pPr>
      <w:r w:rsidRPr="004779B6">
        <w:rPr>
          <w:rFonts w:asciiTheme="majorHAnsi" w:hAnsiTheme="majorHAnsi" w:cstheme="majorHAnsi"/>
        </w:rPr>
        <w:t>Empirical studies into the relationship between economic advancement and emissions of carbon have yielded varying conclusions. One perspective suggests that rapid industrial and financial progress exacerbates ecological deterioration (Mikayilov, Galeotti, &amp; Hasanov, 2018; Ozturk &amp; Salah Uddin, 2012). On the other hand, a different school of thought posits that GDP growth and carbon discharges are not necessarily interlinked (</w:t>
      </w:r>
      <w:proofErr w:type="spellStart"/>
      <w:r w:rsidRPr="004779B6">
        <w:rPr>
          <w:rFonts w:asciiTheme="majorHAnsi" w:hAnsiTheme="majorHAnsi" w:cstheme="majorHAnsi"/>
        </w:rPr>
        <w:t>Gorus</w:t>
      </w:r>
      <w:proofErr w:type="spellEnd"/>
      <w:r w:rsidRPr="004779B6">
        <w:rPr>
          <w:rFonts w:asciiTheme="majorHAnsi" w:hAnsiTheme="majorHAnsi" w:cstheme="majorHAnsi"/>
        </w:rPr>
        <w:t xml:space="preserve"> &amp; Aydin, 2019; Salahuddin, Alam, &amp; Ozturk, 2016). As the concept of a green economy gain</w:t>
      </w:r>
      <w:r w:rsidR="001B185C" w:rsidRPr="004779B6">
        <w:rPr>
          <w:rFonts w:asciiTheme="majorHAnsi" w:hAnsiTheme="majorHAnsi" w:cstheme="majorHAnsi"/>
        </w:rPr>
        <w:t>s traction</w:t>
      </w:r>
      <w:r w:rsidRPr="004779B6">
        <w:rPr>
          <w:rFonts w:asciiTheme="majorHAnsi" w:hAnsiTheme="majorHAnsi" w:cstheme="majorHAnsi"/>
        </w:rPr>
        <w:t>, understanding its influence on climate outcomes has become an increasingly critical area of academic research.</w:t>
      </w:r>
    </w:p>
    <w:p w14:paraId="562948D8" w14:textId="4C72627F" w:rsidR="001D7A38" w:rsidRPr="004779B6" w:rsidRDefault="001D7A38" w:rsidP="004779B6">
      <w:pPr>
        <w:jc w:val="both"/>
        <w:rPr>
          <w:rFonts w:asciiTheme="majorHAnsi" w:hAnsiTheme="majorHAnsi" w:cstheme="majorHAnsi"/>
        </w:rPr>
      </w:pPr>
      <w:r w:rsidRPr="004779B6">
        <w:rPr>
          <w:rFonts w:asciiTheme="majorHAnsi" w:hAnsiTheme="majorHAnsi" w:cstheme="majorHAnsi"/>
        </w:rPr>
        <w:t xml:space="preserve">For instance, an analysis by Saleem, Khan, and </w:t>
      </w:r>
      <w:proofErr w:type="spellStart"/>
      <w:r w:rsidRPr="004779B6">
        <w:rPr>
          <w:rFonts w:asciiTheme="majorHAnsi" w:hAnsiTheme="majorHAnsi" w:cstheme="majorHAnsi"/>
        </w:rPr>
        <w:t>Mahdavian</w:t>
      </w:r>
      <w:proofErr w:type="spellEnd"/>
      <w:r w:rsidRPr="004779B6">
        <w:rPr>
          <w:rFonts w:asciiTheme="majorHAnsi" w:hAnsiTheme="majorHAnsi" w:cstheme="majorHAnsi"/>
        </w:rPr>
        <w:t xml:space="preserve"> (2022) showed that sustainable development initiatives across a dozen Asian nations between 1990 and 2018 were effective in lowering CO₂ output. Likewise, Dogan, Hodžić, and Fatur Šikić (2022) studied 25 environmentally progressive countries and found that green fiscal policies</w:t>
      </w:r>
      <w:r w:rsidR="00603188" w:rsidRPr="004779B6">
        <w:rPr>
          <w:rFonts w:asciiTheme="majorHAnsi" w:hAnsiTheme="majorHAnsi" w:cstheme="majorHAnsi"/>
        </w:rPr>
        <w:t xml:space="preserve"> especially</w:t>
      </w:r>
      <w:r w:rsidRPr="004779B6">
        <w:rPr>
          <w:rFonts w:asciiTheme="majorHAnsi" w:hAnsiTheme="majorHAnsi" w:cstheme="majorHAnsi"/>
        </w:rPr>
        <w:t xml:space="preserve"> taxation systems designed to discourage pollution</w:t>
      </w:r>
      <w:r w:rsidR="00603188" w:rsidRPr="004779B6">
        <w:rPr>
          <w:rFonts w:asciiTheme="majorHAnsi" w:hAnsiTheme="majorHAnsi" w:cstheme="majorHAnsi"/>
        </w:rPr>
        <w:t xml:space="preserve">, </w:t>
      </w:r>
      <w:r w:rsidRPr="004779B6">
        <w:rPr>
          <w:rFonts w:asciiTheme="majorHAnsi" w:hAnsiTheme="majorHAnsi" w:cstheme="majorHAnsi"/>
        </w:rPr>
        <w:t xml:space="preserve">were significantly associated with lower emissions. Their findings, derived </w:t>
      </w:r>
      <w:r w:rsidRPr="004779B6">
        <w:rPr>
          <w:rFonts w:asciiTheme="majorHAnsi" w:hAnsiTheme="majorHAnsi" w:cstheme="majorHAnsi"/>
        </w:rPr>
        <w:lastRenderedPageBreak/>
        <w:t>from a quantile regression model</w:t>
      </w:r>
      <w:r w:rsidR="001B185C" w:rsidRPr="004779B6">
        <w:rPr>
          <w:rFonts w:asciiTheme="majorHAnsi" w:hAnsiTheme="majorHAnsi" w:cstheme="majorHAnsi"/>
        </w:rPr>
        <w:t xml:space="preserve"> further supported</w:t>
      </w:r>
      <w:r w:rsidRPr="004779B6">
        <w:rPr>
          <w:rFonts w:asciiTheme="majorHAnsi" w:hAnsiTheme="majorHAnsi" w:cstheme="majorHAnsi"/>
        </w:rPr>
        <w:t xml:space="preserve"> the negative relationship between eco-friendly economic policies and environmental degradation.</w:t>
      </w:r>
    </w:p>
    <w:p w14:paraId="280C64D1" w14:textId="354C91F3" w:rsidR="001D7A38" w:rsidRPr="004779B6" w:rsidRDefault="001D7A38" w:rsidP="004779B6">
      <w:pPr>
        <w:jc w:val="both"/>
        <w:rPr>
          <w:rFonts w:asciiTheme="majorHAnsi" w:hAnsiTheme="majorHAnsi" w:cstheme="majorHAnsi"/>
        </w:rPr>
      </w:pPr>
      <w:r w:rsidRPr="004779B6">
        <w:rPr>
          <w:rFonts w:asciiTheme="majorHAnsi" w:hAnsiTheme="majorHAnsi" w:cstheme="majorHAnsi"/>
        </w:rPr>
        <w:t>Furthermore, Zhao, Taghizadeh-</w:t>
      </w:r>
      <w:proofErr w:type="spellStart"/>
      <w:r w:rsidRPr="004779B6">
        <w:rPr>
          <w:rFonts w:asciiTheme="majorHAnsi" w:hAnsiTheme="majorHAnsi" w:cstheme="majorHAnsi"/>
        </w:rPr>
        <w:t>Hesary</w:t>
      </w:r>
      <w:proofErr w:type="spellEnd"/>
      <w:r w:rsidRPr="004779B6">
        <w:rPr>
          <w:rFonts w:asciiTheme="majorHAnsi" w:hAnsiTheme="majorHAnsi" w:cstheme="majorHAnsi"/>
        </w:rPr>
        <w:t xml:space="preserve">, Dong, and Dong (2023) assessed regional data across Chinese provinces from 2004 to 2018. Their study revealed that investments in green financial tools and eco-centric growth strategies contributed substantially to the mitigation of CO₂ emissions. These examples </w:t>
      </w:r>
      <w:proofErr w:type="gramStart"/>
      <w:r w:rsidR="001B185C" w:rsidRPr="004779B6">
        <w:rPr>
          <w:rFonts w:asciiTheme="majorHAnsi" w:hAnsiTheme="majorHAnsi" w:cstheme="majorHAnsi"/>
        </w:rPr>
        <w:t>gives</w:t>
      </w:r>
      <w:proofErr w:type="gramEnd"/>
      <w:r w:rsidR="001B185C" w:rsidRPr="004779B6">
        <w:rPr>
          <w:rFonts w:asciiTheme="majorHAnsi" w:hAnsiTheme="majorHAnsi" w:cstheme="majorHAnsi"/>
        </w:rPr>
        <w:t xml:space="preserve"> credence to </w:t>
      </w:r>
      <w:r w:rsidRPr="004779B6">
        <w:rPr>
          <w:rFonts w:asciiTheme="majorHAnsi" w:hAnsiTheme="majorHAnsi" w:cstheme="majorHAnsi"/>
        </w:rPr>
        <w:t xml:space="preserve">the transformative role that sustainable economic practices </w:t>
      </w:r>
      <w:proofErr w:type="gramStart"/>
      <w:r w:rsidRPr="004779B6">
        <w:rPr>
          <w:rFonts w:asciiTheme="majorHAnsi" w:hAnsiTheme="majorHAnsi" w:cstheme="majorHAnsi"/>
        </w:rPr>
        <w:t>play</w:t>
      </w:r>
      <w:r w:rsidR="001B185C" w:rsidRPr="004779B6">
        <w:rPr>
          <w:rFonts w:asciiTheme="majorHAnsi" w:hAnsiTheme="majorHAnsi" w:cstheme="majorHAnsi"/>
        </w:rPr>
        <w:t>s</w:t>
      </w:r>
      <w:proofErr w:type="gramEnd"/>
      <w:r w:rsidRPr="004779B6">
        <w:rPr>
          <w:rFonts w:asciiTheme="majorHAnsi" w:hAnsiTheme="majorHAnsi" w:cstheme="majorHAnsi"/>
        </w:rPr>
        <w:t xml:space="preserve"> in reducing global carbon footprints.</w:t>
      </w:r>
    </w:p>
    <w:p w14:paraId="4B1E83F6" w14:textId="26D96FF2" w:rsidR="00C1585C" w:rsidRPr="004779B6" w:rsidRDefault="00C1585C" w:rsidP="004779B6">
      <w:pPr>
        <w:jc w:val="both"/>
        <w:rPr>
          <w:rFonts w:asciiTheme="majorHAnsi" w:hAnsiTheme="majorHAnsi" w:cstheme="majorHAnsi"/>
          <w:b/>
          <w:bCs/>
        </w:rPr>
      </w:pPr>
      <w:r w:rsidRPr="004779B6">
        <w:rPr>
          <w:rFonts w:asciiTheme="majorHAnsi" w:hAnsiTheme="majorHAnsi" w:cstheme="majorHAnsi"/>
          <w:b/>
          <w:bCs/>
        </w:rPr>
        <w:t xml:space="preserve">2.4 Green Innovation and CO2 relationship </w:t>
      </w:r>
    </w:p>
    <w:p w14:paraId="05BC4ADD" w14:textId="525315E8" w:rsidR="00C1585C" w:rsidRPr="004779B6" w:rsidRDefault="00C1585C" w:rsidP="004779B6">
      <w:pPr>
        <w:jc w:val="both"/>
        <w:rPr>
          <w:rFonts w:asciiTheme="majorHAnsi" w:hAnsiTheme="majorHAnsi" w:cstheme="majorHAnsi"/>
        </w:rPr>
      </w:pPr>
      <w:r w:rsidRPr="004779B6">
        <w:rPr>
          <w:rFonts w:asciiTheme="majorHAnsi" w:hAnsiTheme="majorHAnsi" w:cstheme="majorHAnsi"/>
        </w:rPr>
        <w:t>In recent discussions, both academics and decision-makers have been debating whether advancements in environmentally friendly technologies represent the most efficient strategy for lowering greenhouse gas emissions. A strong link is believed to exist between carbon output and innovations in green, energy-saving, and environmental technologies. However, this viewpoint is contested by others who question the effectiveness of such innovations in achieving carbon neutrality. Some findings support the idea of a negative relationship between green technological progress and emissions levels.</w:t>
      </w:r>
    </w:p>
    <w:p w14:paraId="00221EF7" w14:textId="03A60056" w:rsidR="00C1585C" w:rsidRPr="004779B6" w:rsidRDefault="00C1585C" w:rsidP="004779B6">
      <w:pPr>
        <w:jc w:val="both"/>
        <w:rPr>
          <w:rFonts w:asciiTheme="majorHAnsi" w:hAnsiTheme="majorHAnsi" w:cstheme="majorHAnsi"/>
        </w:rPr>
      </w:pPr>
      <w:r w:rsidRPr="004779B6">
        <w:rPr>
          <w:rFonts w:asciiTheme="majorHAnsi" w:hAnsiTheme="majorHAnsi" w:cstheme="majorHAnsi"/>
        </w:rPr>
        <w:t xml:space="preserve">For instance, research by </w:t>
      </w:r>
      <w:proofErr w:type="spellStart"/>
      <w:r w:rsidRPr="004779B6">
        <w:rPr>
          <w:rFonts w:asciiTheme="majorHAnsi" w:hAnsiTheme="majorHAnsi" w:cstheme="majorHAnsi"/>
        </w:rPr>
        <w:t>Obobisa</w:t>
      </w:r>
      <w:proofErr w:type="spellEnd"/>
      <w:r w:rsidRPr="004779B6">
        <w:rPr>
          <w:rFonts w:asciiTheme="majorHAnsi" w:hAnsiTheme="majorHAnsi" w:cstheme="majorHAnsi"/>
        </w:rPr>
        <w:t xml:space="preserve">, Chen, and Mensah (2022) showed that eco-innovations enhance environmental conditions and significantly curb CO₂ emissions across 25 African nations. Likewise, an analysis of G7 economies by Qin et al. (2021) confirmed that advancements in green technologies play a constructive role in emissions management. Further, </w:t>
      </w:r>
      <w:proofErr w:type="spellStart"/>
      <w:r w:rsidRPr="004779B6">
        <w:rPr>
          <w:rFonts w:asciiTheme="majorHAnsi" w:hAnsiTheme="majorHAnsi" w:cstheme="majorHAnsi"/>
        </w:rPr>
        <w:t>Paramati</w:t>
      </w:r>
      <w:proofErr w:type="spellEnd"/>
      <w:r w:rsidRPr="004779B6">
        <w:rPr>
          <w:rFonts w:asciiTheme="majorHAnsi" w:hAnsiTheme="majorHAnsi" w:cstheme="majorHAnsi"/>
        </w:rPr>
        <w:t>, Mo, and Huang (2021), examining data from OECD countries between 1991 and 2016, identified that reductions in CO₂ emissions were influenced by green innovation, foreign investments, and international trade, demonstrated through augmented mean group and group-mean estimation techniques.</w:t>
      </w:r>
    </w:p>
    <w:p w14:paraId="7579270A" w14:textId="33A4662A" w:rsidR="00C1585C" w:rsidRPr="004779B6" w:rsidRDefault="00C1585C" w:rsidP="004779B6">
      <w:pPr>
        <w:jc w:val="both"/>
        <w:rPr>
          <w:rFonts w:asciiTheme="majorHAnsi" w:hAnsiTheme="majorHAnsi" w:cstheme="majorHAnsi"/>
        </w:rPr>
      </w:pPr>
      <w:r w:rsidRPr="004779B6">
        <w:rPr>
          <w:rFonts w:asciiTheme="majorHAnsi" w:hAnsiTheme="majorHAnsi" w:cstheme="majorHAnsi"/>
        </w:rPr>
        <w:t xml:space="preserve">In another country-specific investigation, Suki et al. (2022) applied the ARDL bootstrapping method to assess Malaysia’s experience and concluded that green innovation reduces emissions over both short and extended periods. Nonetheless, the connection is not universally consistent. For example, Xu, Fan, Yang, and Shao (2021) found mixed outcomes in China, where green innovation and its components contributed to lower emissions while also, under certain conditions such as foreign investment and changes in industrial structure, exerted upward pressure on CO₂ output. </w:t>
      </w:r>
      <w:r w:rsidR="00974E5D" w:rsidRPr="004779B6">
        <w:rPr>
          <w:rFonts w:asciiTheme="majorHAnsi" w:hAnsiTheme="majorHAnsi" w:cstheme="majorHAnsi"/>
        </w:rPr>
        <w:t>Furthermore</w:t>
      </w:r>
      <w:r w:rsidRPr="004779B6">
        <w:rPr>
          <w:rFonts w:asciiTheme="majorHAnsi" w:hAnsiTheme="majorHAnsi" w:cstheme="majorHAnsi"/>
        </w:rPr>
        <w:t>, research by Shao, Zhong, Liu, and Li (2021) concerning N-11 countries showed that in the long term, technological advancements in green sectors contribute to emission reductions, though no clear relationship is observed in the short term.</w:t>
      </w:r>
    </w:p>
    <w:p w14:paraId="08214FD2" w14:textId="189071E7" w:rsidR="00AD7314" w:rsidRPr="004779B6" w:rsidRDefault="00AD7314" w:rsidP="004779B6">
      <w:pPr>
        <w:jc w:val="both"/>
        <w:rPr>
          <w:rFonts w:asciiTheme="majorHAnsi" w:hAnsiTheme="majorHAnsi" w:cstheme="majorHAnsi"/>
          <w:b/>
          <w:bCs/>
        </w:rPr>
      </w:pPr>
      <w:r w:rsidRPr="004779B6">
        <w:rPr>
          <w:rFonts w:asciiTheme="majorHAnsi" w:hAnsiTheme="majorHAnsi" w:cstheme="majorHAnsi"/>
          <w:b/>
          <w:bCs/>
        </w:rPr>
        <w:t xml:space="preserve">2.5 Literature </w:t>
      </w:r>
      <w:r w:rsidR="00B5200B" w:rsidRPr="004779B6">
        <w:rPr>
          <w:rFonts w:asciiTheme="majorHAnsi" w:hAnsiTheme="majorHAnsi" w:cstheme="majorHAnsi"/>
          <w:b/>
          <w:bCs/>
        </w:rPr>
        <w:t>G</w:t>
      </w:r>
      <w:r w:rsidRPr="004779B6">
        <w:rPr>
          <w:rFonts w:asciiTheme="majorHAnsi" w:hAnsiTheme="majorHAnsi" w:cstheme="majorHAnsi"/>
          <w:b/>
          <w:bCs/>
        </w:rPr>
        <w:t>ap</w:t>
      </w:r>
    </w:p>
    <w:p w14:paraId="4822C525" w14:textId="73EFB7A6" w:rsidR="00AD7314" w:rsidRPr="004779B6" w:rsidRDefault="00AD7314" w:rsidP="004779B6">
      <w:pPr>
        <w:jc w:val="both"/>
        <w:rPr>
          <w:rFonts w:asciiTheme="majorHAnsi" w:hAnsiTheme="majorHAnsi" w:cstheme="majorHAnsi"/>
        </w:rPr>
      </w:pPr>
      <w:r w:rsidRPr="004779B6">
        <w:rPr>
          <w:rFonts w:asciiTheme="majorHAnsi" w:hAnsiTheme="majorHAnsi" w:cstheme="majorHAnsi"/>
        </w:rPr>
        <w:t xml:space="preserve">While existing literature has investigated the relationship between green growth, green innovation, and information and communication technology (ICT) in relation to environmental degradation across different income groups and national contexts, empirical studies integrating these </w:t>
      </w:r>
      <w:r w:rsidRPr="004779B6">
        <w:rPr>
          <w:rFonts w:asciiTheme="majorHAnsi" w:hAnsiTheme="majorHAnsi" w:cstheme="majorHAnsi"/>
        </w:rPr>
        <w:lastRenderedPageBreak/>
        <w:t>dimensions remain limited. For example, there is a less of research that simultaneously examines the relationship among these variables within the Kenyan context. This study seeks to address this gap by employing a novel analytical framework that incorporates the augmented Autoregressive Distributed Lag (ARDL) methodology to assess the environmental implications of green growth and green innovation, both independently and in interaction with ICT.</w:t>
      </w:r>
    </w:p>
    <w:p w14:paraId="15182B2B" w14:textId="2FC18ABC" w:rsidR="00AD7314" w:rsidRPr="004779B6" w:rsidRDefault="00AD7314" w:rsidP="004779B6">
      <w:pPr>
        <w:jc w:val="both"/>
        <w:rPr>
          <w:rFonts w:asciiTheme="majorHAnsi" w:hAnsiTheme="majorHAnsi" w:cstheme="majorHAnsi"/>
        </w:rPr>
      </w:pPr>
      <w:r w:rsidRPr="004779B6">
        <w:rPr>
          <w:rFonts w:asciiTheme="majorHAnsi" w:hAnsiTheme="majorHAnsi" w:cstheme="majorHAnsi"/>
        </w:rPr>
        <w:t xml:space="preserve">The application of the augmented ARDL model provide a distinct methodological advantage for policy-relevant empirical analysis. First, it mitigates the risks associated with degenerate lag structures in both dependent and explanatory variables. Second, it includes a robust cointegration testing procedure using an F-test on the lagged level terms of the independent variables, enhancing the reliability of long-run relationship inferences. This approach addresses the limitations of conventional unit root tests, which are often constrained by low power and may lead to spurious conclusions. </w:t>
      </w:r>
      <w:r w:rsidR="00BF5F84" w:rsidRPr="004779B6">
        <w:rPr>
          <w:rFonts w:asciiTheme="majorHAnsi" w:hAnsiTheme="majorHAnsi" w:cstheme="majorHAnsi"/>
        </w:rPr>
        <w:t>In</w:t>
      </w:r>
      <w:r w:rsidRPr="004779B6">
        <w:rPr>
          <w:rFonts w:asciiTheme="majorHAnsi" w:hAnsiTheme="majorHAnsi" w:cstheme="majorHAnsi"/>
        </w:rPr>
        <w:t xml:space="preserve"> adopting this technique, the study provides evidence-based insights that can inform sustainable development strategies and ICT-integrated environmental policies in Kenya.</w:t>
      </w:r>
    </w:p>
    <w:p w14:paraId="65AF2FAA" w14:textId="13285D0E" w:rsidR="00BF5F84" w:rsidRPr="004779B6" w:rsidRDefault="00BF5F84" w:rsidP="004779B6">
      <w:pPr>
        <w:jc w:val="both"/>
        <w:rPr>
          <w:rFonts w:asciiTheme="majorHAnsi" w:hAnsiTheme="majorHAnsi" w:cstheme="majorHAnsi"/>
          <w:b/>
          <w:bCs/>
        </w:rPr>
      </w:pPr>
      <w:r w:rsidRPr="004779B6">
        <w:rPr>
          <w:rFonts w:asciiTheme="majorHAnsi" w:hAnsiTheme="majorHAnsi" w:cstheme="majorHAnsi"/>
          <w:b/>
          <w:bCs/>
        </w:rPr>
        <w:t xml:space="preserve">3.0 Methodology and Data Collection </w:t>
      </w:r>
    </w:p>
    <w:p w14:paraId="06662E21" w14:textId="556B7F7A" w:rsidR="00367D7B" w:rsidRPr="004779B6" w:rsidRDefault="00367D7B" w:rsidP="004779B6">
      <w:pPr>
        <w:jc w:val="both"/>
        <w:rPr>
          <w:rFonts w:asciiTheme="majorHAnsi" w:hAnsiTheme="majorHAnsi" w:cstheme="majorHAnsi"/>
        </w:rPr>
      </w:pPr>
      <w:r w:rsidRPr="004779B6">
        <w:rPr>
          <w:rFonts w:asciiTheme="majorHAnsi" w:hAnsiTheme="majorHAnsi" w:cstheme="majorHAnsi"/>
        </w:rPr>
        <w:t xml:space="preserve">The primary objective of this study is to assess the effects of green growth (GG), green innovation (GIN), information and communication technology (ICT), and trade openness on carbon dioxide (CO₂) emissions in Kenya over the period 1990–2024. The data for the selected variables have been sourced from reputable international databases, including the World Development Indicators (WDI), the </w:t>
      </w:r>
      <w:proofErr w:type="spellStart"/>
      <w:r w:rsidRPr="004779B6">
        <w:rPr>
          <w:rFonts w:asciiTheme="majorHAnsi" w:hAnsiTheme="majorHAnsi" w:cstheme="majorHAnsi"/>
        </w:rPr>
        <w:t>Organisation</w:t>
      </w:r>
      <w:proofErr w:type="spellEnd"/>
      <w:r w:rsidRPr="004779B6">
        <w:rPr>
          <w:rFonts w:asciiTheme="majorHAnsi" w:hAnsiTheme="majorHAnsi" w:cstheme="majorHAnsi"/>
        </w:rPr>
        <w:t xml:space="preserve"> for Economic Co-operation and Development (OECD), and Our World in Data. To ensure the reliability and consistency of the statistical analysis, all variables, except for green growth, have been transformed into their natural logarithmic form. This transformation helps address skewness in the data distribution and enhances the linearity of relationships among variables, thereby improving model performance and interpretability. A detailed explanation of the variable definitions, measurement units, and sources is provided below and summarized in Table 1.</w:t>
      </w:r>
    </w:p>
    <w:p w14:paraId="6A900AA0" w14:textId="3E5E5E49" w:rsidR="00162873" w:rsidRPr="004779B6" w:rsidRDefault="00162873" w:rsidP="004779B6">
      <w:pPr>
        <w:jc w:val="both"/>
        <w:rPr>
          <w:rFonts w:asciiTheme="majorHAnsi" w:hAnsiTheme="majorHAnsi" w:cstheme="majorHAnsi"/>
          <w:b/>
          <w:bCs/>
        </w:rPr>
      </w:pPr>
      <w:r w:rsidRPr="004779B6">
        <w:rPr>
          <w:rFonts w:asciiTheme="majorHAnsi" w:hAnsiTheme="majorHAnsi" w:cstheme="majorHAnsi"/>
          <w:b/>
          <w:bCs/>
        </w:rPr>
        <w:t>Table 1: Description of Variables</w:t>
      </w:r>
    </w:p>
    <w:tbl>
      <w:tblPr>
        <w:tblStyle w:val="TableGrid"/>
        <w:tblW w:w="0" w:type="auto"/>
        <w:tblLook w:val="04A0" w:firstRow="1" w:lastRow="0" w:firstColumn="1" w:lastColumn="0" w:noHBand="0" w:noVBand="1"/>
      </w:tblPr>
      <w:tblGrid>
        <w:gridCol w:w="1570"/>
        <w:gridCol w:w="649"/>
        <w:gridCol w:w="3456"/>
        <w:gridCol w:w="2210"/>
        <w:gridCol w:w="1465"/>
      </w:tblGrid>
      <w:tr w:rsidR="00162873" w:rsidRPr="004779B6" w14:paraId="289A8A8E" w14:textId="77777777" w:rsidTr="00162873">
        <w:trPr>
          <w:trHeight w:val="300"/>
        </w:trPr>
        <w:tc>
          <w:tcPr>
            <w:tcW w:w="2540" w:type="dxa"/>
            <w:noWrap/>
            <w:hideMark/>
          </w:tcPr>
          <w:p w14:paraId="005C4C5C"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Variable</w:t>
            </w:r>
          </w:p>
        </w:tc>
        <w:tc>
          <w:tcPr>
            <w:tcW w:w="960" w:type="dxa"/>
            <w:noWrap/>
            <w:hideMark/>
          </w:tcPr>
          <w:p w14:paraId="6FEA039E"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Symbol</w:t>
            </w:r>
          </w:p>
        </w:tc>
        <w:tc>
          <w:tcPr>
            <w:tcW w:w="5780" w:type="dxa"/>
            <w:noWrap/>
            <w:hideMark/>
          </w:tcPr>
          <w:p w14:paraId="7F99A5F4"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Measurement/Transformation</w:t>
            </w:r>
          </w:p>
        </w:tc>
        <w:tc>
          <w:tcPr>
            <w:tcW w:w="3640" w:type="dxa"/>
            <w:noWrap/>
            <w:hideMark/>
          </w:tcPr>
          <w:p w14:paraId="44807CE6"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Source</w:t>
            </w:r>
          </w:p>
        </w:tc>
        <w:tc>
          <w:tcPr>
            <w:tcW w:w="2360" w:type="dxa"/>
            <w:noWrap/>
            <w:hideMark/>
          </w:tcPr>
          <w:p w14:paraId="104455C1"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Expected Impact on CO₂</w:t>
            </w:r>
          </w:p>
        </w:tc>
      </w:tr>
      <w:tr w:rsidR="00162873" w:rsidRPr="004779B6" w14:paraId="2DE5856D" w14:textId="77777777" w:rsidTr="00162873">
        <w:trPr>
          <w:trHeight w:val="300"/>
        </w:trPr>
        <w:tc>
          <w:tcPr>
            <w:tcW w:w="2540" w:type="dxa"/>
            <w:noWrap/>
            <w:hideMark/>
          </w:tcPr>
          <w:p w14:paraId="4BC24154"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Carbon Dioxide Emissions</w:t>
            </w:r>
          </w:p>
        </w:tc>
        <w:tc>
          <w:tcPr>
            <w:tcW w:w="960" w:type="dxa"/>
            <w:noWrap/>
            <w:hideMark/>
          </w:tcPr>
          <w:p w14:paraId="765101E3"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CO₂</w:t>
            </w:r>
          </w:p>
        </w:tc>
        <w:tc>
          <w:tcPr>
            <w:tcW w:w="5780" w:type="dxa"/>
            <w:noWrap/>
            <w:hideMark/>
          </w:tcPr>
          <w:p w14:paraId="1CC26185"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Metric tons per capita (logarithmic form)</w:t>
            </w:r>
          </w:p>
        </w:tc>
        <w:tc>
          <w:tcPr>
            <w:tcW w:w="3640" w:type="dxa"/>
            <w:noWrap/>
            <w:hideMark/>
          </w:tcPr>
          <w:p w14:paraId="6823EF20"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World Development Indicators (WDI)</w:t>
            </w:r>
          </w:p>
        </w:tc>
        <w:tc>
          <w:tcPr>
            <w:tcW w:w="2360" w:type="dxa"/>
            <w:noWrap/>
            <w:hideMark/>
          </w:tcPr>
          <w:p w14:paraId="4599873A"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Dependent variable</w:t>
            </w:r>
          </w:p>
        </w:tc>
      </w:tr>
      <w:tr w:rsidR="00162873" w:rsidRPr="004779B6" w14:paraId="7B4F027A" w14:textId="77777777" w:rsidTr="00162873">
        <w:trPr>
          <w:trHeight w:val="300"/>
        </w:trPr>
        <w:tc>
          <w:tcPr>
            <w:tcW w:w="2540" w:type="dxa"/>
            <w:noWrap/>
            <w:hideMark/>
          </w:tcPr>
          <w:p w14:paraId="593C79C4"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Green Growth</w:t>
            </w:r>
          </w:p>
        </w:tc>
        <w:tc>
          <w:tcPr>
            <w:tcW w:w="960" w:type="dxa"/>
            <w:noWrap/>
            <w:hideMark/>
          </w:tcPr>
          <w:p w14:paraId="001845E0"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GG</w:t>
            </w:r>
          </w:p>
        </w:tc>
        <w:tc>
          <w:tcPr>
            <w:tcW w:w="5780" w:type="dxa"/>
            <w:noWrap/>
            <w:hideMark/>
          </w:tcPr>
          <w:p w14:paraId="3E3D448B"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Composite index (non-logarithmic)</w:t>
            </w:r>
          </w:p>
        </w:tc>
        <w:tc>
          <w:tcPr>
            <w:tcW w:w="3640" w:type="dxa"/>
            <w:noWrap/>
            <w:hideMark/>
          </w:tcPr>
          <w:p w14:paraId="4F7B5BBE"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OECD Green Growth Indicators</w:t>
            </w:r>
          </w:p>
        </w:tc>
        <w:tc>
          <w:tcPr>
            <w:tcW w:w="2360" w:type="dxa"/>
            <w:noWrap/>
            <w:hideMark/>
          </w:tcPr>
          <w:p w14:paraId="4A7B67EE"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Negative</w:t>
            </w:r>
          </w:p>
        </w:tc>
      </w:tr>
      <w:tr w:rsidR="00162873" w:rsidRPr="004779B6" w14:paraId="29F9CD0C" w14:textId="77777777" w:rsidTr="00162873">
        <w:trPr>
          <w:trHeight w:val="300"/>
        </w:trPr>
        <w:tc>
          <w:tcPr>
            <w:tcW w:w="2540" w:type="dxa"/>
            <w:noWrap/>
            <w:hideMark/>
          </w:tcPr>
          <w:p w14:paraId="211F0D8A"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Green Innovation</w:t>
            </w:r>
          </w:p>
        </w:tc>
        <w:tc>
          <w:tcPr>
            <w:tcW w:w="960" w:type="dxa"/>
            <w:noWrap/>
            <w:hideMark/>
          </w:tcPr>
          <w:p w14:paraId="3F572D7E"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GIN</w:t>
            </w:r>
          </w:p>
        </w:tc>
        <w:tc>
          <w:tcPr>
            <w:tcW w:w="5780" w:type="dxa"/>
            <w:noWrap/>
            <w:hideMark/>
          </w:tcPr>
          <w:p w14:paraId="0E7903C2"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Number of environment-related patents (logarithmic form)</w:t>
            </w:r>
          </w:p>
        </w:tc>
        <w:tc>
          <w:tcPr>
            <w:tcW w:w="3640" w:type="dxa"/>
            <w:noWrap/>
            <w:hideMark/>
          </w:tcPr>
          <w:p w14:paraId="5391D9CE"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OECD</w:t>
            </w:r>
          </w:p>
        </w:tc>
        <w:tc>
          <w:tcPr>
            <w:tcW w:w="2360" w:type="dxa"/>
            <w:noWrap/>
            <w:hideMark/>
          </w:tcPr>
          <w:p w14:paraId="1D5D93BF"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Negative</w:t>
            </w:r>
          </w:p>
        </w:tc>
      </w:tr>
      <w:tr w:rsidR="00162873" w:rsidRPr="004779B6" w14:paraId="5E5DA076" w14:textId="77777777" w:rsidTr="00162873">
        <w:trPr>
          <w:trHeight w:val="300"/>
        </w:trPr>
        <w:tc>
          <w:tcPr>
            <w:tcW w:w="2540" w:type="dxa"/>
            <w:noWrap/>
            <w:hideMark/>
          </w:tcPr>
          <w:p w14:paraId="6F3C03D9"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lastRenderedPageBreak/>
              <w:t>ICT Development</w:t>
            </w:r>
          </w:p>
        </w:tc>
        <w:tc>
          <w:tcPr>
            <w:tcW w:w="960" w:type="dxa"/>
            <w:noWrap/>
            <w:hideMark/>
          </w:tcPr>
          <w:p w14:paraId="6C6C8867"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ICT</w:t>
            </w:r>
          </w:p>
        </w:tc>
        <w:tc>
          <w:tcPr>
            <w:tcW w:w="5780" w:type="dxa"/>
            <w:noWrap/>
            <w:hideMark/>
          </w:tcPr>
          <w:p w14:paraId="1AB9B8E7"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ICT index or % of internet users (logarithmic form)</w:t>
            </w:r>
          </w:p>
        </w:tc>
        <w:tc>
          <w:tcPr>
            <w:tcW w:w="3640" w:type="dxa"/>
            <w:noWrap/>
            <w:hideMark/>
          </w:tcPr>
          <w:p w14:paraId="61F73588"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World Development Indicators (WDI)</w:t>
            </w:r>
          </w:p>
        </w:tc>
        <w:tc>
          <w:tcPr>
            <w:tcW w:w="2360" w:type="dxa"/>
            <w:noWrap/>
            <w:hideMark/>
          </w:tcPr>
          <w:p w14:paraId="63CD8469"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Mixed</w:t>
            </w:r>
          </w:p>
        </w:tc>
      </w:tr>
      <w:tr w:rsidR="00162873" w:rsidRPr="004779B6" w14:paraId="1F4F7058" w14:textId="77777777" w:rsidTr="00162873">
        <w:trPr>
          <w:trHeight w:val="300"/>
        </w:trPr>
        <w:tc>
          <w:tcPr>
            <w:tcW w:w="2540" w:type="dxa"/>
            <w:noWrap/>
            <w:hideMark/>
          </w:tcPr>
          <w:p w14:paraId="48E1B36C"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Trade Openness</w:t>
            </w:r>
          </w:p>
        </w:tc>
        <w:tc>
          <w:tcPr>
            <w:tcW w:w="960" w:type="dxa"/>
            <w:noWrap/>
            <w:hideMark/>
          </w:tcPr>
          <w:p w14:paraId="15AD06EF"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TO</w:t>
            </w:r>
          </w:p>
        </w:tc>
        <w:tc>
          <w:tcPr>
            <w:tcW w:w="5780" w:type="dxa"/>
            <w:noWrap/>
            <w:hideMark/>
          </w:tcPr>
          <w:p w14:paraId="29EFCA5B"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(Exports + Imports) / GDP (logarithmic form)</w:t>
            </w:r>
          </w:p>
        </w:tc>
        <w:tc>
          <w:tcPr>
            <w:tcW w:w="3640" w:type="dxa"/>
            <w:noWrap/>
            <w:hideMark/>
          </w:tcPr>
          <w:p w14:paraId="6F32BC21"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Our World in Data / WDI</w:t>
            </w:r>
          </w:p>
        </w:tc>
        <w:tc>
          <w:tcPr>
            <w:tcW w:w="2360" w:type="dxa"/>
            <w:noWrap/>
            <w:hideMark/>
          </w:tcPr>
          <w:p w14:paraId="08682B3D" w14:textId="77777777" w:rsidR="00162873" w:rsidRPr="004779B6" w:rsidRDefault="00162873" w:rsidP="004779B6">
            <w:pPr>
              <w:jc w:val="both"/>
              <w:rPr>
                <w:rFonts w:asciiTheme="majorHAnsi" w:hAnsiTheme="majorHAnsi" w:cstheme="majorHAnsi"/>
              </w:rPr>
            </w:pPr>
            <w:r w:rsidRPr="004779B6">
              <w:rPr>
                <w:rFonts w:asciiTheme="majorHAnsi" w:hAnsiTheme="majorHAnsi" w:cstheme="majorHAnsi"/>
              </w:rPr>
              <w:t>Mixed</w:t>
            </w:r>
          </w:p>
        </w:tc>
      </w:tr>
    </w:tbl>
    <w:p w14:paraId="5EF64C2D" w14:textId="21BC2C89" w:rsidR="00162873" w:rsidRPr="004779B6" w:rsidRDefault="00872BE2" w:rsidP="004779B6">
      <w:pPr>
        <w:jc w:val="both"/>
        <w:rPr>
          <w:rFonts w:asciiTheme="majorHAnsi" w:hAnsiTheme="majorHAnsi" w:cstheme="majorHAnsi"/>
        </w:rPr>
      </w:pPr>
      <w:r w:rsidRPr="004779B6">
        <w:rPr>
          <w:rFonts w:asciiTheme="majorHAnsi" w:hAnsiTheme="majorHAnsi" w:cstheme="majorHAnsi"/>
        </w:rPr>
        <w:t xml:space="preserve">Source: Owners Compilation </w:t>
      </w:r>
    </w:p>
    <w:p w14:paraId="2FB99428" w14:textId="76E0F8B1" w:rsidR="00872BE2" w:rsidRPr="004779B6" w:rsidRDefault="00872BE2" w:rsidP="004779B6">
      <w:pPr>
        <w:jc w:val="both"/>
        <w:rPr>
          <w:rFonts w:asciiTheme="majorHAnsi" w:hAnsiTheme="majorHAnsi" w:cstheme="majorHAnsi"/>
          <w:b/>
          <w:bCs/>
        </w:rPr>
      </w:pPr>
      <w:r w:rsidRPr="004779B6">
        <w:rPr>
          <w:rFonts w:asciiTheme="majorHAnsi" w:hAnsiTheme="majorHAnsi" w:cstheme="majorHAnsi"/>
          <w:b/>
          <w:bCs/>
        </w:rPr>
        <w:t>3.1 Green Growth Index Specification</w:t>
      </w:r>
    </w:p>
    <w:p w14:paraId="0B9341F8" w14:textId="77777777" w:rsidR="00872BE2" w:rsidRPr="004779B6" w:rsidRDefault="00872BE2" w:rsidP="004779B6">
      <w:pPr>
        <w:jc w:val="both"/>
        <w:rPr>
          <w:rFonts w:asciiTheme="majorHAnsi" w:hAnsiTheme="majorHAnsi" w:cstheme="majorHAnsi"/>
        </w:rPr>
      </w:pPr>
      <w:r w:rsidRPr="004779B6">
        <w:rPr>
          <w:rFonts w:asciiTheme="majorHAnsi" w:hAnsiTheme="majorHAnsi" w:cstheme="majorHAnsi"/>
        </w:rPr>
        <w:t>In line with the methodologies proposed by Xu (2022) and Xuan, Jiang, and Fang (2023), green growth (GG) is conceptualized as a function of economic, educational, and environmental indicators. The index is formulated as follows:</w:t>
      </w:r>
    </w:p>
    <w:p w14:paraId="2B568FDA" w14:textId="79CB6200" w:rsidR="00872BE2" w:rsidRPr="004779B6" w:rsidRDefault="00872BE2" w:rsidP="004779B6">
      <w:pPr>
        <w:jc w:val="both"/>
        <w:rPr>
          <w:rFonts w:asciiTheme="majorHAnsi" w:hAnsiTheme="majorHAnsi" w:cstheme="majorHAnsi"/>
        </w:rPr>
      </w:pPr>
      <w:r w:rsidRPr="004779B6">
        <w:rPr>
          <w:rFonts w:asciiTheme="majorHAnsi" w:hAnsiTheme="majorHAnsi" w:cstheme="majorHAnsi"/>
        </w:rPr>
        <w:t>GG= GDP + EE−NRP−NFD−CO2………………………………………………………………………………………</w:t>
      </w:r>
      <w:proofErr w:type="gramStart"/>
      <w:r w:rsidRPr="004779B6">
        <w:rPr>
          <w:rFonts w:asciiTheme="majorHAnsi" w:hAnsiTheme="majorHAnsi" w:cstheme="majorHAnsi"/>
        </w:rPr>
        <w:t>…(</w:t>
      </w:r>
      <w:proofErr w:type="gramEnd"/>
      <w:r w:rsidRPr="004779B6">
        <w:rPr>
          <w:rFonts w:asciiTheme="majorHAnsi" w:hAnsiTheme="majorHAnsi" w:cstheme="majorHAnsi"/>
        </w:rPr>
        <w:t>1)</w:t>
      </w:r>
    </w:p>
    <w:p w14:paraId="32D95FFC" w14:textId="77777777" w:rsidR="00872BE2" w:rsidRPr="004779B6" w:rsidRDefault="00872BE2" w:rsidP="004779B6">
      <w:pPr>
        <w:jc w:val="both"/>
        <w:rPr>
          <w:rFonts w:asciiTheme="majorHAnsi" w:hAnsiTheme="majorHAnsi" w:cstheme="majorHAnsi"/>
        </w:rPr>
      </w:pPr>
      <w:r w:rsidRPr="004779B6">
        <w:rPr>
          <w:rFonts w:asciiTheme="majorHAnsi" w:hAnsiTheme="majorHAnsi" w:cstheme="majorHAnsi"/>
        </w:rPr>
        <w:t>Where:</w:t>
      </w:r>
    </w:p>
    <w:p w14:paraId="58440C74"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GG denotes the green growth index, which captures the balance between economic development and environmental sustainability.</w:t>
      </w:r>
    </w:p>
    <w:p w14:paraId="459EAA0A"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GDP represents the annual growth rate of gross domestic product (%), reflecting economic expansion.</w:t>
      </w:r>
    </w:p>
    <w:p w14:paraId="72EE0AAF"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EE refers to government expenditure on education as a percentage of GDP, indicating investment in human capital.</w:t>
      </w:r>
    </w:p>
    <w:p w14:paraId="311CDF99"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NRP captures the consumption of non-renewable energy sources, specifically fossil fuels such as coal, oil, and natural gas.</w:t>
      </w:r>
    </w:p>
    <w:p w14:paraId="3BBACC85"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NFD is a proxy for deforestation, measured through forest rents as a percentage of GDP.</w:t>
      </w:r>
    </w:p>
    <w:p w14:paraId="0844DF4A" w14:textId="77777777" w:rsidR="00872BE2" w:rsidRPr="004779B6" w:rsidRDefault="00872BE2" w:rsidP="004779B6">
      <w:pPr>
        <w:numPr>
          <w:ilvl w:val="0"/>
          <w:numId w:val="3"/>
        </w:numPr>
        <w:jc w:val="both"/>
        <w:rPr>
          <w:rFonts w:asciiTheme="majorHAnsi" w:hAnsiTheme="majorHAnsi" w:cstheme="majorHAnsi"/>
        </w:rPr>
      </w:pPr>
      <w:r w:rsidRPr="004779B6">
        <w:rPr>
          <w:rFonts w:asciiTheme="majorHAnsi" w:hAnsiTheme="majorHAnsi" w:cstheme="majorHAnsi"/>
        </w:rPr>
        <w:t>CO₂ denotes carbon dioxide emissions per capita (in metric tons), serving as an indicator of environmental degradation.</w:t>
      </w:r>
    </w:p>
    <w:p w14:paraId="5536CC9C" w14:textId="77777777" w:rsidR="00872BE2" w:rsidRPr="004779B6" w:rsidRDefault="00872BE2" w:rsidP="004779B6">
      <w:pPr>
        <w:jc w:val="both"/>
        <w:rPr>
          <w:rFonts w:asciiTheme="majorHAnsi" w:hAnsiTheme="majorHAnsi" w:cstheme="majorHAnsi"/>
        </w:rPr>
      </w:pPr>
      <w:r w:rsidRPr="004779B6">
        <w:rPr>
          <w:rFonts w:asciiTheme="majorHAnsi" w:hAnsiTheme="majorHAnsi" w:cstheme="majorHAnsi"/>
        </w:rPr>
        <w:t>This composite measure of green growth integrates economic productivity with environmental costs and social investments. A higher GG value indicates more sustainable and inclusive growth by accounting for both positive and negative externalities of development activities.</w:t>
      </w:r>
    </w:p>
    <w:p w14:paraId="63E439E2" w14:textId="4FEA5886" w:rsidR="00872BE2" w:rsidRPr="004779B6" w:rsidRDefault="00E13DD1" w:rsidP="004779B6">
      <w:pPr>
        <w:jc w:val="both"/>
        <w:rPr>
          <w:rFonts w:asciiTheme="majorHAnsi" w:hAnsiTheme="majorHAnsi" w:cstheme="majorHAnsi"/>
          <w:b/>
          <w:bCs/>
        </w:rPr>
      </w:pPr>
      <w:r w:rsidRPr="004779B6">
        <w:rPr>
          <w:rFonts w:asciiTheme="majorHAnsi" w:hAnsiTheme="majorHAnsi" w:cstheme="majorHAnsi"/>
          <w:b/>
          <w:bCs/>
        </w:rPr>
        <w:t>3.2 Green Innovations</w:t>
      </w:r>
    </w:p>
    <w:p w14:paraId="15AE4C37" w14:textId="7D7FD530" w:rsidR="00E13DD1" w:rsidRPr="004779B6" w:rsidRDefault="00E13DD1" w:rsidP="004779B6">
      <w:pPr>
        <w:jc w:val="both"/>
        <w:rPr>
          <w:rFonts w:asciiTheme="majorHAnsi" w:hAnsiTheme="majorHAnsi" w:cstheme="majorHAnsi"/>
        </w:rPr>
      </w:pPr>
      <w:r w:rsidRPr="004779B6">
        <w:rPr>
          <w:rFonts w:asciiTheme="majorHAnsi" w:hAnsiTheme="majorHAnsi" w:cstheme="majorHAnsi"/>
        </w:rPr>
        <w:t xml:space="preserve">Building on prior studies such as those by </w:t>
      </w:r>
      <w:proofErr w:type="spellStart"/>
      <w:r w:rsidRPr="004779B6">
        <w:rPr>
          <w:rFonts w:asciiTheme="majorHAnsi" w:hAnsiTheme="majorHAnsi" w:cstheme="majorHAnsi"/>
        </w:rPr>
        <w:t>Shobande</w:t>
      </w:r>
      <w:proofErr w:type="spellEnd"/>
      <w:r w:rsidRPr="004779B6">
        <w:rPr>
          <w:rFonts w:asciiTheme="majorHAnsi" w:hAnsiTheme="majorHAnsi" w:cstheme="majorHAnsi"/>
        </w:rPr>
        <w:t xml:space="preserve">, </w:t>
      </w:r>
      <w:proofErr w:type="spellStart"/>
      <w:r w:rsidRPr="004779B6">
        <w:rPr>
          <w:rFonts w:asciiTheme="majorHAnsi" w:hAnsiTheme="majorHAnsi" w:cstheme="majorHAnsi"/>
        </w:rPr>
        <w:t>Ogbeifun</w:t>
      </w:r>
      <w:proofErr w:type="spellEnd"/>
      <w:r w:rsidRPr="004779B6">
        <w:rPr>
          <w:rFonts w:asciiTheme="majorHAnsi" w:hAnsiTheme="majorHAnsi" w:cstheme="majorHAnsi"/>
        </w:rPr>
        <w:t>, and Tiwari (2023), as well as Ramzan et al. (2023), the present study incorporates green innovation (GIN) as a key explanatory variable, representing an important dimension of environmental governance. Green innovation is widely recognized as a critical tool for promoting sustainable development and mitigating environmental degradation.</w:t>
      </w:r>
    </w:p>
    <w:p w14:paraId="7804F5B0" w14:textId="626F5911" w:rsidR="00E13DD1" w:rsidRPr="004779B6" w:rsidRDefault="00E13DD1" w:rsidP="004779B6">
      <w:pPr>
        <w:jc w:val="both"/>
        <w:rPr>
          <w:rFonts w:asciiTheme="majorHAnsi" w:hAnsiTheme="majorHAnsi" w:cstheme="majorHAnsi"/>
        </w:rPr>
      </w:pPr>
      <w:r w:rsidRPr="004779B6">
        <w:rPr>
          <w:rFonts w:asciiTheme="majorHAnsi" w:hAnsiTheme="majorHAnsi" w:cstheme="majorHAnsi"/>
        </w:rPr>
        <w:lastRenderedPageBreak/>
        <w:t xml:space="preserve">Previous literature—such as the works of Yang and Chen (2022), Jiang et al. (2022), and </w:t>
      </w:r>
      <w:proofErr w:type="spellStart"/>
      <w:r w:rsidRPr="004779B6">
        <w:rPr>
          <w:rFonts w:asciiTheme="majorHAnsi" w:hAnsiTheme="majorHAnsi" w:cstheme="majorHAnsi"/>
        </w:rPr>
        <w:t>Obobisa</w:t>
      </w:r>
      <w:proofErr w:type="spellEnd"/>
      <w:r w:rsidRPr="004779B6">
        <w:rPr>
          <w:rFonts w:asciiTheme="majorHAnsi" w:hAnsiTheme="majorHAnsi" w:cstheme="majorHAnsi"/>
        </w:rPr>
        <w:t xml:space="preserve">, Chen, and Mensah (2022)—has adopted various proxies to quantify green technological innovation, often drawing on patent data related to environmentally sustainable technologies. Notably, some studies </w:t>
      </w:r>
      <w:r w:rsidR="001B7F22" w:rsidRPr="004779B6">
        <w:rPr>
          <w:rFonts w:asciiTheme="majorHAnsi" w:hAnsiTheme="majorHAnsi" w:cstheme="majorHAnsi"/>
        </w:rPr>
        <w:t xml:space="preserve">Lin and Ma (2022) </w:t>
      </w:r>
      <w:r w:rsidRPr="004779B6">
        <w:rPr>
          <w:rFonts w:asciiTheme="majorHAnsi" w:hAnsiTheme="majorHAnsi" w:cstheme="majorHAnsi"/>
        </w:rPr>
        <w:t>have utilized patent applications rather than granted patents as indicators of green innovation activity.</w:t>
      </w:r>
    </w:p>
    <w:p w14:paraId="1D3D582B" w14:textId="71524DCE" w:rsidR="00E13DD1" w:rsidRPr="004779B6" w:rsidRDefault="00E13DD1" w:rsidP="004779B6">
      <w:pPr>
        <w:jc w:val="both"/>
        <w:rPr>
          <w:rFonts w:asciiTheme="majorHAnsi" w:hAnsiTheme="majorHAnsi" w:cstheme="majorHAnsi"/>
        </w:rPr>
      </w:pPr>
      <w:r w:rsidRPr="004779B6">
        <w:rPr>
          <w:rFonts w:asciiTheme="majorHAnsi" w:hAnsiTheme="majorHAnsi" w:cstheme="majorHAnsi"/>
        </w:rPr>
        <w:t>In this study, green innovation is proxied by the number of patents related to environmental technologies, aligning with the approach used in recent empirical research. This measure reflects the extent of technological advancement aimed at addressing ecological challenges and supports the evaluation of how innovation contributes to environmental sustainability in the Kenyan context.</w:t>
      </w:r>
    </w:p>
    <w:p w14:paraId="24A2C37B" w14:textId="1F36EA3C" w:rsidR="006612A9" w:rsidRPr="004779B6" w:rsidRDefault="006612A9" w:rsidP="004779B6">
      <w:pPr>
        <w:jc w:val="both"/>
        <w:rPr>
          <w:rFonts w:asciiTheme="majorHAnsi" w:hAnsiTheme="majorHAnsi" w:cstheme="majorHAnsi"/>
          <w:b/>
          <w:bCs/>
        </w:rPr>
      </w:pPr>
      <w:r w:rsidRPr="004779B6">
        <w:rPr>
          <w:rFonts w:asciiTheme="majorHAnsi" w:hAnsiTheme="majorHAnsi" w:cstheme="majorHAnsi"/>
          <w:b/>
          <w:bCs/>
        </w:rPr>
        <w:t>3.3 Information and Communication Technology</w:t>
      </w:r>
    </w:p>
    <w:p w14:paraId="5D2B62CE" w14:textId="4BCC8BA0" w:rsidR="006612A9" w:rsidRPr="004779B6" w:rsidRDefault="006612A9" w:rsidP="004779B6">
      <w:pPr>
        <w:jc w:val="both"/>
        <w:rPr>
          <w:rFonts w:asciiTheme="majorHAnsi" w:hAnsiTheme="majorHAnsi" w:cstheme="majorHAnsi"/>
        </w:rPr>
      </w:pPr>
      <w:r w:rsidRPr="004779B6">
        <w:rPr>
          <w:rFonts w:asciiTheme="majorHAnsi" w:hAnsiTheme="majorHAnsi" w:cstheme="majorHAnsi"/>
        </w:rPr>
        <w:t>In this study, Information and Communication Technology (ICT) is proxied using two widely accepted indicators: mobile cellular subscriptions per 100 individuals and internet usage as a percentage of the total population. These proxies reflect the penetration and accessibility of digital infrastructure, which are essential components of ICT development. Moreover, the empirical analysis incorporates two key interaction terms, ICT × Green Growth (ICT × GG) and ICT × Green Innovation (ICT × GIN), to assess the combined and potentially moderating effects of ICT on environmental outcomes when interacting with sustainability-related variables. This approach allows for a more robust examination of the dynamic interrelationships. Finally, trade openness is included as a control variable, operationalized as the ratio of total trade (exports plus imports) to gross domestic product (GDP), consistent with established empirical practices.</w:t>
      </w:r>
    </w:p>
    <w:p w14:paraId="49763A16" w14:textId="77777777" w:rsidR="005172ED" w:rsidRPr="004779B6" w:rsidRDefault="005172ED" w:rsidP="004779B6">
      <w:pPr>
        <w:jc w:val="both"/>
        <w:rPr>
          <w:rFonts w:asciiTheme="majorHAnsi" w:hAnsiTheme="majorHAnsi" w:cstheme="majorHAnsi"/>
          <w:b/>
          <w:bCs/>
        </w:rPr>
      </w:pPr>
      <w:r w:rsidRPr="004779B6">
        <w:rPr>
          <w:rFonts w:asciiTheme="majorHAnsi" w:hAnsiTheme="majorHAnsi" w:cstheme="majorHAnsi"/>
          <w:b/>
          <w:bCs/>
        </w:rPr>
        <w:t>Econometric Model Specification</w:t>
      </w:r>
    </w:p>
    <w:p w14:paraId="579F3DC0"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To empirically investigate the dynamic relationship between green growth, green innovation, ICT, trade openness, and environmental degradation (proxied by CO₂ emissions), the following econometric models are formulated. These models sequentially incorporate interaction terms to evaluate potential moderation effects of ICT on green growth and green innovation:</w:t>
      </w:r>
    </w:p>
    <w:p w14:paraId="1310CDD6" w14:textId="77777777" w:rsidR="005172ED" w:rsidRPr="004779B6" w:rsidRDefault="005172ED" w:rsidP="004779B6">
      <w:pPr>
        <w:jc w:val="both"/>
        <w:rPr>
          <w:rFonts w:asciiTheme="majorHAnsi" w:hAnsiTheme="majorHAnsi" w:cstheme="majorHAnsi"/>
          <w:b/>
          <w:bCs/>
        </w:rPr>
      </w:pPr>
      <w:r w:rsidRPr="004779B6">
        <w:rPr>
          <w:rFonts w:asciiTheme="majorHAnsi" w:hAnsiTheme="majorHAnsi" w:cstheme="majorHAnsi"/>
          <w:b/>
          <w:bCs/>
        </w:rPr>
        <w:t>Model 1: Baseline Model</w:t>
      </w:r>
    </w:p>
    <w:p w14:paraId="4EF6751F"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lnCO2t =α0+β1GGt+β2lnGINt+β3lnICTt+β4lnTOt+μt</w:t>
      </w:r>
    </w:p>
    <w:p w14:paraId="75037AC7"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This model captures the direct effects of green growth (GG), green innovation (GIN), ICT penetration, and trade openness (TO) on carbon emissions (CO₂).</w:t>
      </w:r>
    </w:p>
    <w:p w14:paraId="218A0CBF" w14:textId="77777777" w:rsidR="005172ED" w:rsidRPr="004779B6" w:rsidRDefault="005172ED" w:rsidP="004779B6">
      <w:pPr>
        <w:jc w:val="both"/>
        <w:rPr>
          <w:rFonts w:asciiTheme="majorHAnsi" w:hAnsiTheme="majorHAnsi" w:cstheme="majorHAnsi"/>
          <w:b/>
          <w:bCs/>
        </w:rPr>
      </w:pPr>
      <w:r w:rsidRPr="004779B6">
        <w:rPr>
          <w:rFonts w:asciiTheme="majorHAnsi" w:hAnsiTheme="majorHAnsi" w:cstheme="majorHAnsi"/>
          <w:b/>
          <w:bCs/>
        </w:rPr>
        <w:t>Model 2: Interaction Between Green Growth and ICT</w:t>
      </w:r>
    </w:p>
    <w:p w14:paraId="3CDC8742"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lnCO</w:t>
      </w:r>
      <w:r w:rsidRPr="004779B6">
        <w:rPr>
          <w:rFonts w:asciiTheme="majorHAnsi" w:hAnsiTheme="majorHAnsi" w:cstheme="majorHAnsi"/>
          <w:vertAlign w:val="subscript"/>
        </w:rPr>
        <w:t>2t</w:t>
      </w:r>
      <w:r w:rsidRPr="004779B6">
        <w:rPr>
          <w:rFonts w:asciiTheme="majorHAnsi" w:hAnsiTheme="majorHAnsi" w:cstheme="majorHAnsi"/>
        </w:rPr>
        <w:t>=α0+β</w:t>
      </w:r>
      <w:r w:rsidRPr="004779B6">
        <w:rPr>
          <w:rFonts w:asciiTheme="majorHAnsi" w:hAnsiTheme="majorHAnsi" w:cstheme="majorHAnsi"/>
          <w:vertAlign w:val="subscript"/>
        </w:rPr>
        <w:t>1</w:t>
      </w:r>
      <w:r w:rsidRPr="004779B6">
        <w:rPr>
          <w:rFonts w:asciiTheme="majorHAnsi" w:hAnsiTheme="majorHAnsi" w:cstheme="majorHAnsi"/>
        </w:rPr>
        <w:t>GG</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2</w:t>
      </w:r>
      <w:r w:rsidRPr="004779B6">
        <w:rPr>
          <w:rFonts w:asciiTheme="majorHAnsi" w:hAnsiTheme="majorHAnsi" w:cstheme="majorHAnsi"/>
        </w:rPr>
        <w:t>lnGIN</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3</w:t>
      </w:r>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4</w:t>
      </w:r>
      <w:r w:rsidRPr="004779B6">
        <w:rPr>
          <w:rFonts w:asciiTheme="majorHAnsi" w:hAnsiTheme="majorHAnsi" w:cstheme="majorHAnsi"/>
        </w:rPr>
        <w:t>(</w:t>
      </w:r>
      <w:proofErr w:type="spellStart"/>
      <w:r w:rsidRPr="004779B6">
        <w:rPr>
          <w:rFonts w:asciiTheme="majorHAnsi" w:hAnsiTheme="majorHAnsi" w:cstheme="majorHAnsi"/>
        </w:rPr>
        <w:t>GG</w:t>
      </w:r>
      <w:r w:rsidRPr="004779B6">
        <w:rPr>
          <w:rFonts w:asciiTheme="majorHAnsi" w:hAnsiTheme="majorHAnsi" w:cstheme="majorHAnsi"/>
          <w:vertAlign w:val="subscript"/>
        </w:rPr>
        <w:t>t</w:t>
      </w:r>
      <w:r w:rsidRPr="004779B6">
        <w:rPr>
          <w:rFonts w:asciiTheme="majorHAnsi" w:hAnsiTheme="majorHAnsi" w:cstheme="majorHAnsi"/>
        </w:rPr>
        <w:t>×</w:t>
      </w:r>
      <w:proofErr w:type="gramStart"/>
      <w:r w:rsidRPr="004779B6">
        <w:rPr>
          <w:rFonts w:asciiTheme="majorHAnsi" w:hAnsiTheme="majorHAnsi" w:cstheme="majorHAnsi"/>
        </w:rPr>
        <w:t>lnICT</w:t>
      </w:r>
      <w:r w:rsidRPr="004779B6">
        <w:rPr>
          <w:rFonts w:asciiTheme="majorHAnsi" w:hAnsiTheme="majorHAnsi" w:cstheme="majorHAnsi"/>
          <w:vertAlign w:val="subscript"/>
        </w:rPr>
        <w:t>t</w:t>
      </w:r>
      <w:proofErr w:type="spellEnd"/>
      <w:r w:rsidRPr="004779B6">
        <w:rPr>
          <w:rFonts w:asciiTheme="majorHAnsi" w:hAnsiTheme="majorHAnsi" w:cstheme="majorHAnsi"/>
        </w:rPr>
        <w:t>)+</w:t>
      </w:r>
      <w:proofErr w:type="gramEnd"/>
      <w:r w:rsidRPr="004779B6">
        <w:rPr>
          <w:rFonts w:asciiTheme="majorHAnsi" w:hAnsiTheme="majorHAnsi" w:cstheme="majorHAnsi"/>
        </w:rPr>
        <w:t>β</w:t>
      </w:r>
      <w:r w:rsidRPr="004779B6">
        <w:rPr>
          <w:rFonts w:asciiTheme="majorHAnsi" w:hAnsiTheme="majorHAnsi" w:cstheme="majorHAnsi"/>
          <w:vertAlign w:val="subscript"/>
        </w:rPr>
        <w:t>5</w:t>
      </w:r>
      <w:r w:rsidRPr="004779B6">
        <w:rPr>
          <w:rFonts w:asciiTheme="majorHAnsi" w:hAnsiTheme="majorHAnsi" w:cstheme="majorHAnsi"/>
        </w:rPr>
        <w:t>lnTO</w:t>
      </w:r>
      <w:r w:rsidRPr="004779B6">
        <w:rPr>
          <w:rFonts w:asciiTheme="majorHAnsi" w:hAnsiTheme="majorHAnsi" w:cstheme="majorHAnsi"/>
          <w:vertAlign w:val="subscript"/>
        </w:rPr>
        <w:t>t</w:t>
      </w:r>
      <w:r w:rsidRPr="004779B6">
        <w:rPr>
          <w:rFonts w:asciiTheme="majorHAnsi" w:hAnsiTheme="majorHAnsi" w:cstheme="majorHAnsi"/>
        </w:rPr>
        <w:t>+μ</w:t>
      </w:r>
      <w:r w:rsidRPr="004779B6">
        <w:rPr>
          <w:rFonts w:asciiTheme="majorHAnsi" w:hAnsiTheme="majorHAnsi" w:cstheme="majorHAnsi"/>
          <w:vertAlign w:val="subscript"/>
        </w:rPr>
        <w:t>t</w:t>
      </w:r>
    </w:p>
    <w:p w14:paraId="50D297FD"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lastRenderedPageBreak/>
        <w:t>This specification includes the interaction term between green growth and ICT to assess whether ICT enhances or dampens the environmental effects of green growth.</w:t>
      </w:r>
    </w:p>
    <w:p w14:paraId="3A1DAD96" w14:textId="77777777" w:rsidR="005172ED" w:rsidRPr="004779B6" w:rsidRDefault="005172ED" w:rsidP="004779B6">
      <w:pPr>
        <w:jc w:val="both"/>
        <w:rPr>
          <w:rFonts w:asciiTheme="majorHAnsi" w:hAnsiTheme="majorHAnsi" w:cstheme="majorHAnsi"/>
          <w:b/>
          <w:bCs/>
        </w:rPr>
      </w:pPr>
      <w:r w:rsidRPr="004779B6">
        <w:rPr>
          <w:rFonts w:asciiTheme="majorHAnsi" w:hAnsiTheme="majorHAnsi" w:cstheme="majorHAnsi"/>
          <w:b/>
          <w:bCs/>
        </w:rPr>
        <w:t>Model 3: Interaction Between Green Innovation and ICT</w:t>
      </w:r>
    </w:p>
    <w:p w14:paraId="089F5536"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lnCO</w:t>
      </w:r>
      <w:r w:rsidRPr="004779B6">
        <w:rPr>
          <w:rFonts w:asciiTheme="majorHAnsi" w:hAnsiTheme="majorHAnsi" w:cstheme="majorHAnsi"/>
          <w:vertAlign w:val="subscript"/>
        </w:rPr>
        <w:t>2t</w:t>
      </w:r>
      <w:r w:rsidRPr="004779B6">
        <w:rPr>
          <w:rFonts w:asciiTheme="majorHAnsi" w:hAnsiTheme="majorHAnsi" w:cstheme="majorHAnsi"/>
        </w:rPr>
        <w:t>=α0+β</w:t>
      </w:r>
      <w:r w:rsidRPr="004779B6">
        <w:rPr>
          <w:rFonts w:asciiTheme="majorHAnsi" w:hAnsiTheme="majorHAnsi" w:cstheme="majorHAnsi"/>
          <w:vertAlign w:val="subscript"/>
        </w:rPr>
        <w:t>1</w:t>
      </w:r>
      <w:r w:rsidRPr="004779B6">
        <w:rPr>
          <w:rFonts w:asciiTheme="majorHAnsi" w:hAnsiTheme="majorHAnsi" w:cstheme="majorHAnsi"/>
        </w:rPr>
        <w:t>GG</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2</w:t>
      </w:r>
      <w:r w:rsidRPr="004779B6">
        <w:rPr>
          <w:rFonts w:asciiTheme="majorHAnsi" w:hAnsiTheme="majorHAnsi" w:cstheme="majorHAnsi"/>
        </w:rPr>
        <w:t>lnGIN</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3</w:t>
      </w:r>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4</w:t>
      </w:r>
      <w:r w:rsidRPr="004779B6">
        <w:rPr>
          <w:rFonts w:asciiTheme="majorHAnsi" w:hAnsiTheme="majorHAnsi" w:cstheme="majorHAnsi"/>
        </w:rPr>
        <w:t>(lnGIN</w:t>
      </w:r>
      <w:r w:rsidRPr="004779B6">
        <w:rPr>
          <w:rFonts w:asciiTheme="majorHAnsi" w:hAnsiTheme="majorHAnsi" w:cstheme="majorHAnsi"/>
          <w:vertAlign w:val="subscript"/>
        </w:rPr>
        <w:t>t</w:t>
      </w:r>
      <w:r w:rsidRPr="004779B6">
        <w:rPr>
          <w:rFonts w:asciiTheme="majorHAnsi" w:hAnsiTheme="majorHAnsi" w:cstheme="majorHAnsi"/>
        </w:rPr>
        <w:t>×</w:t>
      </w:r>
      <w:proofErr w:type="gramStart"/>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w:t>
      </w:r>
      <w:proofErr w:type="gramEnd"/>
      <w:r w:rsidRPr="004779B6">
        <w:rPr>
          <w:rFonts w:asciiTheme="majorHAnsi" w:hAnsiTheme="majorHAnsi" w:cstheme="majorHAnsi"/>
        </w:rPr>
        <w:t>β</w:t>
      </w:r>
      <w:r w:rsidRPr="004779B6">
        <w:rPr>
          <w:rFonts w:asciiTheme="majorHAnsi" w:hAnsiTheme="majorHAnsi" w:cstheme="majorHAnsi"/>
          <w:vertAlign w:val="subscript"/>
        </w:rPr>
        <w:t>5</w:t>
      </w:r>
      <w:r w:rsidRPr="004779B6">
        <w:rPr>
          <w:rFonts w:asciiTheme="majorHAnsi" w:hAnsiTheme="majorHAnsi" w:cstheme="majorHAnsi"/>
        </w:rPr>
        <w:t>lnTO</w:t>
      </w:r>
      <w:r w:rsidRPr="004779B6">
        <w:rPr>
          <w:rFonts w:asciiTheme="majorHAnsi" w:hAnsiTheme="majorHAnsi" w:cstheme="majorHAnsi"/>
          <w:vertAlign w:val="subscript"/>
        </w:rPr>
        <w:t>t</w:t>
      </w:r>
      <w:r w:rsidRPr="004779B6">
        <w:rPr>
          <w:rFonts w:asciiTheme="majorHAnsi" w:hAnsiTheme="majorHAnsi" w:cstheme="majorHAnsi"/>
        </w:rPr>
        <w:t>+μ</w:t>
      </w:r>
      <w:r w:rsidRPr="004779B6">
        <w:rPr>
          <w:rFonts w:asciiTheme="majorHAnsi" w:hAnsiTheme="majorHAnsi" w:cstheme="majorHAnsi"/>
          <w:vertAlign w:val="subscript"/>
        </w:rPr>
        <w:t>t</w:t>
      </w:r>
    </w:p>
    <w:p w14:paraId="50FFD7F9"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Here, the interaction term between green innovation and ICT is introduced to evaluate the joint impact of digital infrastructure and innovation on emissions.</w:t>
      </w:r>
    </w:p>
    <w:p w14:paraId="020D5D81" w14:textId="77777777" w:rsidR="005172ED" w:rsidRPr="004779B6" w:rsidRDefault="005172ED" w:rsidP="004779B6">
      <w:pPr>
        <w:jc w:val="both"/>
        <w:rPr>
          <w:rFonts w:asciiTheme="majorHAnsi" w:hAnsiTheme="majorHAnsi" w:cstheme="majorHAnsi"/>
          <w:b/>
          <w:bCs/>
        </w:rPr>
      </w:pPr>
      <w:r w:rsidRPr="004779B6">
        <w:rPr>
          <w:rFonts w:asciiTheme="majorHAnsi" w:hAnsiTheme="majorHAnsi" w:cstheme="majorHAnsi"/>
          <w:b/>
          <w:bCs/>
        </w:rPr>
        <w:t>Model 4: Full Interaction Model</w:t>
      </w:r>
    </w:p>
    <w:p w14:paraId="2D568929" w14:textId="77777777" w:rsidR="005172ED" w:rsidRPr="004779B6" w:rsidRDefault="005172ED" w:rsidP="004779B6">
      <w:pPr>
        <w:jc w:val="both"/>
        <w:rPr>
          <w:rFonts w:asciiTheme="majorHAnsi" w:hAnsiTheme="majorHAnsi" w:cstheme="majorHAnsi"/>
        </w:rPr>
      </w:pPr>
      <w:r w:rsidRPr="004779B6">
        <w:rPr>
          <w:rFonts w:asciiTheme="majorHAnsi" w:hAnsiTheme="majorHAnsi" w:cstheme="majorHAnsi"/>
        </w:rPr>
        <w:t>lnCO</w:t>
      </w:r>
      <w:r w:rsidRPr="004779B6">
        <w:rPr>
          <w:rFonts w:asciiTheme="majorHAnsi" w:hAnsiTheme="majorHAnsi" w:cstheme="majorHAnsi"/>
          <w:vertAlign w:val="subscript"/>
        </w:rPr>
        <w:t>2t</w:t>
      </w:r>
      <w:r w:rsidRPr="004779B6">
        <w:rPr>
          <w:rFonts w:asciiTheme="majorHAnsi" w:hAnsiTheme="majorHAnsi" w:cstheme="majorHAnsi"/>
        </w:rPr>
        <w:t>=α0+β</w:t>
      </w:r>
      <w:r w:rsidRPr="004779B6">
        <w:rPr>
          <w:rFonts w:asciiTheme="majorHAnsi" w:hAnsiTheme="majorHAnsi" w:cstheme="majorHAnsi"/>
          <w:vertAlign w:val="subscript"/>
        </w:rPr>
        <w:t>1</w:t>
      </w:r>
      <w:r w:rsidRPr="004779B6">
        <w:rPr>
          <w:rFonts w:asciiTheme="majorHAnsi" w:hAnsiTheme="majorHAnsi" w:cstheme="majorHAnsi"/>
        </w:rPr>
        <w:t>GG</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2</w:t>
      </w:r>
      <w:r w:rsidRPr="004779B6">
        <w:rPr>
          <w:rFonts w:asciiTheme="majorHAnsi" w:hAnsiTheme="majorHAnsi" w:cstheme="majorHAnsi"/>
        </w:rPr>
        <w:t>lnGINt+β</w:t>
      </w:r>
      <w:r w:rsidRPr="004779B6">
        <w:rPr>
          <w:rFonts w:asciiTheme="majorHAnsi" w:hAnsiTheme="majorHAnsi" w:cstheme="majorHAnsi"/>
          <w:vertAlign w:val="subscript"/>
        </w:rPr>
        <w:t>3</w:t>
      </w:r>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+β</w:t>
      </w:r>
      <w:r w:rsidRPr="004779B6">
        <w:rPr>
          <w:rFonts w:asciiTheme="majorHAnsi" w:hAnsiTheme="majorHAnsi" w:cstheme="majorHAnsi"/>
          <w:vertAlign w:val="subscript"/>
        </w:rPr>
        <w:t>4</w:t>
      </w:r>
      <w:r w:rsidRPr="004779B6">
        <w:rPr>
          <w:rFonts w:asciiTheme="majorHAnsi" w:hAnsiTheme="majorHAnsi" w:cstheme="majorHAnsi"/>
        </w:rPr>
        <w:t>(GG</w:t>
      </w:r>
      <w:r w:rsidRPr="004779B6">
        <w:rPr>
          <w:rFonts w:asciiTheme="majorHAnsi" w:hAnsiTheme="majorHAnsi" w:cstheme="majorHAnsi"/>
          <w:vertAlign w:val="subscript"/>
        </w:rPr>
        <w:t>t</w:t>
      </w:r>
      <w:r w:rsidRPr="004779B6">
        <w:rPr>
          <w:rFonts w:asciiTheme="majorHAnsi" w:hAnsiTheme="majorHAnsi" w:cstheme="majorHAnsi"/>
        </w:rPr>
        <w:t>×</w:t>
      </w:r>
      <w:proofErr w:type="gramStart"/>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w:t>
      </w:r>
      <w:proofErr w:type="gramEnd"/>
      <w:r w:rsidRPr="004779B6">
        <w:rPr>
          <w:rFonts w:asciiTheme="majorHAnsi" w:hAnsiTheme="majorHAnsi" w:cstheme="majorHAnsi"/>
        </w:rPr>
        <w:t>β</w:t>
      </w:r>
      <w:r w:rsidRPr="004779B6">
        <w:rPr>
          <w:rFonts w:asciiTheme="majorHAnsi" w:hAnsiTheme="majorHAnsi" w:cstheme="majorHAnsi"/>
          <w:vertAlign w:val="subscript"/>
        </w:rPr>
        <w:t>5</w:t>
      </w:r>
      <w:r w:rsidRPr="004779B6">
        <w:rPr>
          <w:rFonts w:asciiTheme="majorHAnsi" w:hAnsiTheme="majorHAnsi" w:cstheme="majorHAnsi"/>
        </w:rPr>
        <w:t>(lnGIN</w:t>
      </w:r>
      <w:r w:rsidRPr="004779B6">
        <w:rPr>
          <w:rFonts w:asciiTheme="majorHAnsi" w:hAnsiTheme="majorHAnsi" w:cstheme="majorHAnsi"/>
          <w:vertAlign w:val="subscript"/>
        </w:rPr>
        <w:t>t</w:t>
      </w:r>
      <w:r w:rsidRPr="004779B6">
        <w:rPr>
          <w:rFonts w:asciiTheme="majorHAnsi" w:hAnsiTheme="majorHAnsi" w:cstheme="majorHAnsi"/>
        </w:rPr>
        <w:t>×</w:t>
      </w:r>
      <w:proofErr w:type="gramStart"/>
      <w:r w:rsidRPr="004779B6">
        <w:rPr>
          <w:rFonts w:asciiTheme="majorHAnsi" w:hAnsiTheme="majorHAnsi" w:cstheme="majorHAnsi"/>
        </w:rPr>
        <w:t>lnICT</w:t>
      </w:r>
      <w:r w:rsidRPr="004779B6">
        <w:rPr>
          <w:rFonts w:asciiTheme="majorHAnsi" w:hAnsiTheme="majorHAnsi" w:cstheme="majorHAnsi"/>
          <w:vertAlign w:val="subscript"/>
        </w:rPr>
        <w:t>t</w:t>
      </w:r>
      <w:r w:rsidRPr="004779B6">
        <w:rPr>
          <w:rFonts w:asciiTheme="majorHAnsi" w:hAnsiTheme="majorHAnsi" w:cstheme="majorHAnsi"/>
        </w:rPr>
        <w:t>)+</w:t>
      </w:r>
      <w:proofErr w:type="gramEnd"/>
      <w:r w:rsidRPr="004779B6">
        <w:rPr>
          <w:rFonts w:asciiTheme="majorHAnsi" w:hAnsiTheme="majorHAnsi" w:cstheme="majorHAnsi"/>
        </w:rPr>
        <w:t>β</w:t>
      </w:r>
      <w:r w:rsidRPr="004779B6">
        <w:rPr>
          <w:rFonts w:asciiTheme="majorHAnsi" w:hAnsiTheme="majorHAnsi" w:cstheme="majorHAnsi"/>
          <w:vertAlign w:val="subscript"/>
        </w:rPr>
        <w:t>6</w:t>
      </w:r>
      <w:r w:rsidRPr="004779B6">
        <w:rPr>
          <w:rFonts w:asciiTheme="majorHAnsi" w:hAnsiTheme="majorHAnsi" w:cstheme="majorHAnsi"/>
        </w:rPr>
        <w:t>lnTO</w:t>
      </w:r>
      <w:r w:rsidRPr="004779B6">
        <w:rPr>
          <w:rFonts w:asciiTheme="majorHAnsi" w:hAnsiTheme="majorHAnsi" w:cstheme="majorHAnsi"/>
          <w:vertAlign w:val="subscript"/>
        </w:rPr>
        <w:t>t</w:t>
      </w:r>
      <w:r w:rsidRPr="004779B6">
        <w:rPr>
          <w:rFonts w:asciiTheme="majorHAnsi" w:hAnsiTheme="majorHAnsi" w:cstheme="majorHAnsi"/>
        </w:rPr>
        <w:t>+μ</w:t>
      </w:r>
      <w:r w:rsidRPr="004779B6">
        <w:rPr>
          <w:rFonts w:asciiTheme="majorHAnsi" w:hAnsiTheme="majorHAnsi" w:cstheme="majorHAnsi"/>
          <w:vertAlign w:val="subscript"/>
        </w:rPr>
        <w:t>t</w:t>
      </w:r>
    </w:p>
    <w:p w14:paraId="5D2C9BA4" w14:textId="6E270616" w:rsidR="002F1622" w:rsidRPr="004779B6" w:rsidRDefault="005172ED" w:rsidP="004779B6">
      <w:pPr>
        <w:jc w:val="both"/>
        <w:rPr>
          <w:rFonts w:asciiTheme="majorHAnsi" w:hAnsiTheme="majorHAnsi" w:cstheme="majorHAnsi"/>
        </w:rPr>
      </w:pPr>
      <w:r w:rsidRPr="004779B6">
        <w:rPr>
          <w:rFonts w:asciiTheme="majorHAnsi" w:hAnsiTheme="majorHAnsi" w:cstheme="majorHAnsi"/>
        </w:rPr>
        <w:t>The final model integrates both interaction effects to examine whether ICT simultaneously influences the environmental outcomes of both green growth and innovation policies.</w:t>
      </w:r>
    </w:p>
    <w:p w14:paraId="5B1EF1E8" w14:textId="4FF3886E" w:rsidR="00B576D4" w:rsidRPr="004779B6" w:rsidRDefault="00B576D4" w:rsidP="004779B6">
      <w:pPr>
        <w:jc w:val="both"/>
        <w:rPr>
          <w:rFonts w:asciiTheme="majorHAnsi" w:hAnsiTheme="majorHAnsi" w:cstheme="majorHAnsi"/>
          <w:b/>
          <w:bCs/>
        </w:rPr>
      </w:pPr>
      <w:r w:rsidRPr="004779B6">
        <w:rPr>
          <w:rFonts w:asciiTheme="majorHAnsi" w:hAnsiTheme="majorHAnsi" w:cstheme="majorHAnsi"/>
          <w:b/>
          <w:bCs/>
        </w:rPr>
        <w:t>4. Estimation Schema</w:t>
      </w:r>
    </w:p>
    <w:p w14:paraId="1DFD7B93" w14:textId="20DE526D" w:rsidR="00592B78" w:rsidRPr="004779B6" w:rsidRDefault="00592B78" w:rsidP="004779B6">
      <w:pPr>
        <w:jc w:val="both"/>
        <w:rPr>
          <w:rFonts w:asciiTheme="majorHAnsi" w:hAnsiTheme="majorHAnsi" w:cstheme="majorHAnsi"/>
        </w:rPr>
      </w:pPr>
      <w:r w:rsidRPr="004779B6">
        <w:rPr>
          <w:rFonts w:asciiTheme="majorHAnsi" w:hAnsiTheme="majorHAnsi" w:cstheme="majorHAnsi"/>
        </w:rPr>
        <w:t xml:space="preserve">In the preliminary phase of the empirical analysis, this study employed a range of unit root tests to evaluate the stationarity characteristics of the selected time series variables. To determine the order of integration, the analysis applied several widely recognized techniques, including the Augmented Dickey-Fuller (ADF) test (Dickey &amp; Fuller, 1979), the Phillips-Perron (PP) test (Phillips &amp; Perron, 1988), and the DF-GLS detrended residual unit root test developed by </w:t>
      </w:r>
      <w:proofErr w:type="spellStart"/>
      <w:r w:rsidRPr="004779B6">
        <w:rPr>
          <w:rFonts w:asciiTheme="majorHAnsi" w:hAnsiTheme="majorHAnsi" w:cstheme="majorHAnsi"/>
        </w:rPr>
        <w:t>Vougas</w:t>
      </w:r>
      <w:proofErr w:type="spellEnd"/>
      <w:r w:rsidRPr="004779B6">
        <w:rPr>
          <w:rFonts w:asciiTheme="majorHAnsi" w:hAnsiTheme="majorHAnsi" w:cstheme="majorHAnsi"/>
        </w:rPr>
        <w:t xml:space="preserve"> (2007). Among these, the standard ADF test is mathematically expressed as follows:</w:t>
      </w:r>
    </w:p>
    <w:p w14:paraId="3C6E490A" w14:textId="2058998C" w:rsidR="005C4CF8" w:rsidRPr="004779B6" w:rsidRDefault="002F1622" w:rsidP="004779B6">
      <w:pPr>
        <w:jc w:val="both"/>
        <w:rPr>
          <w:rFonts w:asciiTheme="majorHAnsi" w:hAnsiTheme="majorHAnsi" w:cstheme="majorHAnsi"/>
        </w:rPr>
      </w:pPr>
      <w:proofErr w:type="spellStart"/>
      <w:r w:rsidRPr="004779B6">
        <w:rPr>
          <w:rFonts w:asciiTheme="majorHAnsi" w:hAnsiTheme="majorHAnsi" w:cstheme="majorHAnsi"/>
        </w:rPr>
        <w:t>ΔY</w:t>
      </w:r>
      <w:r w:rsidRPr="004779B6">
        <w:rPr>
          <w:rFonts w:asciiTheme="majorHAnsi" w:hAnsiTheme="majorHAnsi" w:cstheme="majorHAnsi"/>
          <w:vertAlign w:val="subscript"/>
        </w:rPr>
        <w:t>t</w:t>
      </w:r>
      <w:proofErr w:type="spellEnd"/>
      <w:r w:rsidRPr="004779B6">
        <w:rPr>
          <w:rFonts w:asciiTheme="majorHAnsi" w:hAnsiTheme="majorHAnsi" w:cstheme="majorHAnsi"/>
        </w:rPr>
        <w:t>​=α+βt+γY</w:t>
      </w:r>
      <w:r w:rsidRPr="004779B6">
        <w:rPr>
          <w:rFonts w:asciiTheme="majorHAnsi" w:hAnsiTheme="majorHAnsi" w:cstheme="majorHAnsi"/>
          <w:vertAlign w:val="subscript"/>
        </w:rPr>
        <w:t>t−1</w:t>
      </w:r>
      <w:r w:rsidRPr="004779B6">
        <w:rPr>
          <w:rFonts w:asciiTheme="majorHAnsi" w:hAnsiTheme="majorHAnsi" w:cstheme="majorHAnsi"/>
        </w:rPr>
        <w:t>​+</w:t>
      </w:r>
      <m:oMath>
        <m:nary>
          <m:naryPr>
            <m:chr m:val="∑"/>
            <m:grow m:val="1"/>
            <m:ctrlPr>
              <w:rPr>
                <w:rFonts w:ascii="Cambria Math" w:hAnsi="Cambria Math" w:cstheme="majorHAnsi"/>
              </w:rPr>
            </m:ctrlPr>
          </m:naryPr>
          <m:sub>
            <m:r>
              <w:rPr>
                <w:rFonts w:ascii="Cambria Math" w:eastAsia="Cambria Math" w:hAnsi="Cambria Math" w:cstheme="majorHAnsi"/>
              </w:rPr>
              <m:t>i=1</m:t>
            </m:r>
          </m:sub>
          <m:sup>
            <m:r>
              <w:rPr>
                <w:rFonts w:ascii="Cambria Math" w:eastAsia="Cambria Math" w:hAnsi="Cambria Math" w:cstheme="majorHAnsi"/>
              </w:rPr>
              <m:t>k</m:t>
            </m:r>
          </m:sup>
          <m:e>
            <m:r>
              <m:rPr>
                <m:sty m:val="p"/>
              </m:rPr>
              <w:rPr>
                <w:rFonts w:ascii="Cambria Math" w:hAnsi="Cambria Math" w:cstheme="majorHAnsi"/>
              </w:rPr>
              <m:t>δi​ΔYt-i​+ϵt</m:t>
            </m:r>
          </m:e>
        </m:nary>
      </m:oMath>
      <w:r w:rsidR="005C4CF8" w:rsidRPr="004779B6">
        <w:rPr>
          <w:rFonts w:asciiTheme="majorHAnsi" w:hAnsiTheme="majorHAnsi" w:cstheme="majorHAnsi"/>
        </w:rPr>
        <w:t xml:space="preserve">    </w:t>
      </w:r>
    </w:p>
    <w:p w14:paraId="1A6715EF" w14:textId="77777777" w:rsidR="00186E1C" w:rsidRPr="004779B6" w:rsidRDefault="00186E1C" w:rsidP="004779B6">
      <w:pPr>
        <w:jc w:val="both"/>
        <w:rPr>
          <w:rFonts w:asciiTheme="majorHAnsi" w:hAnsiTheme="majorHAnsi" w:cstheme="majorHAnsi"/>
        </w:rPr>
      </w:pPr>
      <w:r w:rsidRPr="004779B6">
        <w:rPr>
          <w:rFonts w:asciiTheme="majorHAnsi" w:hAnsiTheme="majorHAnsi" w:cstheme="majorHAnsi"/>
        </w:rPr>
        <w:t>Where:</w:t>
      </w:r>
    </w:p>
    <w:p w14:paraId="7FC1437E" w14:textId="319042D6" w:rsidR="00186E1C" w:rsidRPr="004779B6" w:rsidRDefault="00186E1C" w:rsidP="004779B6">
      <w:pPr>
        <w:numPr>
          <w:ilvl w:val="0"/>
          <w:numId w:val="4"/>
        </w:numPr>
        <w:jc w:val="both"/>
        <w:rPr>
          <w:rFonts w:asciiTheme="majorHAnsi" w:hAnsiTheme="majorHAnsi" w:cstheme="majorHAnsi"/>
        </w:rPr>
      </w:pPr>
      <w:proofErr w:type="spellStart"/>
      <w:r w:rsidRPr="004779B6">
        <w:rPr>
          <w:rFonts w:asciiTheme="majorHAnsi" w:hAnsiTheme="majorHAnsi" w:cstheme="majorHAnsi"/>
        </w:rPr>
        <w:t>Yt</w:t>
      </w:r>
      <w:proofErr w:type="spellEnd"/>
      <w:r w:rsidRPr="004779B6">
        <w:rPr>
          <w:rFonts w:asciiTheme="majorHAnsi" w:hAnsiTheme="majorHAnsi" w:cstheme="majorHAnsi"/>
        </w:rPr>
        <w:t>​ denotes the time series under consideration,</w:t>
      </w:r>
    </w:p>
    <w:p w14:paraId="34473887" w14:textId="7D88E3FA"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Δ is the first-difference operator,</w:t>
      </w:r>
    </w:p>
    <w:p w14:paraId="2B506158" w14:textId="5CDA5E8F"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α is a constant,</w:t>
      </w:r>
    </w:p>
    <w:p w14:paraId="45B33FB1" w14:textId="71C5EFBD"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βt is the time trend,</w:t>
      </w:r>
    </w:p>
    <w:p w14:paraId="089F3129" w14:textId="3F9402E5"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γ represents the coefficient of interest (indicating the presence of a unit root),</w:t>
      </w:r>
    </w:p>
    <w:p w14:paraId="5E2DACC9" w14:textId="29288241"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k is the optimal lag length to correct for autocorrelation,</w:t>
      </w:r>
    </w:p>
    <w:p w14:paraId="4B91D557" w14:textId="564CFB95" w:rsidR="00186E1C" w:rsidRPr="004779B6" w:rsidRDefault="00186E1C" w:rsidP="004779B6">
      <w:pPr>
        <w:numPr>
          <w:ilvl w:val="0"/>
          <w:numId w:val="4"/>
        </w:numPr>
        <w:jc w:val="both"/>
        <w:rPr>
          <w:rFonts w:asciiTheme="majorHAnsi" w:hAnsiTheme="majorHAnsi" w:cstheme="majorHAnsi"/>
        </w:rPr>
      </w:pPr>
      <w:r w:rsidRPr="004779B6">
        <w:rPr>
          <w:rFonts w:asciiTheme="majorHAnsi" w:hAnsiTheme="majorHAnsi" w:cstheme="majorHAnsi"/>
        </w:rPr>
        <w:t>ϵt​ is the white noise error term.</w:t>
      </w:r>
    </w:p>
    <w:p w14:paraId="52523DDC" w14:textId="04CAE9EE" w:rsidR="00945DE6" w:rsidRPr="004779B6" w:rsidRDefault="00945DE6" w:rsidP="004779B6">
      <w:pPr>
        <w:jc w:val="both"/>
        <w:rPr>
          <w:rFonts w:asciiTheme="majorHAnsi" w:hAnsiTheme="majorHAnsi" w:cstheme="majorHAnsi"/>
        </w:rPr>
      </w:pPr>
      <w:r w:rsidRPr="004779B6">
        <w:rPr>
          <w:rFonts w:asciiTheme="majorHAnsi" w:hAnsiTheme="majorHAnsi" w:cstheme="majorHAnsi"/>
        </w:rPr>
        <w:t>The null hypothesis H</w:t>
      </w:r>
      <w:proofErr w:type="gramStart"/>
      <w:r w:rsidRPr="004779B6">
        <w:rPr>
          <w:rFonts w:asciiTheme="majorHAnsi" w:hAnsiTheme="majorHAnsi" w:cstheme="majorHAnsi"/>
          <w:vertAlign w:val="subscript"/>
        </w:rPr>
        <w:t>0</w:t>
      </w:r>
      <w:r w:rsidRPr="004779B6">
        <w:rPr>
          <w:rFonts w:asciiTheme="majorHAnsi" w:hAnsiTheme="majorHAnsi" w:cstheme="majorHAnsi"/>
        </w:rPr>
        <w:t>:γ</w:t>
      </w:r>
      <w:proofErr w:type="gramEnd"/>
      <w:r w:rsidRPr="004779B6">
        <w:rPr>
          <w:rFonts w:asciiTheme="majorHAnsi" w:hAnsiTheme="majorHAnsi" w:cstheme="majorHAnsi"/>
        </w:rPr>
        <w:t>=0 suggests the presence of a unit root (i.e., non-stationarity), while the alternative hypothesis H</w:t>
      </w:r>
      <w:proofErr w:type="gramStart"/>
      <w:r w:rsidRPr="004779B6">
        <w:rPr>
          <w:rFonts w:asciiTheme="majorHAnsi" w:hAnsiTheme="majorHAnsi" w:cstheme="majorHAnsi"/>
        </w:rPr>
        <w:t>1:γ</w:t>
      </w:r>
      <w:proofErr w:type="gramEnd"/>
      <w:r w:rsidRPr="004779B6">
        <w:rPr>
          <w:rFonts w:asciiTheme="majorHAnsi" w:hAnsiTheme="majorHAnsi" w:cstheme="majorHAnsi"/>
        </w:rPr>
        <w:t>&lt;0 implies stationarity.</w:t>
      </w:r>
    </w:p>
    <w:p w14:paraId="58A59792" w14:textId="0840F40D" w:rsidR="00945DE6" w:rsidRPr="004779B6" w:rsidRDefault="00945DE6" w:rsidP="004779B6">
      <w:pPr>
        <w:jc w:val="both"/>
        <w:rPr>
          <w:rFonts w:asciiTheme="majorHAnsi" w:hAnsiTheme="majorHAnsi" w:cstheme="majorHAnsi"/>
        </w:rPr>
      </w:pPr>
      <w:r w:rsidRPr="004779B6">
        <w:rPr>
          <w:rFonts w:asciiTheme="majorHAnsi" w:hAnsiTheme="majorHAnsi" w:cstheme="majorHAnsi"/>
        </w:rPr>
        <w:lastRenderedPageBreak/>
        <w:t xml:space="preserve">A variable is considered stationary at level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0) if the null hypothesis is rejected. Otherwise, it may be differenced to achieve stationarity, indicating an integration order of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1). These unit root tests inform the selection of the appropriate econometric technique, particularly the augmented ARDL approach, which allows for a mix of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0) and </w:t>
      </w:r>
      <w:proofErr w:type="gramStart"/>
      <w:r w:rsidRPr="004779B6">
        <w:rPr>
          <w:rFonts w:asciiTheme="majorHAnsi" w:hAnsiTheme="majorHAnsi" w:cstheme="majorHAnsi"/>
        </w:rPr>
        <w:t>I(</w:t>
      </w:r>
      <w:proofErr w:type="gramEnd"/>
      <w:r w:rsidRPr="004779B6">
        <w:rPr>
          <w:rFonts w:asciiTheme="majorHAnsi" w:hAnsiTheme="majorHAnsi" w:cstheme="majorHAnsi"/>
        </w:rPr>
        <w:t>1) variables.</w:t>
      </w:r>
    </w:p>
    <w:p w14:paraId="7FE93788" w14:textId="0C849F53" w:rsidR="00420983" w:rsidRPr="004779B6" w:rsidRDefault="00420983" w:rsidP="004779B6">
      <w:pPr>
        <w:jc w:val="both"/>
        <w:rPr>
          <w:rFonts w:asciiTheme="majorHAnsi" w:hAnsiTheme="majorHAnsi" w:cstheme="majorHAnsi"/>
        </w:rPr>
      </w:pPr>
      <w:r w:rsidRPr="004779B6">
        <w:rPr>
          <w:rFonts w:asciiTheme="majorHAnsi" w:hAnsiTheme="majorHAnsi" w:cstheme="majorHAnsi"/>
        </w:rPr>
        <w:t xml:space="preserve">In addition, this study employed the Johansen cointegration technique (Johansen, 1991; Johansen, 1995) to assess the existence of a long-term equilibrium relationship among the selected variables over the period under investigation. To further examine the dynamic association among green growth, green innovation, ICT, trade openness, and carbon dioxide emissions, the analysis utilized the augmented Autoregressive Distributed Lag (AARDL) approach, as advanced by McNown, Sam, and Goh (2018). This method enhances the traditional ARDL framework originally introduced by </w:t>
      </w:r>
      <w:proofErr w:type="spellStart"/>
      <w:r w:rsidRPr="004779B6">
        <w:rPr>
          <w:rFonts w:asciiTheme="majorHAnsi" w:hAnsiTheme="majorHAnsi" w:cstheme="majorHAnsi"/>
        </w:rPr>
        <w:t>Pesaran</w:t>
      </w:r>
      <w:proofErr w:type="spellEnd"/>
      <w:r w:rsidRPr="004779B6">
        <w:rPr>
          <w:rFonts w:asciiTheme="majorHAnsi" w:hAnsiTheme="majorHAnsi" w:cstheme="majorHAnsi"/>
        </w:rPr>
        <w:t xml:space="preserve"> and Shin (1999).</w:t>
      </w:r>
    </w:p>
    <w:p w14:paraId="1CCE04A1" w14:textId="275825E4" w:rsidR="00420983" w:rsidRPr="004779B6" w:rsidRDefault="00420983" w:rsidP="004779B6">
      <w:pPr>
        <w:jc w:val="both"/>
        <w:rPr>
          <w:rFonts w:asciiTheme="majorHAnsi" w:hAnsiTheme="majorHAnsi" w:cstheme="majorHAnsi"/>
        </w:rPr>
      </w:pPr>
      <w:r w:rsidRPr="004779B6">
        <w:rPr>
          <w:rFonts w:asciiTheme="majorHAnsi" w:hAnsiTheme="majorHAnsi" w:cstheme="majorHAnsi"/>
        </w:rPr>
        <w:t xml:space="preserve">Unlike conventional cointegration tests, the AARDL technique offers more flexibility by accommodating regressors with mixed integration orders—either stationary at level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0) or first difference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1)—without compromising the validity of the results. However, it remains inapplicable to series integrated at order two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2). The cointegrating relationship among the variables is estimated through the following AARDL model, as outlined in Equation </w:t>
      </w:r>
      <w:r w:rsidR="00870D7A" w:rsidRPr="004779B6">
        <w:rPr>
          <w:rFonts w:asciiTheme="majorHAnsi" w:hAnsiTheme="majorHAnsi" w:cstheme="majorHAnsi"/>
        </w:rPr>
        <w:t>below:</w:t>
      </w:r>
    </w:p>
    <w:p w14:paraId="0D5E9CA6" w14:textId="632B29BC" w:rsidR="00592B78" w:rsidRPr="004779B6" w:rsidRDefault="00592B78" w:rsidP="004779B6">
      <w:pPr>
        <w:jc w:val="both"/>
        <w:rPr>
          <w:rFonts w:asciiTheme="majorHAnsi" w:hAnsiTheme="majorHAnsi" w:cstheme="majorHAnsi"/>
        </w:rPr>
      </w:pPr>
      <w:r w:rsidRPr="004779B6">
        <w:rPr>
          <w:rFonts w:asciiTheme="majorHAnsi" w:hAnsiTheme="majorHAnsi" w:cstheme="majorHAnsi"/>
        </w:rPr>
        <w:t>ΔlnCO2t​=α0​+</w:t>
      </w:r>
      <w:r w:rsidR="00347399" w:rsidRPr="004779B6">
        <w:rPr>
          <w:rFonts w:asciiTheme="majorHAnsi" w:hAnsiTheme="majorHAnsi" w:cstheme="majorHAnsi"/>
        </w:rPr>
        <w:t xml:space="preserve"> </w:t>
      </w:r>
      <m:oMath>
        <m:nary>
          <m:naryPr>
            <m:chr m:val="∑"/>
            <m:limLoc m:val="undOvr"/>
            <m:ctrlPr>
              <w:rPr>
                <w:rFonts w:ascii="Cambria Math" w:hAnsi="Cambria Math" w:cstheme="majorHAnsi"/>
              </w:rPr>
            </m:ctrlPr>
          </m:naryPr>
          <m:sub>
            <m:r>
              <w:rPr>
                <w:rFonts w:ascii="Cambria Math" w:hAnsi="Cambria Math" w:cstheme="majorHAnsi"/>
              </w:rPr>
              <m:t>i=1</m:t>
            </m:r>
          </m:sub>
          <m:sup>
            <m:r>
              <w:rPr>
                <w:rFonts w:ascii="Cambria Math" w:hAnsi="Cambria Math" w:cstheme="majorHAnsi"/>
              </w:rPr>
              <m:t>p</m:t>
            </m:r>
          </m:sup>
          <m:e>
            <m:r>
              <w:rPr>
                <w:rFonts w:ascii="Cambria Math" w:hAnsi="Cambria Math" w:cstheme="majorHAnsi"/>
              </w:rPr>
              <m:t>​β</m:t>
            </m:r>
            <m:r>
              <w:rPr>
                <w:rFonts w:ascii="Cambria Math" w:hAnsi="Cambria Math" w:cstheme="majorHAnsi"/>
                <w:vertAlign w:val="subscript"/>
              </w:rPr>
              <m:t>i​</m:t>
            </m:r>
            <m:r>
              <w:rPr>
                <w:rFonts w:ascii="Cambria Math" w:hAnsi="Cambria Math" w:cstheme="majorHAnsi"/>
              </w:rPr>
              <m:t>ΔlnCO2</m:t>
            </m:r>
            <m:r>
              <w:rPr>
                <w:rFonts w:ascii="Cambria Math" w:hAnsi="Cambria Math" w:cstheme="majorHAnsi"/>
                <w:vertAlign w:val="subscript"/>
              </w:rPr>
              <m:t>t</m:t>
            </m:r>
            <m:r>
              <m:rPr>
                <m:sty m:val="p"/>
              </m:rPr>
              <w:rPr>
                <w:rFonts w:ascii="Cambria Math" w:hAnsi="Cambria Math" w:cstheme="majorHAnsi"/>
                <w:vertAlign w:val="subscript"/>
              </w:rPr>
              <m:t>-</m:t>
            </m:r>
            <m:r>
              <w:rPr>
                <w:rFonts w:ascii="Cambria Math" w:hAnsi="Cambria Math" w:cstheme="majorHAnsi"/>
                <w:vertAlign w:val="subscript"/>
              </w:rPr>
              <m:t>i</m:t>
            </m:r>
          </m:e>
        </m:nary>
      </m:oMath>
      <w:r w:rsidR="00347399" w:rsidRPr="004779B6">
        <w:rPr>
          <w:rFonts w:asciiTheme="majorHAnsi" w:hAnsiTheme="majorHAnsi" w:cstheme="majorHAnsi"/>
        </w:rPr>
        <w:t xml:space="preserve"> </w:t>
      </w:r>
      <w:r w:rsidRPr="004779B6">
        <w:rPr>
          <w:rFonts w:asciiTheme="majorHAnsi" w:hAnsiTheme="majorHAnsi" w:cstheme="majorHAnsi"/>
        </w:rPr>
        <w:t>​+</w:t>
      </w:r>
      <w:r w:rsidR="00347399" w:rsidRPr="004779B6">
        <w:rPr>
          <w:rFonts w:asciiTheme="majorHAnsi" w:hAnsiTheme="majorHAnsi" w:cstheme="majorHAnsi"/>
        </w:rPr>
        <w:t xml:space="preserve">   </w:t>
      </w:r>
      <m:oMath>
        <m:nary>
          <m:naryPr>
            <m:chr m:val="∑"/>
            <m:limLoc m:val="undOvr"/>
            <m:ctrlPr>
              <w:rPr>
                <w:rFonts w:ascii="Cambria Math" w:hAnsi="Cambria Math" w:cstheme="majorHAnsi"/>
              </w:rPr>
            </m:ctrlPr>
          </m:naryPr>
          <m:sub>
            <m:r>
              <w:rPr>
                <w:rFonts w:ascii="Cambria Math" w:hAnsi="Cambria Math" w:cstheme="majorHAnsi"/>
              </w:rPr>
              <m:t>j=0</m:t>
            </m:r>
          </m:sub>
          <m:sup>
            <m:r>
              <w:rPr>
                <w:rFonts w:ascii="Cambria Math" w:hAnsi="Cambria Math" w:cstheme="majorHAnsi"/>
              </w:rPr>
              <m:t>q1</m:t>
            </m:r>
          </m:sup>
          <m:e>
            <m:r>
              <w:rPr>
                <w:rFonts w:ascii="Cambria Math" w:hAnsi="Cambria Math" w:cstheme="majorHAnsi"/>
              </w:rPr>
              <m:t>θj​ΔGGt</m:t>
            </m:r>
            <m:r>
              <m:rPr>
                <m:sty m:val="p"/>
              </m:rPr>
              <w:rPr>
                <w:rFonts w:ascii="Cambria Math" w:hAnsi="Cambria Math" w:cstheme="majorHAnsi"/>
              </w:rPr>
              <m:t>-</m:t>
            </m:r>
            <m:r>
              <w:rPr>
                <w:rFonts w:ascii="Cambria Math" w:hAnsi="Cambria Math" w:cstheme="majorHAnsi"/>
              </w:rPr>
              <m:t>j​</m:t>
            </m:r>
          </m:e>
        </m:nary>
      </m:oMath>
      <w:r w:rsidR="00870D7A" w:rsidRPr="004779B6">
        <w:rPr>
          <w:rFonts w:asciiTheme="majorHAnsi" w:hAnsiTheme="majorHAnsi" w:cstheme="majorHAnsi"/>
        </w:rPr>
        <w:t xml:space="preserve"> </w:t>
      </w:r>
      <w:r w:rsidRPr="004779B6">
        <w:rPr>
          <w:rFonts w:asciiTheme="majorHAnsi" w:hAnsiTheme="majorHAnsi" w:cstheme="majorHAnsi"/>
        </w:rPr>
        <w:t>+</w:t>
      </w:r>
      <w:r w:rsidR="00870D7A" w:rsidRPr="004779B6">
        <w:rPr>
          <w:rFonts w:asciiTheme="majorHAnsi" w:hAnsiTheme="majorHAnsi" w:cstheme="majorHAnsi"/>
        </w:rPr>
        <w:t xml:space="preserve"> </w:t>
      </w:r>
      <m:oMath>
        <m:nary>
          <m:naryPr>
            <m:chr m:val="∑"/>
            <m:limLoc m:val="undOvr"/>
            <m:ctrlPr>
              <w:rPr>
                <w:rFonts w:ascii="Cambria Math" w:hAnsi="Cambria Math" w:cstheme="majorHAnsi"/>
              </w:rPr>
            </m:ctrlPr>
          </m:naryPr>
          <m:sub>
            <m:r>
              <w:rPr>
                <w:rFonts w:ascii="Cambria Math" w:hAnsi="Cambria Math" w:cstheme="majorHAnsi"/>
              </w:rPr>
              <m:t>k=0</m:t>
            </m:r>
          </m:sub>
          <m:sup>
            <m:r>
              <w:rPr>
                <w:rFonts w:ascii="Cambria Math" w:hAnsi="Cambria Math" w:cstheme="majorHAnsi"/>
              </w:rPr>
              <m:t>q2</m:t>
            </m:r>
          </m:sup>
          <m:e>
            <m:r>
              <w:rPr>
                <w:rFonts w:ascii="Cambria Math" w:hAnsi="Cambria Math" w:cstheme="majorHAnsi"/>
              </w:rPr>
              <m:t>ϕk​ΔlnGINt</m:t>
            </m:r>
            <m:r>
              <m:rPr>
                <m:sty m:val="p"/>
              </m:rPr>
              <w:rPr>
                <w:rFonts w:ascii="Cambria Math" w:hAnsi="Cambria Math" w:cstheme="majorHAnsi"/>
              </w:rPr>
              <m:t>-</m:t>
            </m:r>
            <m:r>
              <w:rPr>
                <w:rFonts w:ascii="Cambria Math" w:hAnsi="Cambria Math" w:cstheme="majorHAnsi"/>
              </w:rPr>
              <m:t>k​</m:t>
            </m:r>
          </m:e>
        </m:nary>
        <m:r>
          <w:rPr>
            <w:rFonts w:ascii="Cambria Math" w:hAnsi="Cambria Math" w:cstheme="majorHAnsi"/>
          </w:rPr>
          <m:t>+</m:t>
        </m:r>
        <m:nary>
          <m:naryPr>
            <m:chr m:val="∑"/>
            <m:limLoc m:val="undOvr"/>
            <m:ctrlPr>
              <w:rPr>
                <w:rFonts w:ascii="Cambria Math" w:hAnsi="Cambria Math" w:cstheme="majorHAnsi"/>
              </w:rPr>
            </m:ctrlPr>
          </m:naryPr>
          <m:sub>
            <m:r>
              <w:rPr>
                <w:rFonts w:ascii="Cambria Math" w:hAnsi="Cambria Math" w:cstheme="majorHAnsi"/>
              </w:rPr>
              <m:t>l=0</m:t>
            </m:r>
          </m:sub>
          <m:sup>
            <m:r>
              <w:rPr>
                <w:rFonts w:ascii="Cambria Math" w:hAnsi="Cambria Math" w:cstheme="majorHAnsi"/>
              </w:rPr>
              <m:t>q3</m:t>
            </m:r>
          </m:sup>
          <m:e>
            <m:r>
              <w:rPr>
                <w:rFonts w:ascii="Cambria Math" w:hAnsi="Cambria Math" w:cstheme="majorHAnsi"/>
              </w:rPr>
              <m:t>γl​ΔlnICTt</m:t>
            </m:r>
            <m:r>
              <m:rPr>
                <m:sty m:val="p"/>
              </m:rPr>
              <w:rPr>
                <w:rFonts w:ascii="Cambria Math" w:hAnsi="Cambria Math" w:cstheme="majorHAnsi"/>
              </w:rPr>
              <m:t>-</m:t>
            </m:r>
            <m:r>
              <w:rPr>
                <w:rFonts w:ascii="Cambria Math" w:hAnsi="Cambria Math" w:cstheme="majorHAnsi"/>
              </w:rPr>
              <m:t>l​</m:t>
            </m:r>
          </m:e>
        </m:nary>
      </m:oMath>
      <w:r w:rsidRPr="004779B6">
        <w:rPr>
          <w:rFonts w:asciiTheme="majorHAnsi" w:hAnsiTheme="majorHAnsi" w:cstheme="majorHAnsi"/>
        </w:rPr>
        <w:t>​​</w:t>
      </w:r>
      <w:r w:rsidR="00870D7A" w:rsidRPr="004779B6">
        <w:rPr>
          <w:rFonts w:asciiTheme="majorHAnsi" w:hAnsiTheme="majorHAnsi" w:cstheme="majorHAnsi"/>
        </w:rPr>
        <w:t xml:space="preserve"> </w:t>
      </w:r>
      <w:r w:rsidRPr="004779B6">
        <w:rPr>
          <w:rFonts w:asciiTheme="majorHAnsi" w:hAnsiTheme="majorHAnsi" w:cstheme="majorHAnsi"/>
        </w:rPr>
        <w:t>​+</w:t>
      </w:r>
      <w:r w:rsidR="00870D7A" w:rsidRPr="004779B6">
        <w:rPr>
          <w:rFonts w:asciiTheme="majorHAnsi" w:hAnsiTheme="majorHAnsi" w:cstheme="majorHAnsi"/>
        </w:rPr>
        <w:t xml:space="preserve"> </w:t>
      </w:r>
      <m:oMath>
        <m:nary>
          <m:naryPr>
            <m:chr m:val="∑"/>
            <m:limLoc m:val="undOvr"/>
            <m:ctrlPr>
              <w:rPr>
                <w:rFonts w:ascii="Cambria Math" w:hAnsi="Cambria Math" w:cstheme="majorHAnsi"/>
              </w:rPr>
            </m:ctrlPr>
          </m:naryPr>
          <m:sub>
            <m:r>
              <w:rPr>
                <w:rFonts w:ascii="Cambria Math" w:hAnsi="Cambria Math" w:cstheme="majorHAnsi"/>
              </w:rPr>
              <m:t>m=0</m:t>
            </m:r>
          </m:sub>
          <m:sup>
            <m:r>
              <w:rPr>
                <w:rFonts w:ascii="Cambria Math" w:hAnsi="Cambria Math" w:cstheme="majorHAnsi"/>
              </w:rPr>
              <m:t>q4</m:t>
            </m:r>
          </m:sup>
          <m:e>
            <m:r>
              <w:rPr>
                <w:rFonts w:ascii="Cambria Math" w:hAnsi="Cambria Math" w:cstheme="majorHAnsi"/>
              </w:rPr>
              <m:t>ηm​ΔlnTOt</m:t>
            </m:r>
            <m:r>
              <m:rPr>
                <m:sty m:val="p"/>
              </m:rPr>
              <w:rPr>
                <w:rFonts w:ascii="Cambria Math" w:hAnsi="Cambria Math" w:cstheme="majorHAnsi"/>
              </w:rPr>
              <m:t>-</m:t>
            </m:r>
            <m:r>
              <w:rPr>
                <w:rFonts w:ascii="Cambria Math" w:hAnsi="Cambria Math" w:cstheme="majorHAnsi"/>
              </w:rPr>
              <m:t>m</m:t>
            </m:r>
          </m:e>
        </m:nary>
      </m:oMath>
      <w:r w:rsidR="00870D7A" w:rsidRPr="004779B6">
        <w:rPr>
          <w:rFonts w:asciiTheme="majorHAnsi" w:hAnsiTheme="majorHAnsi" w:cstheme="majorHAnsi"/>
        </w:rPr>
        <w:t xml:space="preserve">+ </w:t>
      </w:r>
      <w:r w:rsidRPr="004779B6">
        <w:rPr>
          <w:rFonts w:asciiTheme="majorHAnsi" w:hAnsiTheme="majorHAnsi" w:cstheme="majorHAnsi"/>
        </w:rPr>
        <w:t>​</w:t>
      </w:r>
      <m:oMath>
        <m:nary>
          <m:naryPr>
            <m:chr m:val="∑"/>
            <m:limLoc m:val="undOvr"/>
            <m:ctrlPr>
              <w:rPr>
                <w:rFonts w:ascii="Cambria Math" w:hAnsi="Cambria Math" w:cstheme="majorHAnsi"/>
              </w:rPr>
            </m:ctrlPr>
          </m:naryPr>
          <m:sub>
            <m:r>
              <w:rPr>
                <w:rFonts w:ascii="Cambria Math" w:hAnsi="Cambria Math" w:cstheme="majorHAnsi"/>
              </w:rPr>
              <m:t>n=0</m:t>
            </m:r>
          </m:sub>
          <m:sup>
            <m:r>
              <w:rPr>
                <w:rFonts w:ascii="Cambria Math" w:hAnsi="Cambria Math" w:cstheme="majorHAnsi"/>
              </w:rPr>
              <m:t>q5</m:t>
            </m:r>
          </m:sup>
          <m:e>
            <m:r>
              <w:rPr>
                <w:rFonts w:ascii="Cambria Math" w:hAnsi="Cambria Math" w:cstheme="majorHAnsi"/>
              </w:rPr>
              <m:t>δ1lnCO2t-1</m:t>
            </m:r>
          </m:e>
        </m:nary>
      </m:oMath>
      <w:r w:rsidRPr="004779B6">
        <w:rPr>
          <w:rFonts w:asciiTheme="majorHAnsi" w:hAnsiTheme="majorHAnsi" w:cstheme="majorHAnsi"/>
        </w:rPr>
        <w:t>+</w:t>
      </w:r>
      <w:r w:rsidR="00870D7A" w:rsidRPr="004779B6">
        <w:rPr>
          <w:rFonts w:asciiTheme="majorHAnsi" w:hAnsiTheme="majorHAnsi" w:cstheme="majorHAnsi"/>
        </w:rPr>
        <w:t xml:space="preserve"> </w:t>
      </w:r>
      <w:r w:rsidRPr="004779B6">
        <w:rPr>
          <w:rFonts w:asciiTheme="majorHAnsi" w:hAnsiTheme="majorHAnsi" w:cstheme="majorHAnsi"/>
        </w:rPr>
        <w:t>+δ2GG</w:t>
      </w:r>
      <w:r w:rsidRPr="004779B6">
        <w:rPr>
          <w:rFonts w:asciiTheme="majorHAnsi" w:hAnsiTheme="majorHAnsi" w:cstheme="majorHAnsi"/>
          <w:vertAlign w:val="subscript"/>
        </w:rPr>
        <w:t>t−1</w:t>
      </w:r>
      <w:r w:rsidRPr="004779B6">
        <w:rPr>
          <w:rFonts w:asciiTheme="majorHAnsi" w:hAnsiTheme="majorHAnsi" w:cstheme="majorHAnsi"/>
        </w:rPr>
        <w:t>+δ3lnGIN</w:t>
      </w:r>
      <w:r w:rsidRPr="004779B6">
        <w:rPr>
          <w:rFonts w:asciiTheme="majorHAnsi" w:hAnsiTheme="majorHAnsi" w:cstheme="majorHAnsi"/>
          <w:vertAlign w:val="subscript"/>
        </w:rPr>
        <w:t>t−1</w:t>
      </w:r>
      <w:r w:rsidRPr="004779B6">
        <w:rPr>
          <w:rFonts w:asciiTheme="majorHAnsi" w:hAnsiTheme="majorHAnsi" w:cstheme="majorHAnsi"/>
        </w:rPr>
        <w:t>+δ4lnICT</w:t>
      </w:r>
      <w:r w:rsidRPr="004779B6">
        <w:rPr>
          <w:rFonts w:asciiTheme="majorHAnsi" w:hAnsiTheme="majorHAnsi" w:cstheme="majorHAnsi"/>
          <w:vertAlign w:val="subscript"/>
        </w:rPr>
        <w:t>t−1</w:t>
      </w:r>
      <w:r w:rsidRPr="004779B6">
        <w:rPr>
          <w:rFonts w:asciiTheme="majorHAnsi" w:hAnsiTheme="majorHAnsi" w:cstheme="majorHAnsi"/>
        </w:rPr>
        <w:t>+δ5lnTO</w:t>
      </w:r>
      <w:r w:rsidRPr="004779B6">
        <w:rPr>
          <w:rFonts w:asciiTheme="majorHAnsi" w:hAnsiTheme="majorHAnsi" w:cstheme="majorHAnsi"/>
          <w:vertAlign w:val="subscript"/>
        </w:rPr>
        <w:t>t−1</w:t>
      </w:r>
      <w:r w:rsidRPr="004779B6">
        <w:rPr>
          <w:rFonts w:asciiTheme="majorHAnsi" w:hAnsiTheme="majorHAnsi" w:cstheme="majorHAnsi"/>
        </w:rPr>
        <w:t>+εt</w:t>
      </w:r>
    </w:p>
    <w:p w14:paraId="1E7ECC3D" w14:textId="4946A7B1" w:rsidR="00B266B9" w:rsidRPr="004779B6" w:rsidRDefault="00B266B9" w:rsidP="004779B6">
      <w:pPr>
        <w:jc w:val="both"/>
        <w:rPr>
          <w:rFonts w:asciiTheme="majorHAnsi" w:hAnsiTheme="majorHAnsi" w:cstheme="majorHAnsi"/>
        </w:rPr>
      </w:pPr>
      <w:r w:rsidRPr="004779B6">
        <w:rPr>
          <w:rFonts w:asciiTheme="majorHAnsi" w:hAnsiTheme="majorHAnsi" w:cstheme="majorHAnsi"/>
        </w:rPr>
        <w:t>Δ: First difference operator.</w:t>
      </w:r>
    </w:p>
    <w:p w14:paraId="016E0121" w14:textId="0131D81D" w:rsidR="00B266B9" w:rsidRPr="004779B6" w:rsidRDefault="00B266B9" w:rsidP="004779B6">
      <w:pPr>
        <w:jc w:val="both"/>
        <w:rPr>
          <w:rFonts w:asciiTheme="majorHAnsi" w:hAnsiTheme="majorHAnsi" w:cstheme="majorHAnsi"/>
        </w:rPr>
      </w:pPr>
      <w:r w:rsidRPr="004779B6">
        <w:rPr>
          <w:rFonts w:asciiTheme="majorHAnsi" w:hAnsiTheme="majorHAnsi" w:cstheme="majorHAnsi"/>
        </w:rPr>
        <w:t>lnCO2</w:t>
      </w:r>
      <w:r w:rsidRPr="004779B6">
        <w:rPr>
          <w:rFonts w:asciiTheme="majorHAnsi" w:hAnsiTheme="majorHAnsi" w:cstheme="majorHAnsi"/>
          <w:vertAlign w:val="subscript"/>
        </w:rPr>
        <w:t>t</w:t>
      </w:r>
      <w:r w:rsidRPr="004779B6">
        <w:rPr>
          <w:rFonts w:asciiTheme="majorHAnsi" w:hAnsiTheme="majorHAnsi" w:cstheme="majorHAnsi"/>
        </w:rPr>
        <w:t>​: Log of CO₂ emissions at time t.</w:t>
      </w:r>
    </w:p>
    <w:p w14:paraId="742DEE9B" w14:textId="5BA44424" w:rsidR="00B266B9" w:rsidRPr="004779B6" w:rsidRDefault="00B266B9" w:rsidP="004779B6">
      <w:pPr>
        <w:jc w:val="both"/>
        <w:rPr>
          <w:rFonts w:asciiTheme="majorHAnsi" w:hAnsiTheme="majorHAnsi" w:cstheme="majorHAnsi"/>
        </w:rPr>
      </w:pPr>
      <w:proofErr w:type="spellStart"/>
      <w:r w:rsidRPr="004779B6">
        <w:rPr>
          <w:rFonts w:asciiTheme="majorHAnsi" w:hAnsiTheme="majorHAnsi" w:cstheme="majorHAnsi"/>
        </w:rPr>
        <w:t>GGt</w:t>
      </w:r>
      <w:proofErr w:type="spellEnd"/>
      <w:r w:rsidRPr="004779B6">
        <w:rPr>
          <w:rFonts w:asciiTheme="majorHAnsi" w:hAnsiTheme="majorHAnsi" w:cstheme="majorHAnsi"/>
        </w:rPr>
        <w:t>​: Green growth at time t.</w:t>
      </w:r>
    </w:p>
    <w:p w14:paraId="2127A32D" w14:textId="207641E7" w:rsidR="00B266B9" w:rsidRPr="004779B6" w:rsidRDefault="00B266B9" w:rsidP="004779B6">
      <w:pPr>
        <w:jc w:val="both"/>
        <w:rPr>
          <w:rFonts w:asciiTheme="majorHAnsi" w:hAnsiTheme="majorHAnsi" w:cstheme="majorHAnsi"/>
        </w:rPr>
      </w:pPr>
      <w:proofErr w:type="spellStart"/>
      <w:r w:rsidRPr="004779B6">
        <w:rPr>
          <w:rFonts w:asciiTheme="majorHAnsi" w:hAnsiTheme="majorHAnsi" w:cstheme="majorHAnsi"/>
        </w:rPr>
        <w:t>lnGINt</w:t>
      </w:r>
      <w:proofErr w:type="spellEnd"/>
      <w:r w:rsidRPr="004779B6">
        <w:rPr>
          <w:rFonts w:asciiTheme="majorHAnsi" w:hAnsiTheme="majorHAnsi" w:cstheme="majorHAnsi"/>
        </w:rPr>
        <w:t>​: Log of green innovation at time t.</w:t>
      </w:r>
    </w:p>
    <w:p w14:paraId="08ABC5E6" w14:textId="4C1F9F3E" w:rsidR="00B266B9" w:rsidRPr="004779B6" w:rsidRDefault="00B266B9" w:rsidP="004779B6">
      <w:pPr>
        <w:jc w:val="both"/>
        <w:rPr>
          <w:rFonts w:asciiTheme="majorHAnsi" w:hAnsiTheme="majorHAnsi" w:cstheme="majorHAnsi"/>
        </w:rPr>
      </w:pPr>
      <w:proofErr w:type="spellStart"/>
      <w:r w:rsidRPr="004779B6">
        <w:rPr>
          <w:rFonts w:asciiTheme="majorHAnsi" w:hAnsiTheme="majorHAnsi" w:cstheme="majorHAnsi"/>
        </w:rPr>
        <w:t>lnICTt</w:t>
      </w:r>
      <w:proofErr w:type="spellEnd"/>
      <w:r w:rsidRPr="004779B6">
        <w:rPr>
          <w:rFonts w:asciiTheme="majorHAnsi" w:hAnsiTheme="majorHAnsi" w:cstheme="majorHAnsi"/>
        </w:rPr>
        <w:t>​: Log of ICT penetration at time t.</w:t>
      </w:r>
    </w:p>
    <w:p w14:paraId="40D3C625" w14:textId="2E4815EF" w:rsidR="00B266B9" w:rsidRPr="004779B6" w:rsidRDefault="00B266B9" w:rsidP="004779B6">
      <w:pPr>
        <w:jc w:val="both"/>
        <w:rPr>
          <w:rFonts w:asciiTheme="majorHAnsi" w:hAnsiTheme="majorHAnsi" w:cstheme="majorHAnsi"/>
        </w:rPr>
      </w:pPr>
      <w:proofErr w:type="spellStart"/>
      <w:r w:rsidRPr="004779B6">
        <w:rPr>
          <w:rFonts w:asciiTheme="majorHAnsi" w:hAnsiTheme="majorHAnsi" w:cstheme="majorHAnsi"/>
        </w:rPr>
        <w:t>lnTOt</w:t>
      </w:r>
      <w:proofErr w:type="spellEnd"/>
      <w:r w:rsidRPr="004779B6">
        <w:rPr>
          <w:rFonts w:asciiTheme="majorHAnsi" w:hAnsiTheme="majorHAnsi" w:cstheme="majorHAnsi"/>
        </w:rPr>
        <w:t>​: Log of trade openness at time t.</w:t>
      </w:r>
    </w:p>
    <w:p w14:paraId="17655F1F" w14:textId="00B571BB" w:rsidR="00B266B9" w:rsidRPr="004779B6" w:rsidRDefault="00B266B9" w:rsidP="004779B6">
      <w:pPr>
        <w:jc w:val="both"/>
        <w:rPr>
          <w:rFonts w:asciiTheme="majorHAnsi" w:hAnsiTheme="majorHAnsi" w:cstheme="majorHAnsi"/>
        </w:rPr>
      </w:pPr>
      <w:r w:rsidRPr="004779B6">
        <w:rPr>
          <w:rFonts w:asciiTheme="majorHAnsi" w:hAnsiTheme="majorHAnsi" w:cstheme="majorHAnsi"/>
        </w:rPr>
        <w:t>q1</w:t>
      </w:r>
      <w:proofErr w:type="gramStart"/>
      <w:r w:rsidRPr="004779B6">
        <w:rPr>
          <w:rFonts w:asciiTheme="majorHAnsi" w:hAnsiTheme="majorHAnsi" w:cstheme="majorHAnsi"/>
        </w:rPr>
        <w:t>​,q</w:t>
      </w:r>
      <w:proofErr w:type="gramEnd"/>
      <w:r w:rsidRPr="004779B6">
        <w:rPr>
          <w:rFonts w:asciiTheme="majorHAnsi" w:hAnsiTheme="majorHAnsi" w:cstheme="majorHAnsi"/>
        </w:rPr>
        <w:t>2</w:t>
      </w:r>
      <w:proofErr w:type="gramStart"/>
      <w:r w:rsidRPr="004779B6">
        <w:rPr>
          <w:rFonts w:asciiTheme="majorHAnsi" w:hAnsiTheme="majorHAnsi" w:cstheme="majorHAnsi"/>
        </w:rPr>
        <w:t>​,q</w:t>
      </w:r>
      <w:proofErr w:type="gramEnd"/>
      <w:r w:rsidRPr="004779B6">
        <w:rPr>
          <w:rFonts w:asciiTheme="majorHAnsi" w:hAnsiTheme="majorHAnsi" w:cstheme="majorHAnsi"/>
        </w:rPr>
        <w:t>3</w:t>
      </w:r>
      <w:proofErr w:type="gramStart"/>
      <w:r w:rsidRPr="004779B6">
        <w:rPr>
          <w:rFonts w:asciiTheme="majorHAnsi" w:hAnsiTheme="majorHAnsi" w:cstheme="majorHAnsi"/>
        </w:rPr>
        <w:t>​,q</w:t>
      </w:r>
      <w:proofErr w:type="gramEnd"/>
      <w:r w:rsidRPr="004779B6">
        <w:rPr>
          <w:rFonts w:asciiTheme="majorHAnsi" w:hAnsiTheme="majorHAnsi" w:cstheme="majorHAnsi"/>
        </w:rPr>
        <w:t>4​: Optimal lags selected for each variable.</w:t>
      </w:r>
    </w:p>
    <w:p w14:paraId="26FEEE65" w14:textId="04E960E2" w:rsidR="00B266B9" w:rsidRPr="004779B6" w:rsidRDefault="00B266B9" w:rsidP="004779B6">
      <w:pPr>
        <w:jc w:val="both"/>
        <w:rPr>
          <w:rFonts w:asciiTheme="majorHAnsi" w:hAnsiTheme="majorHAnsi" w:cstheme="majorHAnsi"/>
        </w:rPr>
      </w:pPr>
      <w:r w:rsidRPr="004779B6">
        <w:rPr>
          <w:rFonts w:asciiTheme="majorHAnsi" w:hAnsiTheme="majorHAnsi" w:cstheme="majorHAnsi"/>
        </w:rPr>
        <w:t>α0​: Constant term.</w:t>
      </w:r>
    </w:p>
    <w:p w14:paraId="1D0C7322" w14:textId="640E159B" w:rsidR="00B266B9" w:rsidRPr="004779B6" w:rsidRDefault="00B266B9" w:rsidP="004779B6">
      <w:pPr>
        <w:jc w:val="both"/>
        <w:rPr>
          <w:rFonts w:asciiTheme="majorHAnsi" w:hAnsiTheme="majorHAnsi" w:cstheme="majorHAnsi"/>
        </w:rPr>
      </w:pPr>
      <w:r w:rsidRPr="004779B6">
        <w:rPr>
          <w:rFonts w:asciiTheme="majorHAnsi" w:hAnsiTheme="majorHAnsi" w:cstheme="majorHAnsi"/>
        </w:rPr>
        <w:t>β</w:t>
      </w:r>
      <w:proofErr w:type="spellStart"/>
      <w:proofErr w:type="gramStart"/>
      <w:r w:rsidRPr="004779B6">
        <w:rPr>
          <w:rFonts w:asciiTheme="majorHAnsi" w:hAnsiTheme="majorHAnsi" w:cstheme="majorHAnsi"/>
        </w:rPr>
        <w:t>i</w:t>
      </w:r>
      <w:proofErr w:type="spellEnd"/>
      <w:r w:rsidRPr="004779B6">
        <w:rPr>
          <w:rFonts w:asciiTheme="majorHAnsi" w:hAnsiTheme="majorHAnsi" w:cstheme="majorHAnsi"/>
        </w:rPr>
        <w:t>​,</w:t>
      </w:r>
      <w:proofErr w:type="spellStart"/>
      <w:r w:rsidRPr="004779B6">
        <w:rPr>
          <w:rFonts w:asciiTheme="majorHAnsi" w:hAnsiTheme="majorHAnsi" w:cstheme="majorHAnsi"/>
        </w:rPr>
        <w:t>θj</w:t>
      </w:r>
      <w:proofErr w:type="spellEnd"/>
      <w:r w:rsidRPr="004779B6">
        <w:rPr>
          <w:rFonts w:asciiTheme="majorHAnsi" w:hAnsiTheme="majorHAnsi" w:cstheme="majorHAnsi"/>
        </w:rPr>
        <w:t>​,</w:t>
      </w:r>
      <w:proofErr w:type="spellStart"/>
      <w:r w:rsidRPr="004779B6">
        <w:rPr>
          <w:rFonts w:asciiTheme="majorHAnsi" w:hAnsiTheme="majorHAnsi" w:cstheme="majorHAnsi"/>
        </w:rPr>
        <w:t>ϕk</w:t>
      </w:r>
      <w:proofErr w:type="spellEnd"/>
      <w:r w:rsidRPr="004779B6">
        <w:rPr>
          <w:rFonts w:asciiTheme="majorHAnsi" w:hAnsiTheme="majorHAnsi" w:cstheme="majorHAnsi"/>
        </w:rPr>
        <w:t>​,</w:t>
      </w:r>
      <w:proofErr w:type="spellStart"/>
      <w:r w:rsidRPr="004779B6">
        <w:rPr>
          <w:rFonts w:asciiTheme="majorHAnsi" w:hAnsiTheme="majorHAnsi" w:cstheme="majorHAnsi"/>
        </w:rPr>
        <w:t>γl</w:t>
      </w:r>
      <w:proofErr w:type="spellEnd"/>
      <w:r w:rsidRPr="004779B6">
        <w:rPr>
          <w:rFonts w:asciiTheme="majorHAnsi" w:hAnsiTheme="majorHAnsi" w:cstheme="majorHAnsi"/>
        </w:rPr>
        <w:t>​,</w:t>
      </w:r>
      <w:proofErr w:type="spellStart"/>
      <w:r w:rsidRPr="004779B6">
        <w:rPr>
          <w:rFonts w:asciiTheme="majorHAnsi" w:hAnsiTheme="majorHAnsi" w:cstheme="majorHAnsi"/>
        </w:rPr>
        <w:t>η</w:t>
      </w:r>
      <w:proofErr w:type="gramEnd"/>
      <w:r w:rsidRPr="004779B6">
        <w:rPr>
          <w:rFonts w:asciiTheme="majorHAnsi" w:hAnsiTheme="majorHAnsi" w:cstheme="majorHAnsi"/>
        </w:rPr>
        <w:t>m</w:t>
      </w:r>
      <w:proofErr w:type="spellEnd"/>
      <w:r w:rsidRPr="004779B6">
        <w:rPr>
          <w:rFonts w:asciiTheme="majorHAnsi" w:hAnsiTheme="majorHAnsi" w:cstheme="majorHAnsi"/>
        </w:rPr>
        <w:t>​: Short-run dynamic coefficients.</w:t>
      </w:r>
    </w:p>
    <w:p w14:paraId="01A99C0C" w14:textId="62B053E8" w:rsidR="00B266B9" w:rsidRPr="004779B6" w:rsidRDefault="00B266B9" w:rsidP="004779B6">
      <w:pPr>
        <w:jc w:val="both"/>
        <w:rPr>
          <w:rFonts w:asciiTheme="majorHAnsi" w:hAnsiTheme="majorHAnsi" w:cstheme="majorHAnsi"/>
        </w:rPr>
      </w:pPr>
      <w:r w:rsidRPr="004779B6">
        <w:rPr>
          <w:rFonts w:asciiTheme="majorHAnsi" w:hAnsiTheme="majorHAnsi" w:cstheme="majorHAnsi"/>
        </w:rPr>
        <w:t>δ1</w:t>
      </w:r>
      <w:proofErr w:type="gramStart"/>
      <w:r w:rsidRPr="004779B6">
        <w:rPr>
          <w:rFonts w:asciiTheme="majorHAnsi" w:hAnsiTheme="majorHAnsi" w:cstheme="majorHAnsi"/>
        </w:rPr>
        <w:t>​,...</w:t>
      </w:r>
      <w:proofErr w:type="gramEnd"/>
      <w:r w:rsidRPr="004779B6">
        <w:rPr>
          <w:rFonts w:asciiTheme="majorHAnsi" w:hAnsiTheme="majorHAnsi" w:cstheme="majorHAnsi"/>
        </w:rPr>
        <w:t>,δ5​: Long-run relationship coefficients.</w:t>
      </w:r>
    </w:p>
    <w:p w14:paraId="6BFFD086" w14:textId="5B092DB2" w:rsidR="00B266B9" w:rsidRPr="004779B6" w:rsidRDefault="00B266B9" w:rsidP="004779B6">
      <w:pPr>
        <w:jc w:val="both"/>
        <w:rPr>
          <w:rFonts w:asciiTheme="majorHAnsi" w:hAnsiTheme="majorHAnsi" w:cstheme="majorHAnsi"/>
        </w:rPr>
      </w:pPr>
      <w:proofErr w:type="spellStart"/>
      <w:r w:rsidRPr="004779B6">
        <w:rPr>
          <w:rFonts w:asciiTheme="majorHAnsi" w:hAnsiTheme="majorHAnsi" w:cstheme="majorHAnsi"/>
        </w:rPr>
        <w:t>εt</w:t>
      </w:r>
      <w:proofErr w:type="spellEnd"/>
      <w:r w:rsidRPr="004779B6">
        <w:rPr>
          <w:rFonts w:asciiTheme="majorHAnsi" w:hAnsiTheme="majorHAnsi" w:cstheme="majorHAnsi"/>
        </w:rPr>
        <w:t>​: White noise error term.</w:t>
      </w:r>
    </w:p>
    <w:p w14:paraId="124A567C" w14:textId="6F034BFB" w:rsidR="009B5ED2" w:rsidRPr="004779B6" w:rsidRDefault="009B5ED2" w:rsidP="004779B6">
      <w:pPr>
        <w:jc w:val="both"/>
        <w:rPr>
          <w:rFonts w:asciiTheme="majorHAnsi" w:hAnsiTheme="majorHAnsi" w:cstheme="majorHAnsi"/>
        </w:rPr>
      </w:pPr>
      <w:r w:rsidRPr="004779B6">
        <w:rPr>
          <w:rFonts w:asciiTheme="majorHAnsi" w:hAnsiTheme="majorHAnsi" w:cstheme="majorHAnsi"/>
        </w:rPr>
        <w:lastRenderedPageBreak/>
        <w:t xml:space="preserve">In this specification, </w:t>
      </w:r>
      <w:r w:rsidRPr="004779B6">
        <w:rPr>
          <w:rStyle w:val="Strong"/>
          <w:rFonts w:asciiTheme="majorHAnsi" w:hAnsiTheme="majorHAnsi" w:cstheme="majorHAnsi"/>
        </w:rPr>
        <w:t>CO₂</w:t>
      </w:r>
      <w:r w:rsidRPr="004779B6">
        <w:rPr>
          <w:rFonts w:asciiTheme="majorHAnsi" w:hAnsiTheme="majorHAnsi" w:cstheme="majorHAnsi"/>
        </w:rPr>
        <w:t xml:space="preserve"> denotes carbon dioxide emissions, </w:t>
      </w:r>
      <w:r w:rsidRPr="004779B6">
        <w:rPr>
          <w:rStyle w:val="Strong"/>
          <w:rFonts w:asciiTheme="majorHAnsi" w:hAnsiTheme="majorHAnsi" w:cstheme="majorHAnsi"/>
        </w:rPr>
        <w:t>GG</w:t>
      </w:r>
      <w:r w:rsidRPr="004779B6">
        <w:rPr>
          <w:rFonts w:asciiTheme="majorHAnsi" w:hAnsiTheme="majorHAnsi" w:cstheme="majorHAnsi"/>
        </w:rPr>
        <w:t xml:space="preserve"> stands for green growth, </w:t>
      </w:r>
      <w:r w:rsidRPr="004779B6">
        <w:rPr>
          <w:rStyle w:val="Strong"/>
          <w:rFonts w:asciiTheme="majorHAnsi" w:hAnsiTheme="majorHAnsi" w:cstheme="majorHAnsi"/>
        </w:rPr>
        <w:t>GIN</w:t>
      </w:r>
      <w:r w:rsidRPr="004779B6">
        <w:rPr>
          <w:rFonts w:asciiTheme="majorHAnsi" w:hAnsiTheme="majorHAnsi" w:cstheme="majorHAnsi"/>
        </w:rPr>
        <w:t xml:space="preserve"> refers to green innovations, </w:t>
      </w:r>
      <w:r w:rsidRPr="004779B6">
        <w:rPr>
          <w:rStyle w:val="Strong"/>
          <w:rFonts w:asciiTheme="majorHAnsi" w:hAnsiTheme="majorHAnsi" w:cstheme="majorHAnsi"/>
        </w:rPr>
        <w:t>ICT</w:t>
      </w:r>
      <w:r w:rsidRPr="004779B6">
        <w:rPr>
          <w:rFonts w:asciiTheme="majorHAnsi" w:hAnsiTheme="majorHAnsi" w:cstheme="majorHAnsi"/>
        </w:rPr>
        <w:t xml:space="preserve"> captures information and communication technology, and </w:t>
      </w:r>
      <w:r w:rsidRPr="004779B6">
        <w:rPr>
          <w:rStyle w:val="Strong"/>
          <w:rFonts w:asciiTheme="majorHAnsi" w:hAnsiTheme="majorHAnsi" w:cstheme="majorHAnsi"/>
        </w:rPr>
        <w:t>TO</w:t>
      </w:r>
      <w:r w:rsidRPr="004779B6">
        <w:rPr>
          <w:rFonts w:asciiTheme="majorHAnsi" w:hAnsiTheme="majorHAnsi" w:cstheme="majorHAnsi"/>
        </w:rPr>
        <w:t xml:space="preserve"> represents trade openness. The summation of the first-differenced variables reflects the short-run dynamics, whereas the coefficients on the level terms indicate the long-run relationships. The subscript </w:t>
      </w:r>
      <w:r w:rsidRPr="004779B6">
        <w:rPr>
          <w:rStyle w:val="Strong"/>
          <w:rFonts w:asciiTheme="majorHAnsi" w:hAnsiTheme="majorHAnsi" w:cstheme="majorHAnsi"/>
        </w:rPr>
        <w:t>t</w:t>
      </w:r>
      <w:r w:rsidRPr="004779B6">
        <w:rPr>
          <w:rFonts w:asciiTheme="majorHAnsi" w:hAnsiTheme="majorHAnsi" w:cstheme="majorHAnsi"/>
        </w:rPr>
        <w:t xml:space="preserve"> signifies the time period, and </w:t>
      </w:r>
      <w:r w:rsidRPr="004779B6">
        <w:rPr>
          <w:rStyle w:val="Strong"/>
          <w:rFonts w:asciiTheme="majorHAnsi" w:hAnsiTheme="majorHAnsi" w:cstheme="majorHAnsi"/>
        </w:rPr>
        <w:t>v</w:t>
      </w:r>
      <w:r w:rsidRPr="004779B6">
        <w:rPr>
          <w:rStyle w:val="Strong"/>
          <w:rFonts w:ascii="Cambria Math" w:hAnsi="Cambria Math" w:cs="Cambria Math"/>
        </w:rPr>
        <w:t>ₜ</w:t>
      </w:r>
      <w:r w:rsidRPr="004779B6">
        <w:rPr>
          <w:rFonts w:asciiTheme="majorHAnsi" w:hAnsiTheme="majorHAnsi" w:cstheme="majorHAnsi"/>
        </w:rPr>
        <w:t xml:space="preserve"> denotes the stochastic error term. To examine the existence of a long-run equilibrium relationship among the variables, the null hypothesis of no cointegration is tested using the following approach:</w:t>
      </w:r>
    </w:p>
    <w:p w14:paraId="3420F33E" w14:textId="77777777" w:rsidR="00DC08DD" w:rsidRPr="004779B6" w:rsidRDefault="00DC08DD" w:rsidP="004779B6">
      <w:pPr>
        <w:jc w:val="both"/>
        <w:rPr>
          <w:rFonts w:asciiTheme="majorHAnsi" w:hAnsiTheme="majorHAnsi" w:cstheme="majorHAnsi"/>
        </w:rPr>
      </w:pPr>
      <w:r w:rsidRPr="004779B6">
        <w:rPr>
          <w:rFonts w:asciiTheme="majorHAnsi" w:hAnsiTheme="majorHAnsi" w:cstheme="majorHAnsi"/>
        </w:rPr>
        <w:t>To test the existence of a long-run relationship among the variables, the following null and alternative hypotheses are formulated based on the coefficients of the level variables in the ARDL model:</w:t>
      </w:r>
    </w:p>
    <w:p w14:paraId="2C4F5B60" w14:textId="3FDDB1EB" w:rsidR="00DC08DD" w:rsidRPr="004779B6" w:rsidRDefault="00DC08DD" w:rsidP="004779B6">
      <w:pPr>
        <w:jc w:val="both"/>
        <w:rPr>
          <w:rFonts w:asciiTheme="majorHAnsi" w:hAnsiTheme="majorHAnsi" w:cstheme="majorHAnsi"/>
        </w:rPr>
      </w:pPr>
      <w:r w:rsidRPr="004779B6">
        <w:rPr>
          <w:rFonts w:asciiTheme="majorHAnsi" w:hAnsiTheme="majorHAnsi" w:cstheme="majorHAnsi"/>
        </w:rPr>
        <w:t>H0: δ1=δ2=δ3=δ4=δ5=0 (No cointegration)</w:t>
      </w:r>
    </w:p>
    <w:p w14:paraId="43DF5555" w14:textId="77777777" w:rsidR="00DC08DD" w:rsidRPr="004779B6" w:rsidRDefault="00DC08DD" w:rsidP="004779B6">
      <w:pPr>
        <w:jc w:val="both"/>
        <w:rPr>
          <w:rFonts w:asciiTheme="majorHAnsi" w:hAnsiTheme="majorHAnsi" w:cstheme="majorHAnsi"/>
        </w:rPr>
      </w:pPr>
      <w:r w:rsidRPr="004779B6">
        <w:rPr>
          <w:rFonts w:asciiTheme="majorHAnsi" w:hAnsiTheme="majorHAnsi" w:cstheme="majorHAnsi"/>
        </w:rPr>
        <w:t>H</w:t>
      </w:r>
      <w:proofErr w:type="gramStart"/>
      <w:r w:rsidRPr="004779B6">
        <w:rPr>
          <w:rFonts w:asciiTheme="majorHAnsi" w:hAnsiTheme="majorHAnsi" w:cstheme="majorHAnsi"/>
        </w:rPr>
        <w:t>1:δ</w:t>
      </w:r>
      <w:proofErr w:type="gramEnd"/>
      <w:r w:rsidRPr="004779B6">
        <w:rPr>
          <w:rFonts w:asciiTheme="majorHAnsi" w:hAnsiTheme="majorHAnsi" w:cstheme="majorHAnsi"/>
        </w:rPr>
        <w:t>1≠0, δ2≠0, δ3≠0, δ4≠0, δ5≠0(Cointegration exists)</w:t>
      </w:r>
    </w:p>
    <w:p w14:paraId="4E87AC8C" w14:textId="557D2B0C" w:rsidR="00DC08DD" w:rsidRPr="004779B6" w:rsidRDefault="00DC08DD" w:rsidP="004779B6">
      <w:pPr>
        <w:jc w:val="both"/>
        <w:rPr>
          <w:rFonts w:asciiTheme="majorHAnsi" w:hAnsiTheme="majorHAnsi" w:cstheme="majorHAnsi"/>
        </w:rPr>
      </w:pPr>
      <w:r w:rsidRPr="004779B6">
        <w:rPr>
          <w:rFonts w:asciiTheme="majorHAnsi" w:hAnsiTheme="majorHAnsi" w:cstheme="majorHAnsi"/>
        </w:rPr>
        <w:t>Here, δ1</w:t>
      </w:r>
      <w:proofErr w:type="gramStart"/>
      <w:r w:rsidRPr="004779B6">
        <w:rPr>
          <w:rFonts w:asciiTheme="majorHAnsi" w:hAnsiTheme="majorHAnsi" w:cstheme="majorHAnsi"/>
        </w:rPr>
        <w:t>​,δ</w:t>
      </w:r>
      <w:proofErr w:type="gramEnd"/>
      <w:r w:rsidRPr="004779B6">
        <w:rPr>
          <w:rFonts w:asciiTheme="majorHAnsi" w:hAnsiTheme="majorHAnsi" w:cstheme="majorHAnsi"/>
        </w:rPr>
        <w:t>2</w:t>
      </w:r>
      <w:proofErr w:type="gramStart"/>
      <w:r w:rsidRPr="004779B6">
        <w:rPr>
          <w:rFonts w:asciiTheme="majorHAnsi" w:hAnsiTheme="majorHAnsi" w:cstheme="majorHAnsi"/>
        </w:rPr>
        <w:t>​,δ</w:t>
      </w:r>
      <w:proofErr w:type="gramEnd"/>
      <w:r w:rsidRPr="004779B6">
        <w:rPr>
          <w:rFonts w:asciiTheme="majorHAnsi" w:hAnsiTheme="majorHAnsi" w:cstheme="majorHAnsi"/>
        </w:rPr>
        <w:t>3</w:t>
      </w:r>
      <w:proofErr w:type="gramStart"/>
      <w:r w:rsidRPr="004779B6">
        <w:rPr>
          <w:rFonts w:asciiTheme="majorHAnsi" w:hAnsiTheme="majorHAnsi" w:cstheme="majorHAnsi"/>
        </w:rPr>
        <w:t>​,δ</w:t>
      </w:r>
      <w:proofErr w:type="gramEnd"/>
      <w:r w:rsidRPr="004779B6">
        <w:rPr>
          <w:rFonts w:asciiTheme="majorHAnsi" w:hAnsiTheme="majorHAnsi" w:cstheme="majorHAnsi"/>
        </w:rPr>
        <w:t>4</w:t>
      </w:r>
      <w:proofErr w:type="gramStart"/>
      <w:r w:rsidRPr="004779B6">
        <w:rPr>
          <w:rFonts w:asciiTheme="majorHAnsi" w:hAnsiTheme="majorHAnsi" w:cstheme="majorHAnsi"/>
        </w:rPr>
        <w:t>​,δ</w:t>
      </w:r>
      <w:proofErr w:type="gramEnd"/>
      <w:r w:rsidRPr="004779B6">
        <w:rPr>
          <w:rFonts w:asciiTheme="majorHAnsi" w:hAnsiTheme="majorHAnsi" w:cstheme="majorHAnsi"/>
        </w:rPr>
        <w:t>5​ are the coefficients associated with the level variables namely green growth (GG), green innovation (GIN), ICT, and trade openness (TO), in the ARDL bounds testing approach. Rejection of the null hypothesis H0H_0H0​ implies the presence of a stable long-run equilibrium relationship among the variables.</w:t>
      </w:r>
    </w:p>
    <w:p w14:paraId="30A3935E" w14:textId="77777777" w:rsidR="00DC08DD" w:rsidRPr="004779B6" w:rsidRDefault="00DC08DD" w:rsidP="004779B6">
      <w:pPr>
        <w:jc w:val="both"/>
        <w:rPr>
          <w:rFonts w:asciiTheme="majorHAnsi" w:hAnsiTheme="majorHAnsi" w:cstheme="majorHAnsi"/>
        </w:rPr>
      </w:pPr>
      <w:r w:rsidRPr="004779B6">
        <w:rPr>
          <w:rFonts w:asciiTheme="majorHAnsi" w:hAnsiTheme="majorHAnsi" w:cstheme="majorHAnsi"/>
        </w:rPr>
        <w:t xml:space="preserve">To establish the presence of a cointegration relationship using the ARDL bounds testing approach, the computed F-statistic must exceed the critical value of the upper bound. Before applying the ARDL methodology, certain econometric considerations must be addressed. First, the issue of </w:t>
      </w:r>
      <w:r w:rsidRPr="004779B6">
        <w:rPr>
          <w:rFonts w:asciiTheme="majorHAnsi" w:hAnsiTheme="majorHAnsi" w:cstheme="majorHAnsi"/>
          <w:b/>
          <w:bCs/>
        </w:rPr>
        <w:t>endogeneity</w:t>
      </w:r>
      <w:r w:rsidRPr="004779B6">
        <w:rPr>
          <w:rFonts w:asciiTheme="majorHAnsi" w:hAnsiTheme="majorHAnsi" w:cstheme="majorHAnsi"/>
        </w:rPr>
        <w:t xml:space="preserve"> must be minimized, meaning that explanatory variables should not exhibit correlation with the error term. The ARDL approach is designed to accommodate one endogenous regressor—typically the dependent variable. Second, it is essential to ensure that the dependent variable is integrated of order one,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1). Third, it is necessary to evaluate and account for </w:t>
      </w:r>
      <w:r w:rsidRPr="004779B6">
        <w:rPr>
          <w:rFonts w:asciiTheme="majorHAnsi" w:hAnsiTheme="majorHAnsi" w:cstheme="majorHAnsi"/>
          <w:b/>
          <w:bCs/>
        </w:rPr>
        <w:t>degenerate cases</w:t>
      </w:r>
      <w:r w:rsidRPr="004779B6">
        <w:rPr>
          <w:rFonts w:asciiTheme="majorHAnsi" w:hAnsiTheme="majorHAnsi" w:cstheme="majorHAnsi"/>
        </w:rPr>
        <w:t>, which may lead to invalid inference.</w:t>
      </w:r>
    </w:p>
    <w:p w14:paraId="0E59392B" w14:textId="77777777" w:rsidR="00DC08DD" w:rsidRPr="004779B6" w:rsidRDefault="00DC08DD" w:rsidP="004779B6">
      <w:pPr>
        <w:jc w:val="both"/>
        <w:rPr>
          <w:rFonts w:asciiTheme="majorHAnsi" w:hAnsiTheme="majorHAnsi" w:cstheme="majorHAnsi"/>
        </w:rPr>
      </w:pPr>
      <w:proofErr w:type="spellStart"/>
      <w:r w:rsidRPr="004779B6">
        <w:rPr>
          <w:rFonts w:asciiTheme="majorHAnsi" w:hAnsiTheme="majorHAnsi" w:cstheme="majorHAnsi"/>
        </w:rPr>
        <w:t>Pesaran</w:t>
      </w:r>
      <w:proofErr w:type="spellEnd"/>
      <w:r w:rsidRPr="004779B6">
        <w:rPr>
          <w:rFonts w:asciiTheme="majorHAnsi" w:hAnsiTheme="majorHAnsi" w:cstheme="majorHAnsi"/>
        </w:rPr>
        <w:t xml:space="preserve"> and Shin (1999) introduced both F-statistics and t-statistics for conducting cointegration tests. Their analysis identified two potential degenerate cases: </w:t>
      </w:r>
      <w:r w:rsidRPr="004779B6">
        <w:rPr>
          <w:rFonts w:asciiTheme="majorHAnsi" w:hAnsiTheme="majorHAnsi" w:cstheme="majorHAnsi"/>
          <w:b/>
          <w:bCs/>
        </w:rPr>
        <w:t>Degenerate Case 1</w:t>
      </w:r>
      <w:r w:rsidRPr="004779B6">
        <w:rPr>
          <w:rFonts w:asciiTheme="majorHAnsi" w:hAnsiTheme="majorHAnsi" w:cstheme="majorHAnsi"/>
        </w:rPr>
        <w:t xml:space="preserve">, where the lagged level of the dependent variable is not statistically significant, and </w:t>
      </w:r>
      <w:r w:rsidRPr="004779B6">
        <w:rPr>
          <w:rFonts w:asciiTheme="majorHAnsi" w:hAnsiTheme="majorHAnsi" w:cstheme="majorHAnsi"/>
          <w:b/>
          <w:bCs/>
        </w:rPr>
        <w:t>Degenerate Case 2</w:t>
      </w:r>
      <w:r w:rsidRPr="004779B6">
        <w:rPr>
          <w:rFonts w:asciiTheme="majorHAnsi" w:hAnsiTheme="majorHAnsi" w:cstheme="majorHAnsi"/>
        </w:rPr>
        <w:t>, where the lagged levels of the independent variables are insignificant. If these cases are not explicitly addressed, the results of F-tests and t-tests can be unreliable, as emphasized by McNown, Sam, and Goh (2018).</w:t>
      </w:r>
    </w:p>
    <w:p w14:paraId="0FF2ED0F" w14:textId="182AA475" w:rsidR="00DC08DD" w:rsidRPr="004779B6" w:rsidRDefault="00DC08DD" w:rsidP="004779B6">
      <w:pPr>
        <w:jc w:val="both"/>
        <w:rPr>
          <w:rFonts w:asciiTheme="majorHAnsi" w:hAnsiTheme="majorHAnsi" w:cstheme="majorHAnsi"/>
        </w:rPr>
      </w:pPr>
      <w:r w:rsidRPr="004779B6">
        <w:rPr>
          <w:rFonts w:asciiTheme="majorHAnsi" w:hAnsiTheme="majorHAnsi" w:cstheme="majorHAnsi"/>
        </w:rPr>
        <w:t>To address these limitations, McNown et al. (2018) proposed an enhanced version of the ARDL procedure</w:t>
      </w:r>
      <w:r w:rsidR="00C95B51" w:rsidRPr="004779B6">
        <w:rPr>
          <w:rFonts w:asciiTheme="majorHAnsi" w:hAnsiTheme="majorHAnsi" w:cstheme="majorHAnsi"/>
        </w:rPr>
        <w:t xml:space="preserve">, also </w:t>
      </w:r>
      <w:r w:rsidRPr="004779B6">
        <w:rPr>
          <w:rFonts w:asciiTheme="majorHAnsi" w:hAnsiTheme="majorHAnsi" w:cstheme="majorHAnsi"/>
        </w:rPr>
        <w:t xml:space="preserve">referred to as the </w:t>
      </w:r>
      <w:r w:rsidRPr="004779B6">
        <w:rPr>
          <w:rFonts w:asciiTheme="majorHAnsi" w:hAnsiTheme="majorHAnsi" w:cstheme="majorHAnsi"/>
          <w:b/>
          <w:bCs/>
        </w:rPr>
        <w:t>augmented ARDL (AARDL)</w:t>
      </w:r>
      <w:r w:rsidRPr="004779B6">
        <w:rPr>
          <w:rFonts w:asciiTheme="majorHAnsi" w:hAnsiTheme="majorHAnsi" w:cstheme="majorHAnsi"/>
        </w:rPr>
        <w:t xml:space="preserve"> approach. This version incorporates additional F- and t-tests based on the lagged forms of the independent variables to more effectively detect cointegration and mitigate the effects of degenerate cases.</w:t>
      </w:r>
    </w:p>
    <w:p w14:paraId="757D0208" w14:textId="77777777" w:rsidR="00DC08DD" w:rsidRPr="004779B6" w:rsidRDefault="00DC08DD" w:rsidP="004779B6">
      <w:pPr>
        <w:jc w:val="both"/>
        <w:rPr>
          <w:rFonts w:asciiTheme="majorHAnsi" w:hAnsiTheme="majorHAnsi" w:cstheme="majorHAnsi"/>
        </w:rPr>
      </w:pPr>
      <w:r w:rsidRPr="004779B6">
        <w:rPr>
          <w:rFonts w:asciiTheme="majorHAnsi" w:hAnsiTheme="majorHAnsi" w:cstheme="majorHAnsi"/>
        </w:rPr>
        <w:lastRenderedPageBreak/>
        <w:t>To robustly establish long-run associations among variables, it is necessary to conduct the following three statistical tests:</w:t>
      </w:r>
    </w:p>
    <w:p w14:paraId="57C3E5D7" w14:textId="77777777" w:rsidR="00DC08DD" w:rsidRPr="004779B6" w:rsidRDefault="00DC08DD" w:rsidP="004779B6">
      <w:pPr>
        <w:numPr>
          <w:ilvl w:val="0"/>
          <w:numId w:val="5"/>
        </w:numPr>
        <w:jc w:val="both"/>
        <w:rPr>
          <w:rFonts w:asciiTheme="majorHAnsi" w:hAnsiTheme="majorHAnsi" w:cstheme="majorHAnsi"/>
        </w:rPr>
      </w:pPr>
      <w:r w:rsidRPr="004779B6">
        <w:rPr>
          <w:rFonts w:asciiTheme="majorHAnsi" w:hAnsiTheme="majorHAnsi" w:cstheme="majorHAnsi"/>
          <w:b/>
          <w:bCs/>
        </w:rPr>
        <w:t>F-test</w:t>
      </w:r>
      <w:r w:rsidRPr="004779B6">
        <w:rPr>
          <w:rFonts w:asciiTheme="majorHAnsi" w:hAnsiTheme="majorHAnsi" w:cstheme="majorHAnsi"/>
        </w:rPr>
        <w:t xml:space="preserve"> for joint significance of the lagged level variables.</w:t>
      </w:r>
    </w:p>
    <w:p w14:paraId="1155498B" w14:textId="77777777" w:rsidR="00DC08DD" w:rsidRPr="004779B6" w:rsidRDefault="00DC08DD" w:rsidP="004779B6">
      <w:pPr>
        <w:numPr>
          <w:ilvl w:val="0"/>
          <w:numId w:val="5"/>
        </w:numPr>
        <w:jc w:val="both"/>
        <w:rPr>
          <w:rFonts w:asciiTheme="majorHAnsi" w:hAnsiTheme="majorHAnsi" w:cstheme="majorHAnsi"/>
        </w:rPr>
      </w:pPr>
      <w:r w:rsidRPr="004779B6">
        <w:rPr>
          <w:rFonts w:asciiTheme="majorHAnsi" w:hAnsiTheme="majorHAnsi" w:cstheme="majorHAnsi"/>
          <w:b/>
          <w:bCs/>
        </w:rPr>
        <w:t>t-test</w:t>
      </w:r>
      <w:r w:rsidRPr="004779B6">
        <w:rPr>
          <w:rFonts w:asciiTheme="majorHAnsi" w:hAnsiTheme="majorHAnsi" w:cstheme="majorHAnsi"/>
        </w:rPr>
        <w:t xml:space="preserve"> for the significance of the lagged dependent variable.</w:t>
      </w:r>
    </w:p>
    <w:p w14:paraId="0FF30435" w14:textId="77777777" w:rsidR="00DC08DD" w:rsidRPr="004779B6" w:rsidRDefault="00DC08DD" w:rsidP="004779B6">
      <w:pPr>
        <w:numPr>
          <w:ilvl w:val="0"/>
          <w:numId w:val="5"/>
        </w:numPr>
        <w:jc w:val="both"/>
        <w:rPr>
          <w:rFonts w:asciiTheme="majorHAnsi" w:hAnsiTheme="majorHAnsi" w:cstheme="majorHAnsi"/>
        </w:rPr>
      </w:pPr>
      <w:r w:rsidRPr="004779B6">
        <w:rPr>
          <w:rFonts w:asciiTheme="majorHAnsi" w:hAnsiTheme="majorHAnsi" w:cstheme="majorHAnsi"/>
          <w:b/>
          <w:bCs/>
        </w:rPr>
        <w:t>F-test</w:t>
      </w:r>
      <w:r w:rsidRPr="004779B6">
        <w:rPr>
          <w:rFonts w:asciiTheme="majorHAnsi" w:hAnsiTheme="majorHAnsi" w:cstheme="majorHAnsi"/>
        </w:rPr>
        <w:t xml:space="preserve"> for the significance of the lagged independent variables.</w:t>
      </w:r>
    </w:p>
    <w:p w14:paraId="78F52D42" w14:textId="77777777" w:rsidR="00DC08DD" w:rsidRPr="004779B6" w:rsidRDefault="00DC08DD" w:rsidP="004779B6">
      <w:pPr>
        <w:jc w:val="both"/>
        <w:rPr>
          <w:rFonts w:asciiTheme="majorHAnsi" w:hAnsiTheme="majorHAnsi" w:cstheme="majorHAnsi"/>
        </w:rPr>
      </w:pPr>
      <w:r w:rsidRPr="004779B6">
        <w:rPr>
          <w:rFonts w:asciiTheme="majorHAnsi" w:hAnsiTheme="majorHAnsi" w:cstheme="majorHAnsi"/>
        </w:rPr>
        <w:t>This three-pronged testing framework ensures greater reliability in identifying cointegration relationships in the presence of potential degeneracy.</w:t>
      </w:r>
    </w:p>
    <w:p w14:paraId="749B2ABA" w14:textId="3CD3EBB6" w:rsidR="00C95B51" w:rsidRPr="004779B6" w:rsidRDefault="00C95B51" w:rsidP="004779B6">
      <w:pPr>
        <w:jc w:val="both"/>
        <w:rPr>
          <w:rFonts w:asciiTheme="majorHAnsi" w:hAnsiTheme="majorHAnsi" w:cstheme="majorHAnsi"/>
        </w:rPr>
      </w:pPr>
      <w:r w:rsidRPr="004779B6">
        <w:rPr>
          <w:rFonts w:asciiTheme="majorHAnsi" w:hAnsiTheme="majorHAnsi" w:cstheme="majorHAnsi"/>
        </w:rPr>
        <w:t>The validity of the null hypothesis, indicating the absence of a long-run relationship, is rejected when the computed F-statistic surpasses the upper bound critical value or when the absolute value of the t-statistic exceeds its critical threshold. In contrast, failure to exceed these values implies that the null hypothesis cannot be rejected.</w:t>
      </w:r>
    </w:p>
    <w:p w14:paraId="794199B6" w14:textId="29067119" w:rsidR="00C95B51" w:rsidRPr="004779B6" w:rsidRDefault="00C95B51" w:rsidP="004779B6">
      <w:pPr>
        <w:jc w:val="both"/>
        <w:rPr>
          <w:rFonts w:asciiTheme="majorHAnsi" w:hAnsiTheme="majorHAnsi" w:cstheme="majorHAnsi"/>
        </w:rPr>
      </w:pPr>
      <w:r w:rsidRPr="004779B6">
        <w:rPr>
          <w:rFonts w:asciiTheme="majorHAnsi" w:hAnsiTheme="majorHAnsi" w:cstheme="majorHAnsi"/>
        </w:rPr>
        <w:t>To verify the reliability of the estimated model, a series of diagnostic tests were conducted. These include the Breusch-Pagan-Godfrey test for heteroscedasticity, the Breusch-Godfrey LM test for serial correlation, the Jarque-Bera test to assess the normality of residuals, and both CUSUM and CUSUM of squares tests to examine the structural stability of the model over time.</w:t>
      </w:r>
    </w:p>
    <w:p w14:paraId="7550FAE6" w14:textId="64B2D985" w:rsidR="00C95B51" w:rsidRPr="004779B6" w:rsidRDefault="00C95B51" w:rsidP="004779B6">
      <w:pPr>
        <w:jc w:val="both"/>
        <w:rPr>
          <w:rFonts w:asciiTheme="majorHAnsi" w:hAnsiTheme="majorHAnsi" w:cstheme="majorHAnsi"/>
        </w:rPr>
      </w:pPr>
      <w:r w:rsidRPr="004779B6">
        <w:rPr>
          <w:rFonts w:asciiTheme="majorHAnsi" w:hAnsiTheme="majorHAnsi" w:cstheme="majorHAnsi"/>
        </w:rPr>
        <w:t>To further ensure the robustness of the long-run parameter estimates derived from the augmented ARDL framework, the study applies the Dynamic Ordinary Least Squares (DOLS) method developed by Stock and Watson (1993). This technique corrects for potential endogeneity and serial correlation, thereby enhancing the precision of the long-run coefficients.</w:t>
      </w:r>
    </w:p>
    <w:p w14:paraId="2540141C" w14:textId="55AE8E16" w:rsidR="00DC08DD" w:rsidRPr="004779B6" w:rsidRDefault="00E465AA" w:rsidP="004779B6">
      <w:pPr>
        <w:jc w:val="both"/>
        <w:rPr>
          <w:rFonts w:asciiTheme="majorHAnsi" w:hAnsiTheme="majorHAnsi" w:cstheme="majorHAnsi"/>
          <w:b/>
          <w:bCs/>
        </w:rPr>
      </w:pPr>
      <w:r w:rsidRPr="004779B6">
        <w:rPr>
          <w:rFonts w:asciiTheme="majorHAnsi" w:hAnsiTheme="majorHAnsi" w:cstheme="majorHAnsi"/>
          <w:b/>
          <w:bCs/>
        </w:rPr>
        <w:t>5. Results and discussions</w:t>
      </w:r>
    </w:p>
    <w:p w14:paraId="0867AE5B" w14:textId="33F7E94D" w:rsidR="0097051A" w:rsidRPr="004779B6" w:rsidRDefault="0097051A" w:rsidP="004779B6">
      <w:pPr>
        <w:jc w:val="both"/>
        <w:rPr>
          <w:rFonts w:asciiTheme="majorHAnsi" w:hAnsiTheme="majorHAnsi" w:cstheme="majorHAnsi"/>
        </w:rPr>
      </w:pPr>
      <w:r w:rsidRPr="004779B6">
        <w:rPr>
          <w:rFonts w:asciiTheme="majorHAnsi" w:hAnsiTheme="majorHAnsi" w:cstheme="majorHAnsi"/>
        </w:rPr>
        <w:t>This section presents the statistical findings derived from the application of various econometric techniques. As a preliminary step, the data were examined for normality and correlations among the selected variables. Table 2 summarizes the descriptive statistics and initial diagnostic insights. Among the variables, green innovation (GIN) shows the lowest average value, with a mean of 0.32, indicating relatively modest advancements in environmental technology. In contrast, trade openness (TO) records the highest mean value at 54.8%</w:t>
      </w:r>
      <w:r w:rsidR="00AD5CB0" w:rsidRPr="004779B6">
        <w:rPr>
          <w:rFonts w:asciiTheme="majorHAnsi" w:hAnsiTheme="majorHAnsi" w:cstheme="majorHAnsi"/>
        </w:rPr>
        <w:t xml:space="preserve"> showing</w:t>
      </w:r>
      <w:r w:rsidRPr="004779B6">
        <w:rPr>
          <w:rFonts w:asciiTheme="majorHAnsi" w:hAnsiTheme="majorHAnsi" w:cstheme="majorHAnsi"/>
        </w:rPr>
        <w:t xml:space="preserve"> Kenya’s considerable engagement in international trade. </w:t>
      </w:r>
      <w:r w:rsidR="00AD5CB0" w:rsidRPr="004779B6">
        <w:rPr>
          <w:rFonts w:asciiTheme="majorHAnsi" w:hAnsiTheme="majorHAnsi" w:cstheme="majorHAnsi"/>
        </w:rPr>
        <w:t>C</w:t>
      </w:r>
      <w:r w:rsidRPr="004779B6">
        <w:rPr>
          <w:rFonts w:asciiTheme="majorHAnsi" w:hAnsiTheme="majorHAnsi" w:cstheme="majorHAnsi"/>
        </w:rPr>
        <w:t>arbon dioxide (CO₂) emissions exhibit the least variability, with a standard deviation of 2.6</w:t>
      </w:r>
      <w:r w:rsidR="004D2DF8" w:rsidRPr="004779B6">
        <w:rPr>
          <w:rFonts w:asciiTheme="majorHAnsi" w:hAnsiTheme="majorHAnsi" w:cstheme="majorHAnsi"/>
        </w:rPr>
        <w:t xml:space="preserve"> meaning</w:t>
      </w:r>
      <w:r w:rsidRPr="004779B6">
        <w:rPr>
          <w:rFonts w:asciiTheme="majorHAnsi" w:hAnsiTheme="majorHAnsi" w:cstheme="majorHAnsi"/>
        </w:rPr>
        <w:t xml:space="preserve"> more consistent emission levels over the sample period relative to the other variables.</w:t>
      </w:r>
    </w:p>
    <w:p w14:paraId="66571A3E" w14:textId="3477E000" w:rsidR="0097051A" w:rsidRPr="004779B6" w:rsidRDefault="0097051A" w:rsidP="004779B6">
      <w:pPr>
        <w:jc w:val="both"/>
        <w:rPr>
          <w:rFonts w:asciiTheme="majorHAnsi" w:hAnsiTheme="majorHAnsi" w:cstheme="majorHAnsi"/>
          <w:b/>
          <w:bCs/>
        </w:rPr>
      </w:pPr>
      <w:r w:rsidRPr="004779B6">
        <w:rPr>
          <w:rFonts w:asciiTheme="majorHAnsi" w:hAnsiTheme="majorHAnsi" w:cstheme="majorHAnsi"/>
          <w:b/>
          <w:bCs/>
        </w:rPr>
        <w:t>Table 2: Descriptive Statistics of Key Variables (Kenya, 1990–2024)</w:t>
      </w:r>
    </w:p>
    <w:tbl>
      <w:tblPr>
        <w:tblW w:w="5760" w:type="dxa"/>
        <w:tblLook w:val="04A0" w:firstRow="1" w:lastRow="0" w:firstColumn="1" w:lastColumn="0" w:noHBand="0" w:noVBand="1"/>
      </w:tblPr>
      <w:tblGrid>
        <w:gridCol w:w="960"/>
        <w:gridCol w:w="960"/>
        <w:gridCol w:w="960"/>
        <w:gridCol w:w="960"/>
        <w:gridCol w:w="960"/>
        <w:gridCol w:w="960"/>
      </w:tblGrid>
      <w:tr w:rsidR="0097051A" w:rsidRPr="004779B6" w14:paraId="186E22A1" w14:textId="77777777" w:rsidTr="0097051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83FC"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Variable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6236B5"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Mean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D9A7A0"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Std. Dev.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009836"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DC4FD3"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Max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EEFD0A"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Obs.</w:t>
            </w:r>
          </w:p>
        </w:tc>
      </w:tr>
      <w:tr w:rsidR="0097051A" w:rsidRPr="004779B6" w14:paraId="3E85B7CB" w14:textId="77777777" w:rsidTr="009705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34497"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lastRenderedPageBreak/>
              <w:t>CO₂ (Mt)</w:t>
            </w:r>
          </w:p>
        </w:tc>
        <w:tc>
          <w:tcPr>
            <w:tcW w:w="960" w:type="dxa"/>
            <w:tcBorders>
              <w:top w:val="nil"/>
              <w:left w:val="nil"/>
              <w:bottom w:val="single" w:sz="4" w:space="0" w:color="auto"/>
              <w:right w:val="single" w:sz="4" w:space="0" w:color="auto"/>
            </w:tcBorders>
            <w:shd w:val="clear" w:color="auto" w:fill="auto"/>
            <w:noWrap/>
            <w:vAlign w:val="bottom"/>
            <w:hideMark/>
          </w:tcPr>
          <w:p w14:paraId="4DDB4758"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12.5</w:t>
            </w:r>
          </w:p>
        </w:tc>
        <w:tc>
          <w:tcPr>
            <w:tcW w:w="960" w:type="dxa"/>
            <w:tcBorders>
              <w:top w:val="nil"/>
              <w:left w:val="nil"/>
              <w:bottom w:val="single" w:sz="4" w:space="0" w:color="auto"/>
              <w:right w:val="single" w:sz="4" w:space="0" w:color="auto"/>
            </w:tcBorders>
            <w:shd w:val="clear" w:color="auto" w:fill="auto"/>
            <w:noWrap/>
            <w:vAlign w:val="bottom"/>
            <w:hideMark/>
          </w:tcPr>
          <w:p w14:paraId="704CE9C9"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2.6</w:t>
            </w:r>
          </w:p>
        </w:tc>
        <w:tc>
          <w:tcPr>
            <w:tcW w:w="960" w:type="dxa"/>
            <w:tcBorders>
              <w:top w:val="nil"/>
              <w:left w:val="nil"/>
              <w:bottom w:val="single" w:sz="4" w:space="0" w:color="auto"/>
              <w:right w:val="single" w:sz="4" w:space="0" w:color="auto"/>
            </w:tcBorders>
            <w:shd w:val="clear" w:color="auto" w:fill="auto"/>
            <w:noWrap/>
            <w:vAlign w:val="bottom"/>
            <w:hideMark/>
          </w:tcPr>
          <w:p w14:paraId="51B1B6A9"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7.8</w:t>
            </w:r>
          </w:p>
        </w:tc>
        <w:tc>
          <w:tcPr>
            <w:tcW w:w="960" w:type="dxa"/>
            <w:tcBorders>
              <w:top w:val="nil"/>
              <w:left w:val="nil"/>
              <w:bottom w:val="single" w:sz="4" w:space="0" w:color="auto"/>
              <w:right w:val="single" w:sz="4" w:space="0" w:color="auto"/>
            </w:tcBorders>
            <w:shd w:val="clear" w:color="auto" w:fill="auto"/>
            <w:noWrap/>
            <w:vAlign w:val="bottom"/>
            <w:hideMark/>
          </w:tcPr>
          <w:p w14:paraId="29B947F0"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16.1</w:t>
            </w:r>
          </w:p>
        </w:tc>
        <w:tc>
          <w:tcPr>
            <w:tcW w:w="960" w:type="dxa"/>
            <w:tcBorders>
              <w:top w:val="nil"/>
              <w:left w:val="nil"/>
              <w:bottom w:val="single" w:sz="4" w:space="0" w:color="auto"/>
              <w:right w:val="single" w:sz="4" w:space="0" w:color="auto"/>
            </w:tcBorders>
            <w:shd w:val="clear" w:color="auto" w:fill="auto"/>
            <w:noWrap/>
            <w:vAlign w:val="bottom"/>
            <w:hideMark/>
          </w:tcPr>
          <w:p w14:paraId="44099429"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34</w:t>
            </w:r>
          </w:p>
        </w:tc>
      </w:tr>
      <w:tr w:rsidR="0097051A" w:rsidRPr="004779B6" w14:paraId="5B56F5F2" w14:textId="77777777" w:rsidTr="009705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8CADA"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w:t>
            </w:r>
          </w:p>
        </w:tc>
        <w:tc>
          <w:tcPr>
            <w:tcW w:w="960" w:type="dxa"/>
            <w:tcBorders>
              <w:top w:val="nil"/>
              <w:left w:val="nil"/>
              <w:bottom w:val="single" w:sz="4" w:space="0" w:color="auto"/>
              <w:right w:val="single" w:sz="4" w:space="0" w:color="auto"/>
            </w:tcBorders>
            <w:shd w:val="clear" w:color="auto" w:fill="auto"/>
            <w:noWrap/>
            <w:vAlign w:val="bottom"/>
            <w:hideMark/>
          </w:tcPr>
          <w:p w14:paraId="3FBADA72"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44</w:t>
            </w:r>
          </w:p>
        </w:tc>
        <w:tc>
          <w:tcPr>
            <w:tcW w:w="960" w:type="dxa"/>
            <w:tcBorders>
              <w:top w:val="nil"/>
              <w:left w:val="nil"/>
              <w:bottom w:val="single" w:sz="4" w:space="0" w:color="auto"/>
              <w:right w:val="single" w:sz="4" w:space="0" w:color="auto"/>
            </w:tcBorders>
            <w:shd w:val="clear" w:color="auto" w:fill="auto"/>
            <w:noWrap/>
            <w:vAlign w:val="bottom"/>
            <w:hideMark/>
          </w:tcPr>
          <w:p w14:paraId="7E5B2BAA"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2.8</w:t>
            </w:r>
          </w:p>
        </w:tc>
        <w:tc>
          <w:tcPr>
            <w:tcW w:w="960" w:type="dxa"/>
            <w:tcBorders>
              <w:top w:val="nil"/>
              <w:left w:val="nil"/>
              <w:bottom w:val="single" w:sz="4" w:space="0" w:color="auto"/>
              <w:right w:val="single" w:sz="4" w:space="0" w:color="auto"/>
            </w:tcBorders>
            <w:shd w:val="clear" w:color="auto" w:fill="auto"/>
            <w:noWrap/>
            <w:vAlign w:val="bottom"/>
            <w:hideMark/>
          </w:tcPr>
          <w:p w14:paraId="0AA71A50"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38</w:t>
            </w:r>
          </w:p>
        </w:tc>
        <w:tc>
          <w:tcPr>
            <w:tcW w:w="960" w:type="dxa"/>
            <w:tcBorders>
              <w:top w:val="nil"/>
              <w:left w:val="nil"/>
              <w:bottom w:val="single" w:sz="4" w:space="0" w:color="auto"/>
              <w:right w:val="single" w:sz="4" w:space="0" w:color="auto"/>
            </w:tcBorders>
            <w:shd w:val="clear" w:color="auto" w:fill="auto"/>
            <w:noWrap/>
            <w:vAlign w:val="bottom"/>
            <w:hideMark/>
          </w:tcPr>
          <w:p w14:paraId="47A924C9"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48</w:t>
            </w:r>
          </w:p>
        </w:tc>
        <w:tc>
          <w:tcPr>
            <w:tcW w:w="960" w:type="dxa"/>
            <w:tcBorders>
              <w:top w:val="nil"/>
              <w:left w:val="nil"/>
              <w:bottom w:val="single" w:sz="4" w:space="0" w:color="auto"/>
              <w:right w:val="single" w:sz="4" w:space="0" w:color="auto"/>
            </w:tcBorders>
            <w:shd w:val="clear" w:color="auto" w:fill="auto"/>
            <w:noWrap/>
            <w:vAlign w:val="bottom"/>
            <w:hideMark/>
          </w:tcPr>
          <w:p w14:paraId="3EF515ED"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14</w:t>
            </w:r>
          </w:p>
        </w:tc>
      </w:tr>
      <w:tr w:rsidR="0097051A" w:rsidRPr="004779B6" w14:paraId="696BD80F" w14:textId="77777777" w:rsidTr="009705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261E61"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GIN</w:t>
            </w:r>
          </w:p>
        </w:tc>
        <w:tc>
          <w:tcPr>
            <w:tcW w:w="960" w:type="dxa"/>
            <w:tcBorders>
              <w:top w:val="nil"/>
              <w:left w:val="nil"/>
              <w:bottom w:val="single" w:sz="4" w:space="0" w:color="auto"/>
              <w:right w:val="single" w:sz="4" w:space="0" w:color="auto"/>
            </w:tcBorders>
            <w:shd w:val="clear" w:color="auto" w:fill="auto"/>
            <w:noWrap/>
            <w:vAlign w:val="bottom"/>
            <w:hideMark/>
          </w:tcPr>
          <w:p w14:paraId="7B68446E"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0.32</w:t>
            </w:r>
          </w:p>
        </w:tc>
        <w:tc>
          <w:tcPr>
            <w:tcW w:w="960" w:type="dxa"/>
            <w:tcBorders>
              <w:top w:val="nil"/>
              <w:left w:val="nil"/>
              <w:bottom w:val="single" w:sz="4" w:space="0" w:color="auto"/>
              <w:right w:val="single" w:sz="4" w:space="0" w:color="auto"/>
            </w:tcBorders>
            <w:shd w:val="clear" w:color="auto" w:fill="auto"/>
            <w:noWrap/>
            <w:vAlign w:val="bottom"/>
            <w:hideMark/>
          </w:tcPr>
          <w:p w14:paraId="6A161DF4"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0.09</w:t>
            </w:r>
          </w:p>
        </w:tc>
        <w:tc>
          <w:tcPr>
            <w:tcW w:w="960" w:type="dxa"/>
            <w:tcBorders>
              <w:top w:val="nil"/>
              <w:left w:val="nil"/>
              <w:bottom w:val="single" w:sz="4" w:space="0" w:color="auto"/>
              <w:right w:val="single" w:sz="4" w:space="0" w:color="auto"/>
            </w:tcBorders>
            <w:shd w:val="clear" w:color="auto" w:fill="auto"/>
            <w:noWrap/>
            <w:vAlign w:val="bottom"/>
            <w:hideMark/>
          </w:tcPr>
          <w:p w14:paraId="6D880C5A"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0.18</w:t>
            </w:r>
          </w:p>
        </w:tc>
        <w:tc>
          <w:tcPr>
            <w:tcW w:w="960" w:type="dxa"/>
            <w:tcBorders>
              <w:top w:val="nil"/>
              <w:left w:val="nil"/>
              <w:bottom w:val="single" w:sz="4" w:space="0" w:color="auto"/>
              <w:right w:val="single" w:sz="4" w:space="0" w:color="auto"/>
            </w:tcBorders>
            <w:shd w:val="clear" w:color="auto" w:fill="auto"/>
            <w:noWrap/>
            <w:vAlign w:val="bottom"/>
            <w:hideMark/>
          </w:tcPr>
          <w:p w14:paraId="174EDC6C"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0.45</w:t>
            </w:r>
          </w:p>
        </w:tc>
        <w:tc>
          <w:tcPr>
            <w:tcW w:w="960" w:type="dxa"/>
            <w:tcBorders>
              <w:top w:val="nil"/>
              <w:left w:val="nil"/>
              <w:bottom w:val="single" w:sz="4" w:space="0" w:color="auto"/>
              <w:right w:val="single" w:sz="4" w:space="0" w:color="auto"/>
            </w:tcBorders>
            <w:shd w:val="clear" w:color="auto" w:fill="auto"/>
            <w:noWrap/>
            <w:vAlign w:val="bottom"/>
            <w:hideMark/>
          </w:tcPr>
          <w:p w14:paraId="476ADB4C"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w:t>
            </w:r>
          </w:p>
        </w:tc>
      </w:tr>
      <w:tr w:rsidR="0097051A" w:rsidRPr="004779B6" w14:paraId="5E4F9B37" w14:textId="77777777" w:rsidTr="009705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CB567"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ICT</w:t>
            </w:r>
          </w:p>
        </w:tc>
        <w:tc>
          <w:tcPr>
            <w:tcW w:w="960" w:type="dxa"/>
            <w:tcBorders>
              <w:top w:val="nil"/>
              <w:left w:val="nil"/>
              <w:bottom w:val="single" w:sz="4" w:space="0" w:color="auto"/>
              <w:right w:val="single" w:sz="4" w:space="0" w:color="auto"/>
            </w:tcBorders>
            <w:shd w:val="clear" w:color="auto" w:fill="auto"/>
            <w:noWrap/>
            <w:vAlign w:val="bottom"/>
            <w:hideMark/>
          </w:tcPr>
          <w:p w14:paraId="3ED81738"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38.5</w:t>
            </w:r>
          </w:p>
        </w:tc>
        <w:tc>
          <w:tcPr>
            <w:tcW w:w="960" w:type="dxa"/>
            <w:tcBorders>
              <w:top w:val="nil"/>
              <w:left w:val="nil"/>
              <w:bottom w:val="single" w:sz="4" w:space="0" w:color="auto"/>
              <w:right w:val="single" w:sz="4" w:space="0" w:color="auto"/>
            </w:tcBorders>
            <w:shd w:val="clear" w:color="auto" w:fill="auto"/>
            <w:noWrap/>
            <w:vAlign w:val="bottom"/>
            <w:hideMark/>
          </w:tcPr>
          <w:p w14:paraId="02FFA147"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18.2</w:t>
            </w:r>
          </w:p>
        </w:tc>
        <w:tc>
          <w:tcPr>
            <w:tcW w:w="960" w:type="dxa"/>
            <w:tcBorders>
              <w:top w:val="nil"/>
              <w:left w:val="nil"/>
              <w:bottom w:val="single" w:sz="4" w:space="0" w:color="auto"/>
              <w:right w:val="single" w:sz="4" w:space="0" w:color="auto"/>
            </w:tcBorders>
            <w:shd w:val="clear" w:color="auto" w:fill="auto"/>
            <w:noWrap/>
            <w:vAlign w:val="bottom"/>
            <w:hideMark/>
          </w:tcPr>
          <w:p w14:paraId="23DAE3C8"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1F6131F9"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67</w:t>
            </w:r>
          </w:p>
        </w:tc>
        <w:tc>
          <w:tcPr>
            <w:tcW w:w="960" w:type="dxa"/>
            <w:tcBorders>
              <w:top w:val="nil"/>
              <w:left w:val="nil"/>
              <w:bottom w:val="single" w:sz="4" w:space="0" w:color="auto"/>
              <w:right w:val="single" w:sz="4" w:space="0" w:color="auto"/>
            </w:tcBorders>
            <w:shd w:val="clear" w:color="auto" w:fill="auto"/>
            <w:noWrap/>
            <w:vAlign w:val="bottom"/>
            <w:hideMark/>
          </w:tcPr>
          <w:p w14:paraId="6EC6DE6B"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25</w:t>
            </w:r>
          </w:p>
        </w:tc>
      </w:tr>
      <w:tr w:rsidR="0097051A" w:rsidRPr="004779B6" w14:paraId="04EFE6A8" w14:textId="77777777" w:rsidTr="0097051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027FFF"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TO (%)</w:t>
            </w:r>
          </w:p>
        </w:tc>
        <w:tc>
          <w:tcPr>
            <w:tcW w:w="960" w:type="dxa"/>
            <w:tcBorders>
              <w:top w:val="nil"/>
              <w:left w:val="nil"/>
              <w:bottom w:val="single" w:sz="4" w:space="0" w:color="auto"/>
              <w:right w:val="single" w:sz="4" w:space="0" w:color="auto"/>
            </w:tcBorders>
            <w:shd w:val="clear" w:color="auto" w:fill="auto"/>
            <w:noWrap/>
            <w:vAlign w:val="bottom"/>
            <w:hideMark/>
          </w:tcPr>
          <w:p w14:paraId="0DF52C83"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54.8</w:t>
            </w:r>
          </w:p>
        </w:tc>
        <w:tc>
          <w:tcPr>
            <w:tcW w:w="960" w:type="dxa"/>
            <w:tcBorders>
              <w:top w:val="nil"/>
              <w:left w:val="nil"/>
              <w:bottom w:val="single" w:sz="4" w:space="0" w:color="auto"/>
              <w:right w:val="single" w:sz="4" w:space="0" w:color="auto"/>
            </w:tcBorders>
            <w:shd w:val="clear" w:color="auto" w:fill="auto"/>
            <w:noWrap/>
            <w:vAlign w:val="bottom"/>
            <w:hideMark/>
          </w:tcPr>
          <w:p w14:paraId="11B94D06"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13.4</w:t>
            </w:r>
          </w:p>
        </w:tc>
        <w:tc>
          <w:tcPr>
            <w:tcW w:w="960" w:type="dxa"/>
            <w:tcBorders>
              <w:top w:val="nil"/>
              <w:left w:val="nil"/>
              <w:bottom w:val="single" w:sz="4" w:space="0" w:color="auto"/>
              <w:right w:val="single" w:sz="4" w:space="0" w:color="auto"/>
            </w:tcBorders>
            <w:shd w:val="clear" w:color="auto" w:fill="auto"/>
            <w:noWrap/>
            <w:vAlign w:val="bottom"/>
            <w:hideMark/>
          </w:tcPr>
          <w:p w14:paraId="0CCC91D6"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27.2</w:t>
            </w:r>
          </w:p>
        </w:tc>
        <w:tc>
          <w:tcPr>
            <w:tcW w:w="960" w:type="dxa"/>
            <w:tcBorders>
              <w:top w:val="nil"/>
              <w:left w:val="nil"/>
              <w:bottom w:val="single" w:sz="4" w:space="0" w:color="auto"/>
              <w:right w:val="single" w:sz="4" w:space="0" w:color="auto"/>
            </w:tcBorders>
            <w:shd w:val="clear" w:color="auto" w:fill="auto"/>
            <w:noWrap/>
            <w:vAlign w:val="bottom"/>
            <w:hideMark/>
          </w:tcPr>
          <w:p w14:paraId="1F036A21"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74.6</w:t>
            </w:r>
          </w:p>
        </w:tc>
        <w:tc>
          <w:tcPr>
            <w:tcW w:w="960" w:type="dxa"/>
            <w:tcBorders>
              <w:top w:val="nil"/>
              <w:left w:val="nil"/>
              <w:bottom w:val="single" w:sz="4" w:space="0" w:color="auto"/>
              <w:right w:val="single" w:sz="4" w:space="0" w:color="auto"/>
            </w:tcBorders>
            <w:shd w:val="clear" w:color="auto" w:fill="auto"/>
            <w:noWrap/>
            <w:vAlign w:val="bottom"/>
            <w:hideMark/>
          </w:tcPr>
          <w:p w14:paraId="610B2DFB" w14:textId="77777777" w:rsidR="0097051A" w:rsidRPr="004779B6" w:rsidRDefault="0097051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34</w:t>
            </w:r>
          </w:p>
        </w:tc>
      </w:tr>
    </w:tbl>
    <w:p w14:paraId="301868E8" w14:textId="78D923C0" w:rsidR="0097051A" w:rsidRPr="004779B6" w:rsidRDefault="004D2DF8" w:rsidP="004779B6">
      <w:pPr>
        <w:jc w:val="both"/>
        <w:rPr>
          <w:rFonts w:asciiTheme="majorHAnsi" w:hAnsiTheme="majorHAnsi" w:cstheme="majorHAnsi"/>
        </w:rPr>
      </w:pPr>
      <w:r w:rsidRPr="004779B6">
        <w:rPr>
          <w:rFonts w:asciiTheme="majorHAnsi" w:hAnsiTheme="majorHAnsi" w:cstheme="majorHAnsi"/>
        </w:rPr>
        <w:t>Source: Authors Own Compilation</w:t>
      </w:r>
    </w:p>
    <w:p w14:paraId="6C923C9F" w14:textId="548DB687" w:rsidR="00B252C8" w:rsidRPr="004779B6" w:rsidRDefault="0097051A" w:rsidP="004779B6">
      <w:pPr>
        <w:jc w:val="both"/>
        <w:rPr>
          <w:rFonts w:asciiTheme="majorHAnsi" w:hAnsiTheme="majorHAnsi" w:cstheme="majorHAnsi"/>
        </w:rPr>
      </w:pPr>
      <w:r w:rsidRPr="004779B6">
        <w:rPr>
          <w:rFonts w:asciiTheme="majorHAnsi" w:hAnsiTheme="majorHAnsi" w:cstheme="majorHAnsi"/>
        </w:rPr>
        <w:t>Before conducting cointegration analysis, it is essential to assess the stationarity of the time series variables. Using the Augmented Dickey-Fuller (ADF), Phillips-Perron (PP), and DF-GLS unit root tests, the analysis reveals that all variables</w:t>
      </w:r>
      <w:r w:rsidR="004D2DF8" w:rsidRPr="004779B6">
        <w:rPr>
          <w:rFonts w:asciiTheme="majorHAnsi" w:hAnsiTheme="majorHAnsi" w:cstheme="majorHAnsi"/>
        </w:rPr>
        <w:t xml:space="preserve">, </w:t>
      </w:r>
      <w:r w:rsidRPr="004779B6">
        <w:rPr>
          <w:rFonts w:asciiTheme="majorHAnsi" w:hAnsiTheme="majorHAnsi" w:cstheme="majorHAnsi"/>
        </w:rPr>
        <w:t>except ICT</w:t>
      </w:r>
      <w:r w:rsidR="004D2DF8" w:rsidRPr="004779B6">
        <w:rPr>
          <w:rFonts w:asciiTheme="majorHAnsi" w:hAnsiTheme="majorHAnsi" w:cstheme="majorHAnsi"/>
        </w:rPr>
        <w:t xml:space="preserve">, </w:t>
      </w:r>
      <w:r w:rsidRPr="004779B6">
        <w:rPr>
          <w:rFonts w:asciiTheme="majorHAnsi" w:hAnsiTheme="majorHAnsi" w:cstheme="majorHAnsi"/>
        </w:rPr>
        <w:t xml:space="preserve">are non-stationary at level but become stationary at the 1% significance level upon first differencing, confirming that they follow an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1) integration order. These findings are summarized in Table 3. </w:t>
      </w:r>
    </w:p>
    <w:p w14:paraId="49AF74EB" w14:textId="77777777" w:rsidR="00B252C8" w:rsidRPr="004779B6" w:rsidRDefault="00B252C8" w:rsidP="004779B6">
      <w:pPr>
        <w:jc w:val="both"/>
        <w:rPr>
          <w:rFonts w:asciiTheme="majorHAnsi" w:hAnsiTheme="majorHAnsi" w:cstheme="majorHAnsi"/>
          <w:b/>
          <w:bCs/>
        </w:rPr>
      </w:pPr>
      <w:r w:rsidRPr="004779B6">
        <w:rPr>
          <w:rFonts w:asciiTheme="majorHAnsi" w:hAnsiTheme="majorHAnsi" w:cstheme="majorHAnsi"/>
          <w:b/>
          <w:bCs/>
        </w:rPr>
        <w:t>Table 3: Unit Root Test Results (ADF, PP, and DF-GLS)</w:t>
      </w:r>
    </w:p>
    <w:tbl>
      <w:tblPr>
        <w:tblStyle w:val="TableGrid"/>
        <w:tblW w:w="0" w:type="auto"/>
        <w:tblLook w:val="04A0" w:firstRow="1" w:lastRow="0" w:firstColumn="1" w:lastColumn="0" w:noHBand="0" w:noVBand="1"/>
      </w:tblPr>
      <w:tblGrid>
        <w:gridCol w:w="1007"/>
        <w:gridCol w:w="1023"/>
        <w:gridCol w:w="1223"/>
        <w:gridCol w:w="882"/>
        <w:gridCol w:w="966"/>
        <w:gridCol w:w="1098"/>
        <w:gridCol w:w="1441"/>
        <w:gridCol w:w="1710"/>
      </w:tblGrid>
      <w:tr w:rsidR="00B252C8" w:rsidRPr="004779B6" w14:paraId="5D6BBE3F" w14:textId="77777777" w:rsidTr="00921FFA">
        <w:trPr>
          <w:trHeight w:val="300"/>
        </w:trPr>
        <w:tc>
          <w:tcPr>
            <w:tcW w:w="1007" w:type="dxa"/>
            <w:noWrap/>
            <w:hideMark/>
          </w:tcPr>
          <w:p w14:paraId="6B253AD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Variable</w:t>
            </w:r>
          </w:p>
        </w:tc>
        <w:tc>
          <w:tcPr>
            <w:tcW w:w="1023" w:type="dxa"/>
            <w:noWrap/>
            <w:hideMark/>
          </w:tcPr>
          <w:p w14:paraId="0E4EC098"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ADF (Level)</w:t>
            </w:r>
          </w:p>
        </w:tc>
        <w:tc>
          <w:tcPr>
            <w:tcW w:w="1223" w:type="dxa"/>
            <w:noWrap/>
            <w:hideMark/>
          </w:tcPr>
          <w:p w14:paraId="7E3F3825"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ADF (1st Diff.)</w:t>
            </w:r>
          </w:p>
        </w:tc>
        <w:tc>
          <w:tcPr>
            <w:tcW w:w="882" w:type="dxa"/>
            <w:noWrap/>
            <w:hideMark/>
          </w:tcPr>
          <w:p w14:paraId="5A59D4BB"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PP (Level)</w:t>
            </w:r>
          </w:p>
        </w:tc>
        <w:tc>
          <w:tcPr>
            <w:tcW w:w="966" w:type="dxa"/>
            <w:noWrap/>
            <w:hideMark/>
          </w:tcPr>
          <w:p w14:paraId="4342FC59"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PP (1st Diff.)</w:t>
            </w:r>
          </w:p>
        </w:tc>
        <w:tc>
          <w:tcPr>
            <w:tcW w:w="1098" w:type="dxa"/>
            <w:noWrap/>
            <w:hideMark/>
          </w:tcPr>
          <w:p w14:paraId="7BD7CA2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DF-GLS (Level)</w:t>
            </w:r>
          </w:p>
        </w:tc>
        <w:tc>
          <w:tcPr>
            <w:tcW w:w="1441" w:type="dxa"/>
            <w:noWrap/>
            <w:hideMark/>
          </w:tcPr>
          <w:p w14:paraId="20743D79"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DF-GLS (1st Diff.)</w:t>
            </w:r>
          </w:p>
        </w:tc>
        <w:tc>
          <w:tcPr>
            <w:tcW w:w="1710" w:type="dxa"/>
            <w:noWrap/>
            <w:hideMark/>
          </w:tcPr>
          <w:p w14:paraId="2667210D"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Order of Integration</w:t>
            </w:r>
          </w:p>
        </w:tc>
      </w:tr>
      <w:tr w:rsidR="00B252C8" w:rsidRPr="004779B6" w14:paraId="09F7A434" w14:textId="77777777" w:rsidTr="00921FFA">
        <w:trPr>
          <w:trHeight w:val="300"/>
        </w:trPr>
        <w:tc>
          <w:tcPr>
            <w:tcW w:w="1007" w:type="dxa"/>
            <w:noWrap/>
            <w:hideMark/>
          </w:tcPr>
          <w:p w14:paraId="096E5E84" w14:textId="77777777" w:rsidR="00B252C8" w:rsidRPr="004779B6" w:rsidRDefault="00B252C8" w:rsidP="004779B6">
            <w:pPr>
              <w:jc w:val="both"/>
              <w:rPr>
                <w:rFonts w:asciiTheme="majorHAnsi" w:hAnsiTheme="majorHAnsi" w:cstheme="majorHAnsi"/>
              </w:rPr>
            </w:pPr>
            <w:proofErr w:type="spellStart"/>
            <w:r w:rsidRPr="004779B6">
              <w:rPr>
                <w:rFonts w:asciiTheme="majorHAnsi" w:hAnsiTheme="majorHAnsi" w:cstheme="majorHAnsi"/>
              </w:rPr>
              <w:t>LnCO</w:t>
            </w:r>
            <w:proofErr w:type="spellEnd"/>
            <w:r w:rsidRPr="004779B6">
              <w:rPr>
                <w:rFonts w:asciiTheme="majorHAnsi" w:hAnsiTheme="majorHAnsi" w:cstheme="majorHAnsi"/>
              </w:rPr>
              <w:t>₂</w:t>
            </w:r>
          </w:p>
        </w:tc>
        <w:tc>
          <w:tcPr>
            <w:tcW w:w="1023" w:type="dxa"/>
            <w:noWrap/>
            <w:hideMark/>
          </w:tcPr>
          <w:p w14:paraId="6A2CA972"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–1.23</w:t>
            </w:r>
          </w:p>
        </w:tc>
        <w:tc>
          <w:tcPr>
            <w:tcW w:w="1223" w:type="dxa"/>
            <w:noWrap/>
            <w:hideMark/>
          </w:tcPr>
          <w:p w14:paraId="4E6D5CCB"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–5.87*</w:t>
            </w:r>
          </w:p>
        </w:tc>
        <w:tc>
          <w:tcPr>
            <w:tcW w:w="882" w:type="dxa"/>
            <w:noWrap/>
            <w:hideMark/>
          </w:tcPr>
          <w:p w14:paraId="548DC48B"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–1.12</w:t>
            </w:r>
          </w:p>
        </w:tc>
        <w:tc>
          <w:tcPr>
            <w:tcW w:w="966" w:type="dxa"/>
            <w:noWrap/>
            <w:hideMark/>
          </w:tcPr>
          <w:p w14:paraId="5DB9D871"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–6.04*</w:t>
            </w:r>
          </w:p>
        </w:tc>
        <w:tc>
          <w:tcPr>
            <w:tcW w:w="1098" w:type="dxa"/>
            <w:noWrap/>
            <w:hideMark/>
          </w:tcPr>
          <w:p w14:paraId="3DB15FFC"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–1.05</w:t>
            </w:r>
          </w:p>
        </w:tc>
        <w:tc>
          <w:tcPr>
            <w:tcW w:w="1441" w:type="dxa"/>
            <w:noWrap/>
            <w:hideMark/>
          </w:tcPr>
          <w:p w14:paraId="58BC26D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–5.71*</w:t>
            </w:r>
          </w:p>
        </w:tc>
        <w:tc>
          <w:tcPr>
            <w:tcW w:w="1710" w:type="dxa"/>
            <w:noWrap/>
            <w:hideMark/>
          </w:tcPr>
          <w:p w14:paraId="452A7C84" w14:textId="77777777" w:rsidR="00B252C8" w:rsidRPr="004779B6" w:rsidRDefault="00B252C8" w:rsidP="004779B6">
            <w:pPr>
              <w:jc w:val="both"/>
              <w:rPr>
                <w:rFonts w:asciiTheme="majorHAnsi" w:hAnsiTheme="majorHAnsi" w:cstheme="majorHAnsi"/>
              </w:rPr>
            </w:pPr>
            <w:proofErr w:type="gramStart"/>
            <w:r w:rsidRPr="004779B6">
              <w:rPr>
                <w:rFonts w:asciiTheme="majorHAnsi" w:hAnsiTheme="majorHAnsi" w:cstheme="majorHAnsi"/>
              </w:rPr>
              <w:t>I(</w:t>
            </w:r>
            <w:proofErr w:type="gramEnd"/>
            <w:r w:rsidRPr="004779B6">
              <w:rPr>
                <w:rFonts w:asciiTheme="majorHAnsi" w:hAnsiTheme="majorHAnsi" w:cstheme="majorHAnsi"/>
              </w:rPr>
              <w:t>1)</w:t>
            </w:r>
          </w:p>
        </w:tc>
      </w:tr>
      <w:tr w:rsidR="00B252C8" w:rsidRPr="004779B6" w14:paraId="1E488262" w14:textId="77777777" w:rsidTr="00921FFA">
        <w:trPr>
          <w:trHeight w:val="300"/>
        </w:trPr>
        <w:tc>
          <w:tcPr>
            <w:tcW w:w="1007" w:type="dxa"/>
            <w:noWrap/>
            <w:hideMark/>
          </w:tcPr>
          <w:p w14:paraId="7C6326F8"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GG</w:t>
            </w:r>
          </w:p>
        </w:tc>
        <w:tc>
          <w:tcPr>
            <w:tcW w:w="1023" w:type="dxa"/>
            <w:noWrap/>
            <w:hideMark/>
          </w:tcPr>
          <w:p w14:paraId="02DAEE42"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–2.01</w:t>
            </w:r>
          </w:p>
        </w:tc>
        <w:tc>
          <w:tcPr>
            <w:tcW w:w="1223" w:type="dxa"/>
            <w:noWrap/>
            <w:hideMark/>
          </w:tcPr>
          <w:p w14:paraId="23F31EB0"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–6.42*</w:t>
            </w:r>
          </w:p>
        </w:tc>
        <w:tc>
          <w:tcPr>
            <w:tcW w:w="882" w:type="dxa"/>
            <w:noWrap/>
            <w:hideMark/>
          </w:tcPr>
          <w:p w14:paraId="40ED0F12"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–1.88</w:t>
            </w:r>
          </w:p>
        </w:tc>
        <w:tc>
          <w:tcPr>
            <w:tcW w:w="966" w:type="dxa"/>
            <w:noWrap/>
            <w:hideMark/>
          </w:tcPr>
          <w:p w14:paraId="6167FAC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–5.96*</w:t>
            </w:r>
          </w:p>
        </w:tc>
        <w:tc>
          <w:tcPr>
            <w:tcW w:w="1098" w:type="dxa"/>
            <w:noWrap/>
            <w:hideMark/>
          </w:tcPr>
          <w:p w14:paraId="6D0DA5CC"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–1.67</w:t>
            </w:r>
          </w:p>
        </w:tc>
        <w:tc>
          <w:tcPr>
            <w:tcW w:w="1441" w:type="dxa"/>
            <w:noWrap/>
            <w:hideMark/>
          </w:tcPr>
          <w:p w14:paraId="3F9E71B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–5.50*</w:t>
            </w:r>
          </w:p>
        </w:tc>
        <w:tc>
          <w:tcPr>
            <w:tcW w:w="1710" w:type="dxa"/>
            <w:noWrap/>
            <w:hideMark/>
          </w:tcPr>
          <w:p w14:paraId="3C7CE420" w14:textId="77777777" w:rsidR="00B252C8" w:rsidRPr="004779B6" w:rsidRDefault="00B252C8" w:rsidP="004779B6">
            <w:pPr>
              <w:jc w:val="both"/>
              <w:rPr>
                <w:rFonts w:asciiTheme="majorHAnsi" w:hAnsiTheme="majorHAnsi" w:cstheme="majorHAnsi"/>
              </w:rPr>
            </w:pPr>
            <w:proofErr w:type="gramStart"/>
            <w:r w:rsidRPr="004779B6">
              <w:rPr>
                <w:rFonts w:asciiTheme="majorHAnsi" w:hAnsiTheme="majorHAnsi" w:cstheme="majorHAnsi"/>
              </w:rPr>
              <w:t>I(</w:t>
            </w:r>
            <w:proofErr w:type="gramEnd"/>
            <w:r w:rsidRPr="004779B6">
              <w:rPr>
                <w:rFonts w:asciiTheme="majorHAnsi" w:hAnsiTheme="majorHAnsi" w:cstheme="majorHAnsi"/>
              </w:rPr>
              <w:t>1)</w:t>
            </w:r>
          </w:p>
        </w:tc>
      </w:tr>
      <w:tr w:rsidR="00B252C8" w:rsidRPr="004779B6" w14:paraId="7B29585A" w14:textId="77777777" w:rsidTr="00921FFA">
        <w:trPr>
          <w:trHeight w:val="300"/>
        </w:trPr>
        <w:tc>
          <w:tcPr>
            <w:tcW w:w="1007" w:type="dxa"/>
            <w:noWrap/>
            <w:hideMark/>
          </w:tcPr>
          <w:p w14:paraId="5EBEAC83" w14:textId="77777777" w:rsidR="00B252C8" w:rsidRPr="004779B6" w:rsidRDefault="00B252C8" w:rsidP="004779B6">
            <w:pPr>
              <w:jc w:val="both"/>
              <w:rPr>
                <w:rFonts w:asciiTheme="majorHAnsi" w:hAnsiTheme="majorHAnsi" w:cstheme="majorHAnsi"/>
              </w:rPr>
            </w:pPr>
            <w:proofErr w:type="spellStart"/>
            <w:r w:rsidRPr="004779B6">
              <w:rPr>
                <w:rFonts w:asciiTheme="majorHAnsi" w:hAnsiTheme="majorHAnsi" w:cstheme="majorHAnsi"/>
              </w:rPr>
              <w:t>LnGIN</w:t>
            </w:r>
            <w:proofErr w:type="spellEnd"/>
          </w:p>
        </w:tc>
        <w:tc>
          <w:tcPr>
            <w:tcW w:w="1023" w:type="dxa"/>
            <w:noWrap/>
            <w:hideMark/>
          </w:tcPr>
          <w:p w14:paraId="53ECFF4C"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–1.89</w:t>
            </w:r>
          </w:p>
        </w:tc>
        <w:tc>
          <w:tcPr>
            <w:tcW w:w="1223" w:type="dxa"/>
            <w:noWrap/>
            <w:hideMark/>
          </w:tcPr>
          <w:p w14:paraId="460ADB0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–5.34*</w:t>
            </w:r>
          </w:p>
        </w:tc>
        <w:tc>
          <w:tcPr>
            <w:tcW w:w="882" w:type="dxa"/>
            <w:noWrap/>
            <w:hideMark/>
          </w:tcPr>
          <w:p w14:paraId="298276C3"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–1.71</w:t>
            </w:r>
          </w:p>
        </w:tc>
        <w:tc>
          <w:tcPr>
            <w:tcW w:w="966" w:type="dxa"/>
            <w:noWrap/>
            <w:hideMark/>
          </w:tcPr>
          <w:p w14:paraId="0D12E60B"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–5.88*</w:t>
            </w:r>
          </w:p>
        </w:tc>
        <w:tc>
          <w:tcPr>
            <w:tcW w:w="1098" w:type="dxa"/>
            <w:noWrap/>
            <w:hideMark/>
          </w:tcPr>
          <w:p w14:paraId="290FE740"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–1.45</w:t>
            </w:r>
          </w:p>
        </w:tc>
        <w:tc>
          <w:tcPr>
            <w:tcW w:w="1441" w:type="dxa"/>
            <w:noWrap/>
            <w:hideMark/>
          </w:tcPr>
          <w:p w14:paraId="62273F0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–5.62*</w:t>
            </w:r>
          </w:p>
        </w:tc>
        <w:tc>
          <w:tcPr>
            <w:tcW w:w="1710" w:type="dxa"/>
            <w:noWrap/>
            <w:hideMark/>
          </w:tcPr>
          <w:p w14:paraId="16A96235" w14:textId="77777777" w:rsidR="00B252C8" w:rsidRPr="004779B6" w:rsidRDefault="00B252C8" w:rsidP="004779B6">
            <w:pPr>
              <w:jc w:val="both"/>
              <w:rPr>
                <w:rFonts w:asciiTheme="majorHAnsi" w:hAnsiTheme="majorHAnsi" w:cstheme="majorHAnsi"/>
              </w:rPr>
            </w:pPr>
            <w:proofErr w:type="gramStart"/>
            <w:r w:rsidRPr="004779B6">
              <w:rPr>
                <w:rFonts w:asciiTheme="majorHAnsi" w:hAnsiTheme="majorHAnsi" w:cstheme="majorHAnsi"/>
              </w:rPr>
              <w:t>I(</w:t>
            </w:r>
            <w:proofErr w:type="gramEnd"/>
            <w:r w:rsidRPr="004779B6">
              <w:rPr>
                <w:rFonts w:asciiTheme="majorHAnsi" w:hAnsiTheme="majorHAnsi" w:cstheme="majorHAnsi"/>
              </w:rPr>
              <w:t>1)</w:t>
            </w:r>
          </w:p>
        </w:tc>
      </w:tr>
      <w:tr w:rsidR="00B252C8" w:rsidRPr="004779B6" w14:paraId="1281E8BB" w14:textId="77777777" w:rsidTr="00921FFA">
        <w:trPr>
          <w:trHeight w:val="300"/>
        </w:trPr>
        <w:tc>
          <w:tcPr>
            <w:tcW w:w="1007" w:type="dxa"/>
            <w:noWrap/>
            <w:hideMark/>
          </w:tcPr>
          <w:p w14:paraId="7C2F715F" w14:textId="77777777" w:rsidR="00B252C8" w:rsidRPr="004779B6" w:rsidRDefault="00B252C8" w:rsidP="004779B6">
            <w:pPr>
              <w:jc w:val="both"/>
              <w:rPr>
                <w:rFonts w:asciiTheme="majorHAnsi" w:hAnsiTheme="majorHAnsi" w:cstheme="majorHAnsi"/>
              </w:rPr>
            </w:pPr>
            <w:proofErr w:type="spellStart"/>
            <w:r w:rsidRPr="004779B6">
              <w:rPr>
                <w:rFonts w:asciiTheme="majorHAnsi" w:hAnsiTheme="majorHAnsi" w:cstheme="majorHAnsi"/>
              </w:rPr>
              <w:t>LnICT</w:t>
            </w:r>
            <w:proofErr w:type="spellEnd"/>
          </w:p>
        </w:tc>
        <w:tc>
          <w:tcPr>
            <w:tcW w:w="1023" w:type="dxa"/>
            <w:noWrap/>
            <w:hideMark/>
          </w:tcPr>
          <w:p w14:paraId="431D534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–4.21*</w:t>
            </w:r>
          </w:p>
        </w:tc>
        <w:tc>
          <w:tcPr>
            <w:tcW w:w="1223" w:type="dxa"/>
            <w:noWrap/>
            <w:hideMark/>
          </w:tcPr>
          <w:p w14:paraId="5711B2AC"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w:t>
            </w:r>
          </w:p>
        </w:tc>
        <w:tc>
          <w:tcPr>
            <w:tcW w:w="882" w:type="dxa"/>
            <w:noWrap/>
            <w:hideMark/>
          </w:tcPr>
          <w:p w14:paraId="5D005A6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–4.34*</w:t>
            </w:r>
          </w:p>
        </w:tc>
        <w:tc>
          <w:tcPr>
            <w:tcW w:w="966" w:type="dxa"/>
            <w:noWrap/>
            <w:hideMark/>
          </w:tcPr>
          <w:p w14:paraId="719A280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w:t>
            </w:r>
          </w:p>
        </w:tc>
        <w:tc>
          <w:tcPr>
            <w:tcW w:w="1098" w:type="dxa"/>
            <w:noWrap/>
            <w:hideMark/>
          </w:tcPr>
          <w:p w14:paraId="41FE1D89"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–4.09*</w:t>
            </w:r>
          </w:p>
        </w:tc>
        <w:tc>
          <w:tcPr>
            <w:tcW w:w="1441" w:type="dxa"/>
            <w:noWrap/>
            <w:hideMark/>
          </w:tcPr>
          <w:p w14:paraId="4CBFE2D1"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w:t>
            </w:r>
          </w:p>
        </w:tc>
        <w:tc>
          <w:tcPr>
            <w:tcW w:w="1710" w:type="dxa"/>
            <w:noWrap/>
            <w:hideMark/>
          </w:tcPr>
          <w:p w14:paraId="786D41CA" w14:textId="77777777" w:rsidR="00B252C8" w:rsidRPr="004779B6" w:rsidRDefault="00B252C8" w:rsidP="004779B6">
            <w:pPr>
              <w:jc w:val="both"/>
              <w:rPr>
                <w:rFonts w:asciiTheme="majorHAnsi" w:hAnsiTheme="majorHAnsi" w:cstheme="majorHAnsi"/>
              </w:rPr>
            </w:pPr>
            <w:proofErr w:type="gramStart"/>
            <w:r w:rsidRPr="004779B6">
              <w:rPr>
                <w:rFonts w:asciiTheme="majorHAnsi" w:hAnsiTheme="majorHAnsi" w:cstheme="majorHAnsi"/>
              </w:rPr>
              <w:t>I(</w:t>
            </w:r>
            <w:proofErr w:type="gramEnd"/>
            <w:r w:rsidRPr="004779B6">
              <w:rPr>
                <w:rFonts w:asciiTheme="majorHAnsi" w:hAnsiTheme="majorHAnsi" w:cstheme="majorHAnsi"/>
              </w:rPr>
              <w:t>0)</w:t>
            </w:r>
          </w:p>
        </w:tc>
      </w:tr>
      <w:tr w:rsidR="00B252C8" w:rsidRPr="004779B6" w14:paraId="0B0DFB50" w14:textId="77777777" w:rsidTr="00921FFA">
        <w:trPr>
          <w:trHeight w:val="300"/>
        </w:trPr>
        <w:tc>
          <w:tcPr>
            <w:tcW w:w="1007" w:type="dxa"/>
            <w:noWrap/>
            <w:hideMark/>
          </w:tcPr>
          <w:p w14:paraId="1CCA1BA3" w14:textId="77777777" w:rsidR="00B252C8" w:rsidRPr="004779B6" w:rsidRDefault="00B252C8" w:rsidP="004779B6">
            <w:pPr>
              <w:jc w:val="both"/>
              <w:rPr>
                <w:rFonts w:asciiTheme="majorHAnsi" w:hAnsiTheme="majorHAnsi" w:cstheme="majorHAnsi"/>
              </w:rPr>
            </w:pPr>
            <w:proofErr w:type="spellStart"/>
            <w:r w:rsidRPr="004779B6">
              <w:rPr>
                <w:rFonts w:asciiTheme="majorHAnsi" w:hAnsiTheme="majorHAnsi" w:cstheme="majorHAnsi"/>
              </w:rPr>
              <w:t>LnTO</w:t>
            </w:r>
            <w:proofErr w:type="spellEnd"/>
          </w:p>
        </w:tc>
        <w:tc>
          <w:tcPr>
            <w:tcW w:w="1023" w:type="dxa"/>
            <w:noWrap/>
            <w:hideMark/>
          </w:tcPr>
          <w:p w14:paraId="1092FD8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–1.75</w:t>
            </w:r>
          </w:p>
        </w:tc>
        <w:tc>
          <w:tcPr>
            <w:tcW w:w="1223" w:type="dxa"/>
            <w:noWrap/>
            <w:hideMark/>
          </w:tcPr>
          <w:p w14:paraId="7215F30B"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–6.12*</w:t>
            </w:r>
          </w:p>
        </w:tc>
        <w:tc>
          <w:tcPr>
            <w:tcW w:w="882" w:type="dxa"/>
            <w:noWrap/>
            <w:hideMark/>
          </w:tcPr>
          <w:p w14:paraId="4F19F19E"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–1.69</w:t>
            </w:r>
          </w:p>
        </w:tc>
        <w:tc>
          <w:tcPr>
            <w:tcW w:w="966" w:type="dxa"/>
            <w:noWrap/>
            <w:hideMark/>
          </w:tcPr>
          <w:p w14:paraId="315727B8"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–5.80*</w:t>
            </w:r>
          </w:p>
        </w:tc>
        <w:tc>
          <w:tcPr>
            <w:tcW w:w="1098" w:type="dxa"/>
            <w:noWrap/>
            <w:hideMark/>
          </w:tcPr>
          <w:p w14:paraId="779B9834"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–1.55</w:t>
            </w:r>
          </w:p>
        </w:tc>
        <w:tc>
          <w:tcPr>
            <w:tcW w:w="1441" w:type="dxa"/>
            <w:noWrap/>
            <w:hideMark/>
          </w:tcPr>
          <w:p w14:paraId="272B0558" w14:textId="77777777" w:rsidR="00B252C8" w:rsidRPr="004779B6" w:rsidRDefault="00B252C8" w:rsidP="004779B6">
            <w:pPr>
              <w:jc w:val="both"/>
              <w:rPr>
                <w:rFonts w:asciiTheme="majorHAnsi" w:hAnsiTheme="majorHAnsi" w:cstheme="majorHAnsi"/>
              </w:rPr>
            </w:pPr>
            <w:r w:rsidRPr="004779B6">
              <w:rPr>
                <w:rFonts w:asciiTheme="majorHAnsi" w:hAnsiTheme="majorHAnsi" w:cstheme="majorHAnsi"/>
              </w:rPr>
              <w:t>–5.97*</w:t>
            </w:r>
          </w:p>
        </w:tc>
        <w:tc>
          <w:tcPr>
            <w:tcW w:w="1710" w:type="dxa"/>
            <w:noWrap/>
            <w:hideMark/>
          </w:tcPr>
          <w:p w14:paraId="3878BD96" w14:textId="77777777" w:rsidR="00B252C8" w:rsidRPr="004779B6" w:rsidRDefault="00B252C8" w:rsidP="004779B6">
            <w:pPr>
              <w:jc w:val="both"/>
              <w:rPr>
                <w:rFonts w:asciiTheme="majorHAnsi" w:hAnsiTheme="majorHAnsi" w:cstheme="majorHAnsi"/>
              </w:rPr>
            </w:pPr>
            <w:proofErr w:type="gramStart"/>
            <w:r w:rsidRPr="004779B6">
              <w:rPr>
                <w:rFonts w:asciiTheme="majorHAnsi" w:hAnsiTheme="majorHAnsi" w:cstheme="majorHAnsi"/>
              </w:rPr>
              <w:t>I(</w:t>
            </w:r>
            <w:proofErr w:type="gramEnd"/>
            <w:r w:rsidRPr="004779B6">
              <w:rPr>
                <w:rFonts w:asciiTheme="majorHAnsi" w:hAnsiTheme="majorHAnsi" w:cstheme="majorHAnsi"/>
              </w:rPr>
              <w:t>1)</w:t>
            </w:r>
          </w:p>
        </w:tc>
      </w:tr>
    </w:tbl>
    <w:p w14:paraId="65F94FF5" w14:textId="35F8FCC0" w:rsidR="00B252C8" w:rsidRPr="004779B6" w:rsidRDefault="004D2DF8" w:rsidP="004779B6">
      <w:pPr>
        <w:jc w:val="both"/>
        <w:rPr>
          <w:rFonts w:asciiTheme="majorHAnsi" w:hAnsiTheme="majorHAnsi" w:cstheme="majorHAnsi"/>
        </w:rPr>
      </w:pPr>
      <w:r w:rsidRPr="004779B6">
        <w:rPr>
          <w:rFonts w:asciiTheme="majorHAnsi" w:hAnsiTheme="majorHAnsi" w:cstheme="majorHAnsi"/>
        </w:rPr>
        <w:t xml:space="preserve">Source: </w:t>
      </w:r>
      <w:r w:rsidR="007C1CA9" w:rsidRPr="004779B6">
        <w:rPr>
          <w:rFonts w:asciiTheme="majorHAnsi" w:hAnsiTheme="majorHAnsi" w:cstheme="majorHAnsi"/>
        </w:rPr>
        <w:t xml:space="preserve">Authors own compilation </w:t>
      </w:r>
    </w:p>
    <w:p w14:paraId="39E299B8" w14:textId="028D580B" w:rsidR="007C1CA9" w:rsidRPr="004779B6" w:rsidRDefault="007C1CA9" w:rsidP="004779B6">
      <w:pPr>
        <w:pStyle w:val="ListParagraph"/>
        <w:numPr>
          <w:ilvl w:val="0"/>
          <w:numId w:val="7"/>
        </w:numPr>
        <w:jc w:val="both"/>
        <w:rPr>
          <w:rFonts w:asciiTheme="majorHAnsi" w:hAnsiTheme="majorHAnsi" w:cstheme="majorHAnsi"/>
        </w:rPr>
      </w:pPr>
      <w:r w:rsidRPr="004779B6">
        <w:rPr>
          <w:rFonts w:asciiTheme="majorHAnsi" w:hAnsiTheme="majorHAnsi" w:cstheme="majorHAnsi"/>
        </w:rPr>
        <w:t>Critical value at 1% significance level ≈ –3.50 (ADF, PP); ≈ –2.58 (DF-GLS)</w:t>
      </w:r>
    </w:p>
    <w:p w14:paraId="5D0290A7" w14:textId="5E050B3F" w:rsidR="007C1CA9" w:rsidRPr="004779B6" w:rsidRDefault="007C1CA9" w:rsidP="004779B6">
      <w:pPr>
        <w:pStyle w:val="ListParagraph"/>
        <w:numPr>
          <w:ilvl w:val="0"/>
          <w:numId w:val="7"/>
        </w:numPr>
        <w:jc w:val="both"/>
        <w:rPr>
          <w:rFonts w:asciiTheme="majorHAnsi" w:hAnsiTheme="majorHAnsi" w:cstheme="majorHAnsi"/>
        </w:rPr>
      </w:pPr>
      <w:r w:rsidRPr="004779B6">
        <w:rPr>
          <w:rFonts w:asciiTheme="majorHAnsi" w:hAnsiTheme="majorHAnsi" w:cstheme="majorHAnsi"/>
        </w:rPr>
        <w:t>Bold values with *** indicate statistical significance at 1%</w:t>
      </w:r>
    </w:p>
    <w:p w14:paraId="724A9ED6" w14:textId="03773D8C" w:rsidR="007C1CA9" w:rsidRPr="004779B6" w:rsidRDefault="007C1CA9" w:rsidP="004779B6">
      <w:pPr>
        <w:pStyle w:val="ListParagraph"/>
        <w:numPr>
          <w:ilvl w:val="0"/>
          <w:numId w:val="7"/>
        </w:numPr>
        <w:jc w:val="both"/>
        <w:rPr>
          <w:rFonts w:asciiTheme="majorHAnsi" w:hAnsiTheme="majorHAnsi" w:cstheme="majorHAnsi"/>
        </w:rPr>
      </w:pPr>
      <w:r w:rsidRPr="004779B6">
        <w:rPr>
          <w:rFonts w:asciiTheme="majorHAnsi" w:hAnsiTheme="majorHAnsi" w:cstheme="majorHAnsi"/>
        </w:rPr>
        <w:t xml:space="preserve">All variables except </w:t>
      </w:r>
      <w:proofErr w:type="spellStart"/>
      <w:r w:rsidRPr="004779B6">
        <w:rPr>
          <w:rFonts w:asciiTheme="majorHAnsi" w:hAnsiTheme="majorHAnsi" w:cstheme="majorHAnsi"/>
        </w:rPr>
        <w:t>LnICT</w:t>
      </w:r>
      <w:proofErr w:type="spellEnd"/>
      <w:r w:rsidRPr="004779B6">
        <w:rPr>
          <w:rFonts w:asciiTheme="majorHAnsi" w:hAnsiTheme="majorHAnsi" w:cstheme="majorHAnsi"/>
        </w:rPr>
        <w:t xml:space="preserve"> are non-stationary at level and become stationary at first difference → </w:t>
      </w:r>
      <w:proofErr w:type="gramStart"/>
      <w:r w:rsidRPr="004779B6">
        <w:rPr>
          <w:rFonts w:asciiTheme="majorHAnsi" w:hAnsiTheme="majorHAnsi" w:cstheme="majorHAnsi"/>
        </w:rPr>
        <w:t>I(</w:t>
      </w:r>
      <w:proofErr w:type="gramEnd"/>
      <w:r w:rsidRPr="004779B6">
        <w:rPr>
          <w:rFonts w:asciiTheme="majorHAnsi" w:hAnsiTheme="majorHAnsi" w:cstheme="majorHAnsi"/>
        </w:rPr>
        <w:t>1)</w:t>
      </w:r>
    </w:p>
    <w:p w14:paraId="17239D07" w14:textId="33BC6896" w:rsidR="007C1CA9" w:rsidRPr="004779B6" w:rsidRDefault="007C1CA9" w:rsidP="004779B6">
      <w:pPr>
        <w:pStyle w:val="ListParagraph"/>
        <w:numPr>
          <w:ilvl w:val="0"/>
          <w:numId w:val="7"/>
        </w:numPr>
        <w:jc w:val="both"/>
        <w:rPr>
          <w:rFonts w:asciiTheme="majorHAnsi" w:hAnsiTheme="majorHAnsi" w:cstheme="majorHAnsi"/>
        </w:rPr>
      </w:pPr>
      <w:proofErr w:type="spellStart"/>
      <w:r w:rsidRPr="004779B6">
        <w:rPr>
          <w:rFonts w:asciiTheme="majorHAnsi" w:hAnsiTheme="majorHAnsi" w:cstheme="majorHAnsi"/>
        </w:rPr>
        <w:t>LnICT</w:t>
      </w:r>
      <w:proofErr w:type="spellEnd"/>
      <w:r w:rsidRPr="004779B6">
        <w:rPr>
          <w:rFonts w:asciiTheme="majorHAnsi" w:hAnsiTheme="majorHAnsi" w:cstheme="majorHAnsi"/>
        </w:rPr>
        <w:t xml:space="preserve"> is stationary at level → </w:t>
      </w:r>
      <w:proofErr w:type="gramStart"/>
      <w:r w:rsidRPr="004779B6">
        <w:rPr>
          <w:rFonts w:asciiTheme="majorHAnsi" w:hAnsiTheme="majorHAnsi" w:cstheme="majorHAnsi"/>
        </w:rPr>
        <w:t>I(</w:t>
      </w:r>
      <w:proofErr w:type="gramEnd"/>
      <w:r w:rsidRPr="004779B6">
        <w:rPr>
          <w:rFonts w:asciiTheme="majorHAnsi" w:hAnsiTheme="majorHAnsi" w:cstheme="majorHAnsi"/>
        </w:rPr>
        <w:t>0)</w:t>
      </w:r>
    </w:p>
    <w:p w14:paraId="260A086E" w14:textId="77777777" w:rsidR="00C5790B" w:rsidRPr="004779B6" w:rsidRDefault="0097051A" w:rsidP="004779B6">
      <w:pPr>
        <w:jc w:val="both"/>
        <w:rPr>
          <w:rFonts w:asciiTheme="majorHAnsi" w:hAnsiTheme="majorHAnsi" w:cstheme="majorHAnsi"/>
        </w:rPr>
      </w:pPr>
      <w:r w:rsidRPr="004779B6">
        <w:rPr>
          <w:rFonts w:asciiTheme="majorHAnsi" w:hAnsiTheme="majorHAnsi" w:cstheme="majorHAnsi"/>
        </w:rPr>
        <w:t xml:space="preserve">The presence of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1) variables justifies the use of the ARDL bounds testing approach, which is particularly advantageous for small sample sizes. </w:t>
      </w:r>
    </w:p>
    <w:p w14:paraId="203E6F7F" w14:textId="7AB5A864" w:rsidR="0097051A" w:rsidRPr="004779B6" w:rsidRDefault="0097051A" w:rsidP="004779B6">
      <w:pPr>
        <w:jc w:val="both"/>
        <w:rPr>
          <w:rFonts w:asciiTheme="majorHAnsi" w:hAnsiTheme="majorHAnsi" w:cstheme="majorHAnsi"/>
        </w:rPr>
      </w:pPr>
      <w:r w:rsidRPr="004779B6">
        <w:rPr>
          <w:rFonts w:asciiTheme="majorHAnsi" w:hAnsiTheme="majorHAnsi" w:cstheme="majorHAnsi"/>
        </w:rPr>
        <w:t>Table 4 presents the results for the four estimated models (Model I through Model IV). In each case, the F-statistics exceed the upper critical bound at the 5% level or lower, indicating the existence of a long-term equilibrium relationship among the variables.</w:t>
      </w:r>
    </w:p>
    <w:p w14:paraId="09CBECD0" w14:textId="0F081AA1" w:rsidR="00C5790B" w:rsidRPr="004779B6" w:rsidRDefault="00C5790B" w:rsidP="004779B6">
      <w:pPr>
        <w:jc w:val="both"/>
        <w:rPr>
          <w:rFonts w:asciiTheme="majorHAnsi" w:hAnsiTheme="majorHAnsi" w:cstheme="majorHAnsi"/>
          <w:b/>
          <w:bCs/>
        </w:rPr>
      </w:pPr>
      <w:r w:rsidRPr="004779B6">
        <w:rPr>
          <w:rFonts w:asciiTheme="majorHAnsi" w:hAnsiTheme="majorHAnsi" w:cstheme="majorHAnsi"/>
          <w:b/>
          <w:bCs/>
        </w:rPr>
        <w:t>Table 4: ARDL Bounds Test Results and Diagnostic Checks</w:t>
      </w:r>
    </w:p>
    <w:tbl>
      <w:tblPr>
        <w:tblStyle w:val="TableGrid"/>
        <w:tblW w:w="0" w:type="auto"/>
        <w:tblLook w:val="04A0" w:firstRow="1" w:lastRow="0" w:firstColumn="1" w:lastColumn="0" w:noHBand="0" w:noVBand="1"/>
      </w:tblPr>
      <w:tblGrid>
        <w:gridCol w:w="788"/>
        <w:gridCol w:w="769"/>
        <w:gridCol w:w="530"/>
        <w:gridCol w:w="878"/>
        <w:gridCol w:w="1183"/>
        <w:gridCol w:w="1015"/>
        <w:gridCol w:w="1528"/>
        <w:gridCol w:w="924"/>
        <w:gridCol w:w="768"/>
        <w:gridCol w:w="967"/>
      </w:tblGrid>
      <w:tr w:rsidR="000D7BED" w:rsidRPr="004779B6" w14:paraId="520D64FA" w14:textId="77777777" w:rsidTr="000D7BED">
        <w:trPr>
          <w:trHeight w:val="300"/>
        </w:trPr>
        <w:tc>
          <w:tcPr>
            <w:tcW w:w="988" w:type="dxa"/>
            <w:noWrap/>
            <w:hideMark/>
          </w:tcPr>
          <w:p w14:paraId="00D6B6E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Model</w:t>
            </w:r>
          </w:p>
        </w:tc>
        <w:tc>
          <w:tcPr>
            <w:tcW w:w="783" w:type="dxa"/>
            <w:noWrap/>
            <w:hideMark/>
          </w:tcPr>
          <w:p w14:paraId="48331960"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F-Statistic</w:t>
            </w:r>
          </w:p>
        </w:tc>
        <w:tc>
          <w:tcPr>
            <w:tcW w:w="534" w:type="dxa"/>
            <w:noWrap/>
            <w:hideMark/>
          </w:tcPr>
          <w:p w14:paraId="6B615BD4"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 xml:space="preserve">5% </w:t>
            </w:r>
            <w:proofErr w:type="gramStart"/>
            <w:r w:rsidRPr="004779B6">
              <w:rPr>
                <w:rFonts w:asciiTheme="majorHAnsi" w:hAnsiTheme="majorHAnsi" w:cstheme="majorHAnsi"/>
              </w:rPr>
              <w:t>I(</w:t>
            </w:r>
            <w:proofErr w:type="gramEnd"/>
            <w:r w:rsidRPr="004779B6">
              <w:rPr>
                <w:rFonts w:asciiTheme="majorHAnsi" w:hAnsiTheme="majorHAnsi" w:cstheme="majorHAnsi"/>
              </w:rPr>
              <w:t>0)</w:t>
            </w:r>
          </w:p>
        </w:tc>
        <w:tc>
          <w:tcPr>
            <w:tcW w:w="1110" w:type="dxa"/>
            <w:noWrap/>
            <w:hideMark/>
          </w:tcPr>
          <w:p w14:paraId="110CC52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 xml:space="preserve">5% </w:t>
            </w:r>
            <w:proofErr w:type="gramStart"/>
            <w:r w:rsidRPr="004779B6">
              <w:rPr>
                <w:rFonts w:asciiTheme="majorHAnsi" w:hAnsiTheme="majorHAnsi" w:cstheme="majorHAnsi"/>
              </w:rPr>
              <w:t>I(</w:t>
            </w:r>
            <w:proofErr w:type="gramEnd"/>
            <w:r w:rsidRPr="004779B6">
              <w:rPr>
                <w:rFonts w:asciiTheme="majorHAnsi" w:hAnsiTheme="majorHAnsi" w:cstheme="majorHAnsi"/>
              </w:rPr>
              <w:t>1)</w:t>
            </w:r>
          </w:p>
        </w:tc>
        <w:tc>
          <w:tcPr>
            <w:tcW w:w="653" w:type="dxa"/>
            <w:noWrap/>
            <w:hideMark/>
          </w:tcPr>
          <w:p w14:paraId="31F4742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Cointegration</w:t>
            </w:r>
          </w:p>
        </w:tc>
        <w:tc>
          <w:tcPr>
            <w:tcW w:w="1031" w:type="dxa"/>
            <w:noWrap/>
            <w:hideMark/>
          </w:tcPr>
          <w:p w14:paraId="0A192090"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Serial Correlation (BG-</w:t>
            </w:r>
            <w:r w:rsidRPr="004779B6">
              <w:rPr>
                <w:rFonts w:asciiTheme="majorHAnsi" w:hAnsiTheme="majorHAnsi" w:cstheme="majorHAnsi"/>
              </w:rPr>
              <w:lastRenderedPageBreak/>
              <w:t>LM p-value)</w:t>
            </w:r>
          </w:p>
        </w:tc>
        <w:tc>
          <w:tcPr>
            <w:tcW w:w="1556" w:type="dxa"/>
            <w:noWrap/>
            <w:hideMark/>
          </w:tcPr>
          <w:p w14:paraId="0102FBB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lastRenderedPageBreak/>
              <w:t>Heteroskedasticity (BP-Godfrey p-value)</w:t>
            </w:r>
          </w:p>
        </w:tc>
        <w:tc>
          <w:tcPr>
            <w:tcW w:w="940" w:type="dxa"/>
            <w:noWrap/>
            <w:hideMark/>
          </w:tcPr>
          <w:p w14:paraId="6A7F9FA7"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 xml:space="preserve">Normality (Jarque-Bera </w:t>
            </w:r>
            <w:r w:rsidRPr="004779B6">
              <w:rPr>
                <w:rFonts w:asciiTheme="majorHAnsi" w:hAnsiTheme="majorHAnsi" w:cstheme="majorHAnsi"/>
              </w:rPr>
              <w:lastRenderedPageBreak/>
              <w:t>p-value)</w:t>
            </w:r>
          </w:p>
        </w:tc>
        <w:tc>
          <w:tcPr>
            <w:tcW w:w="776" w:type="dxa"/>
            <w:noWrap/>
            <w:hideMark/>
          </w:tcPr>
          <w:p w14:paraId="3D1CB36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lastRenderedPageBreak/>
              <w:t>CUSUM</w:t>
            </w:r>
          </w:p>
        </w:tc>
        <w:tc>
          <w:tcPr>
            <w:tcW w:w="979" w:type="dxa"/>
            <w:noWrap/>
            <w:hideMark/>
          </w:tcPr>
          <w:p w14:paraId="111AF3F3"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CUSUMSQ</w:t>
            </w:r>
          </w:p>
        </w:tc>
      </w:tr>
      <w:tr w:rsidR="000D7BED" w:rsidRPr="004779B6" w14:paraId="0E635A33" w14:textId="77777777" w:rsidTr="000D7BED">
        <w:trPr>
          <w:trHeight w:val="300"/>
        </w:trPr>
        <w:tc>
          <w:tcPr>
            <w:tcW w:w="988" w:type="dxa"/>
            <w:noWrap/>
            <w:hideMark/>
          </w:tcPr>
          <w:p w14:paraId="66E7B16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Model I</w:t>
            </w:r>
          </w:p>
        </w:tc>
        <w:tc>
          <w:tcPr>
            <w:tcW w:w="783" w:type="dxa"/>
            <w:noWrap/>
            <w:hideMark/>
          </w:tcPr>
          <w:p w14:paraId="618D6314"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6.32</w:t>
            </w:r>
          </w:p>
        </w:tc>
        <w:tc>
          <w:tcPr>
            <w:tcW w:w="534" w:type="dxa"/>
            <w:noWrap/>
            <w:hideMark/>
          </w:tcPr>
          <w:p w14:paraId="081EEBFB"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3.23</w:t>
            </w:r>
          </w:p>
        </w:tc>
        <w:tc>
          <w:tcPr>
            <w:tcW w:w="1110" w:type="dxa"/>
            <w:noWrap/>
            <w:hideMark/>
          </w:tcPr>
          <w:p w14:paraId="254FBD60"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4.35</w:t>
            </w:r>
          </w:p>
        </w:tc>
        <w:tc>
          <w:tcPr>
            <w:tcW w:w="653" w:type="dxa"/>
            <w:noWrap/>
            <w:hideMark/>
          </w:tcPr>
          <w:p w14:paraId="7F20C06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Yes</w:t>
            </w:r>
          </w:p>
        </w:tc>
        <w:tc>
          <w:tcPr>
            <w:tcW w:w="1031" w:type="dxa"/>
            <w:noWrap/>
            <w:hideMark/>
          </w:tcPr>
          <w:p w14:paraId="2681EF8F"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0.467</w:t>
            </w:r>
          </w:p>
        </w:tc>
        <w:tc>
          <w:tcPr>
            <w:tcW w:w="1556" w:type="dxa"/>
            <w:noWrap/>
            <w:hideMark/>
          </w:tcPr>
          <w:p w14:paraId="61D00701"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0.228</w:t>
            </w:r>
          </w:p>
        </w:tc>
        <w:tc>
          <w:tcPr>
            <w:tcW w:w="940" w:type="dxa"/>
            <w:noWrap/>
            <w:hideMark/>
          </w:tcPr>
          <w:p w14:paraId="04A9AB33"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0.753</w:t>
            </w:r>
          </w:p>
        </w:tc>
        <w:tc>
          <w:tcPr>
            <w:tcW w:w="776" w:type="dxa"/>
            <w:noWrap/>
            <w:hideMark/>
          </w:tcPr>
          <w:p w14:paraId="7C198456"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c>
          <w:tcPr>
            <w:tcW w:w="979" w:type="dxa"/>
            <w:noWrap/>
            <w:hideMark/>
          </w:tcPr>
          <w:p w14:paraId="79F6DC03"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r>
      <w:tr w:rsidR="000D7BED" w:rsidRPr="004779B6" w14:paraId="5E74399F" w14:textId="77777777" w:rsidTr="000D7BED">
        <w:trPr>
          <w:trHeight w:val="300"/>
        </w:trPr>
        <w:tc>
          <w:tcPr>
            <w:tcW w:w="988" w:type="dxa"/>
            <w:noWrap/>
            <w:hideMark/>
          </w:tcPr>
          <w:p w14:paraId="14881ACA"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Model II</w:t>
            </w:r>
          </w:p>
        </w:tc>
        <w:tc>
          <w:tcPr>
            <w:tcW w:w="783" w:type="dxa"/>
            <w:noWrap/>
            <w:hideMark/>
          </w:tcPr>
          <w:p w14:paraId="44787D11"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7.15</w:t>
            </w:r>
          </w:p>
        </w:tc>
        <w:tc>
          <w:tcPr>
            <w:tcW w:w="534" w:type="dxa"/>
            <w:noWrap/>
            <w:hideMark/>
          </w:tcPr>
          <w:p w14:paraId="5D62CC2B"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3.23</w:t>
            </w:r>
          </w:p>
        </w:tc>
        <w:tc>
          <w:tcPr>
            <w:tcW w:w="1110" w:type="dxa"/>
            <w:noWrap/>
            <w:hideMark/>
          </w:tcPr>
          <w:p w14:paraId="323F630A"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4.35</w:t>
            </w:r>
          </w:p>
        </w:tc>
        <w:tc>
          <w:tcPr>
            <w:tcW w:w="653" w:type="dxa"/>
            <w:noWrap/>
            <w:hideMark/>
          </w:tcPr>
          <w:p w14:paraId="44C7532B"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Yes</w:t>
            </w:r>
          </w:p>
        </w:tc>
        <w:tc>
          <w:tcPr>
            <w:tcW w:w="1031" w:type="dxa"/>
            <w:noWrap/>
            <w:hideMark/>
          </w:tcPr>
          <w:p w14:paraId="2DCE7EF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0.598</w:t>
            </w:r>
          </w:p>
        </w:tc>
        <w:tc>
          <w:tcPr>
            <w:tcW w:w="1556" w:type="dxa"/>
            <w:noWrap/>
            <w:hideMark/>
          </w:tcPr>
          <w:p w14:paraId="65E9F4F1"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0.342</w:t>
            </w:r>
          </w:p>
        </w:tc>
        <w:tc>
          <w:tcPr>
            <w:tcW w:w="940" w:type="dxa"/>
            <w:noWrap/>
            <w:hideMark/>
          </w:tcPr>
          <w:p w14:paraId="5B669D43"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0.614</w:t>
            </w:r>
          </w:p>
        </w:tc>
        <w:tc>
          <w:tcPr>
            <w:tcW w:w="776" w:type="dxa"/>
            <w:noWrap/>
            <w:hideMark/>
          </w:tcPr>
          <w:p w14:paraId="0AABF9C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c>
          <w:tcPr>
            <w:tcW w:w="979" w:type="dxa"/>
            <w:noWrap/>
            <w:hideMark/>
          </w:tcPr>
          <w:p w14:paraId="0299B9A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r>
      <w:tr w:rsidR="000D7BED" w:rsidRPr="004779B6" w14:paraId="29ECD4A0" w14:textId="77777777" w:rsidTr="000D7BED">
        <w:trPr>
          <w:trHeight w:val="300"/>
        </w:trPr>
        <w:tc>
          <w:tcPr>
            <w:tcW w:w="988" w:type="dxa"/>
            <w:noWrap/>
            <w:hideMark/>
          </w:tcPr>
          <w:p w14:paraId="2BD36F91"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Model III</w:t>
            </w:r>
          </w:p>
        </w:tc>
        <w:tc>
          <w:tcPr>
            <w:tcW w:w="783" w:type="dxa"/>
            <w:noWrap/>
            <w:hideMark/>
          </w:tcPr>
          <w:p w14:paraId="696BE03F"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5.97</w:t>
            </w:r>
          </w:p>
        </w:tc>
        <w:tc>
          <w:tcPr>
            <w:tcW w:w="534" w:type="dxa"/>
            <w:noWrap/>
            <w:hideMark/>
          </w:tcPr>
          <w:p w14:paraId="6A86B12B"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3.23</w:t>
            </w:r>
          </w:p>
        </w:tc>
        <w:tc>
          <w:tcPr>
            <w:tcW w:w="1110" w:type="dxa"/>
            <w:noWrap/>
            <w:hideMark/>
          </w:tcPr>
          <w:p w14:paraId="4C47A81F"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4.35</w:t>
            </w:r>
          </w:p>
        </w:tc>
        <w:tc>
          <w:tcPr>
            <w:tcW w:w="653" w:type="dxa"/>
            <w:noWrap/>
            <w:hideMark/>
          </w:tcPr>
          <w:p w14:paraId="74097D82"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Yes</w:t>
            </w:r>
          </w:p>
        </w:tc>
        <w:tc>
          <w:tcPr>
            <w:tcW w:w="1031" w:type="dxa"/>
            <w:noWrap/>
            <w:hideMark/>
          </w:tcPr>
          <w:p w14:paraId="2B20D2AC"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0.421</w:t>
            </w:r>
          </w:p>
        </w:tc>
        <w:tc>
          <w:tcPr>
            <w:tcW w:w="1556" w:type="dxa"/>
            <w:noWrap/>
            <w:hideMark/>
          </w:tcPr>
          <w:p w14:paraId="253EE06F"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0.193</w:t>
            </w:r>
          </w:p>
        </w:tc>
        <w:tc>
          <w:tcPr>
            <w:tcW w:w="940" w:type="dxa"/>
            <w:noWrap/>
            <w:hideMark/>
          </w:tcPr>
          <w:p w14:paraId="7834D4E4"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0.832</w:t>
            </w:r>
          </w:p>
        </w:tc>
        <w:tc>
          <w:tcPr>
            <w:tcW w:w="776" w:type="dxa"/>
            <w:noWrap/>
            <w:hideMark/>
          </w:tcPr>
          <w:p w14:paraId="1DD8357A"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c>
          <w:tcPr>
            <w:tcW w:w="979" w:type="dxa"/>
            <w:noWrap/>
            <w:hideMark/>
          </w:tcPr>
          <w:p w14:paraId="0A884C89"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r>
      <w:tr w:rsidR="000D7BED" w:rsidRPr="004779B6" w14:paraId="1AC4EA27" w14:textId="77777777" w:rsidTr="000D7BED">
        <w:trPr>
          <w:trHeight w:val="300"/>
        </w:trPr>
        <w:tc>
          <w:tcPr>
            <w:tcW w:w="988" w:type="dxa"/>
            <w:noWrap/>
            <w:hideMark/>
          </w:tcPr>
          <w:p w14:paraId="7DA5C21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Model IV</w:t>
            </w:r>
          </w:p>
        </w:tc>
        <w:tc>
          <w:tcPr>
            <w:tcW w:w="783" w:type="dxa"/>
            <w:noWrap/>
            <w:hideMark/>
          </w:tcPr>
          <w:p w14:paraId="5B13962A"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6.84</w:t>
            </w:r>
          </w:p>
        </w:tc>
        <w:tc>
          <w:tcPr>
            <w:tcW w:w="534" w:type="dxa"/>
            <w:noWrap/>
            <w:hideMark/>
          </w:tcPr>
          <w:p w14:paraId="1974B0E3"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3.23</w:t>
            </w:r>
          </w:p>
        </w:tc>
        <w:tc>
          <w:tcPr>
            <w:tcW w:w="1110" w:type="dxa"/>
            <w:noWrap/>
            <w:hideMark/>
          </w:tcPr>
          <w:p w14:paraId="2CB2AFF6"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4.35</w:t>
            </w:r>
          </w:p>
        </w:tc>
        <w:tc>
          <w:tcPr>
            <w:tcW w:w="653" w:type="dxa"/>
            <w:noWrap/>
            <w:hideMark/>
          </w:tcPr>
          <w:p w14:paraId="5E152C62"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Yes</w:t>
            </w:r>
          </w:p>
        </w:tc>
        <w:tc>
          <w:tcPr>
            <w:tcW w:w="1031" w:type="dxa"/>
            <w:noWrap/>
            <w:hideMark/>
          </w:tcPr>
          <w:p w14:paraId="6D549865"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0.503</w:t>
            </w:r>
          </w:p>
        </w:tc>
        <w:tc>
          <w:tcPr>
            <w:tcW w:w="1556" w:type="dxa"/>
            <w:noWrap/>
            <w:hideMark/>
          </w:tcPr>
          <w:p w14:paraId="61675100"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0.261</w:t>
            </w:r>
          </w:p>
        </w:tc>
        <w:tc>
          <w:tcPr>
            <w:tcW w:w="940" w:type="dxa"/>
            <w:noWrap/>
            <w:hideMark/>
          </w:tcPr>
          <w:p w14:paraId="539B6602"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0.702</w:t>
            </w:r>
          </w:p>
        </w:tc>
        <w:tc>
          <w:tcPr>
            <w:tcW w:w="776" w:type="dxa"/>
            <w:noWrap/>
            <w:hideMark/>
          </w:tcPr>
          <w:p w14:paraId="0BA541FB"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c>
          <w:tcPr>
            <w:tcW w:w="979" w:type="dxa"/>
            <w:noWrap/>
            <w:hideMark/>
          </w:tcPr>
          <w:p w14:paraId="5DE0F932" w14:textId="77777777" w:rsidR="00C5790B" w:rsidRPr="004779B6" w:rsidRDefault="00C5790B" w:rsidP="004779B6">
            <w:pPr>
              <w:jc w:val="both"/>
              <w:rPr>
                <w:rFonts w:asciiTheme="majorHAnsi" w:hAnsiTheme="majorHAnsi" w:cstheme="majorHAnsi"/>
              </w:rPr>
            </w:pPr>
            <w:r w:rsidRPr="004779B6">
              <w:rPr>
                <w:rFonts w:asciiTheme="majorHAnsi" w:hAnsiTheme="majorHAnsi" w:cstheme="majorHAnsi"/>
              </w:rPr>
              <w:t>Stable</w:t>
            </w:r>
          </w:p>
        </w:tc>
      </w:tr>
    </w:tbl>
    <w:p w14:paraId="08D2E5D8" w14:textId="22F2B0E7" w:rsidR="00C5790B" w:rsidRPr="004779B6" w:rsidRDefault="00B5200B" w:rsidP="004779B6">
      <w:pPr>
        <w:jc w:val="both"/>
        <w:rPr>
          <w:rFonts w:asciiTheme="majorHAnsi" w:hAnsiTheme="majorHAnsi" w:cstheme="majorHAnsi"/>
        </w:rPr>
      </w:pPr>
      <w:r w:rsidRPr="004779B6">
        <w:rPr>
          <w:rFonts w:asciiTheme="majorHAnsi" w:hAnsiTheme="majorHAnsi" w:cstheme="majorHAnsi"/>
        </w:rPr>
        <w:t xml:space="preserve">Source: </w:t>
      </w:r>
      <w:r w:rsidR="00E852E2" w:rsidRPr="004779B6">
        <w:rPr>
          <w:rFonts w:asciiTheme="majorHAnsi" w:hAnsiTheme="majorHAnsi" w:cstheme="majorHAnsi"/>
        </w:rPr>
        <w:t>Author Owners Compilation</w:t>
      </w:r>
    </w:p>
    <w:p w14:paraId="2999DBDF" w14:textId="7AC101F8" w:rsidR="00E852E2" w:rsidRPr="004779B6" w:rsidRDefault="00E852E2" w:rsidP="004779B6">
      <w:pPr>
        <w:pStyle w:val="ListParagraph"/>
        <w:numPr>
          <w:ilvl w:val="0"/>
          <w:numId w:val="8"/>
        </w:numPr>
        <w:jc w:val="both"/>
        <w:rPr>
          <w:rFonts w:asciiTheme="majorHAnsi" w:hAnsiTheme="majorHAnsi" w:cstheme="majorHAnsi"/>
        </w:rPr>
      </w:pPr>
      <w:r w:rsidRPr="004779B6">
        <w:rPr>
          <w:rFonts w:asciiTheme="majorHAnsi" w:hAnsiTheme="majorHAnsi" w:cstheme="majorHAnsi"/>
        </w:rPr>
        <w:t xml:space="preserve">ARDL Bounds critical values at 5% significance: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0) = 3.23; </w:t>
      </w:r>
      <w:proofErr w:type="gramStart"/>
      <w:r w:rsidRPr="004779B6">
        <w:rPr>
          <w:rFonts w:asciiTheme="majorHAnsi" w:hAnsiTheme="majorHAnsi" w:cstheme="majorHAnsi"/>
        </w:rPr>
        <w:t>I(</w:t>
      </w:r>
      <w:proofErr w:type="gramEnd"/>
      <w:r w:rsidRPr="004779B6">
        <w:rPr>
          <w:rFonts w:asciiTheme="majorHAnsi" w:hAnsiTheme="majorHAnsi" w:cstheme="majorHAnsi"/>
        </w:rPr>
        <w:t>1) = 4.35 (</w:t>
      </w:r>
      <w:proofErr w:type="spellStart"/>
      <w:r w:rsidRPr="004779B6">
        <w:rPr>
          <w:rFonts w:asciiTheme="majorHAnsi" w:hAnsiTheme="majorHAnsi" w:cstheme="majorHAnsi"/>
        </w:rPr>
        <w:t>Pesaran</w:t>
      </w:r>
      <w:proofErr w:type="spellEnd"/>
      <w:r w:rsidRPr="004779B6">
        <w:rPr>
          <w:rFonts w:asciiTheme="majorHAnsi" w:hAnsiTheme="majorHAnsi" w:cstheme="majorHAnsi"/>
        </w:rPr>
        <w:t xml:space="preserve"> et al., 2001)</w:t>
      </w:r>
    </w:p>
    <w:p w14:paraId="7C769C0C" w14:textId="597585F2" w:rsidR="00E852E2" w:rsidRPr="004779B6" w:rsidRDefault="00E852E2" w:rsidP="004779B6">
      <w:pPr>
        <w:pStyle w:val="ListParagraph"/>
        <w:numPr>
          <w:ilvl w:val="0"/>
          <w:numId w:val="8"/>
        </w:numPr>
        <w:jc w:val="both"/>
        <w:rPr>
          <w:rFonts w:asciiTheme="majorHAnsi" w:hAnsiTheme="majorHAnsi" w:cstheme="majorHAnsi"/>
        </w:rPr>
      </w:pPr>
      <w:r w:rsidRPr="004779B6">
        <w:rPr>
          <w:rFonts w:asciiTheme="majorHAnsi" w:hAnsiTheme="majorHAnsi" w:cstheme="majorHAnsi"/>
        </w:rPr>
        <w:t xml:space="preserve">Cointegration exists if F-statistic &gt; </w:t>
      </w:r>
      <w:proofErr w:type="gramStart"/>
      <w:r w:rsidRPr="004779B6">
        <w:rPr>
          <w:rFonts w:asciiTheme="majorHAnsi" w:hAnsiTheme="majorHAnsi" w:cstheme="majorHAnsi"/>
        </w:rPr>
        <w:t>I(</w:t>
      </w:r>
      <w:proofErr w:type="gramEnd"/>
      <w:r w:rsidRPr="004779B6">
        <w:rPr>
          <w:rFonts w:asciiTheme="majorHAnsi" w:hAnsiTheme="majorHAnsi" w:cstheme="majorHAnsi"/>
        </w:rPr>
        <w:t>1) critical value</w:t>
      </w:r>
    </w:p>
    <w:p w14:paraId="50871917" w14:textId="0CA082B0" w:rsidR="00E852E2" w:rsidRPr="004779B6" w:rsidRDefault="00E852E2" w:rsidP="004779B6">
      <w:pPr>
        <w:pStyle w:val="ListParagraph"/>
        <w:numPr>
          <w:ilvl w:val="0"/>
          <w:numId w:val="8"/>
        </w:numPr>
        <w:jc w:val="both"/>
        <w:rPr>
          <w:rFonts w:asciiTheme="majorHAnsi" w:hAnsiTheme="majorHAnsi" w:cstheme="majorHAnsi"/>
        </w:rPr>
      </w:pPr>
      <w:r w:rsidRPr="004779B6">
        <w:rPr>
          <w:rFonts w:asciiTheme="majorHAnsi" w:hAnsiTheme="majorHAnsi" w:cstheme="majorHAnsi"/>
        </w:rPr>
        <w:t>All diagnostic tests show no serial correlation, no heteroskedasticity, and normality of residuals</w:t>
      </w:r>
    </w:p>
    <w:p w14:paraId="7C57D8A3" w14:textId="69DA677C" w:rsidR="00E852E2" w:rsidRPr="004779B6" w:rsidRDefault="00E852E2" w:rsidP="004779B6">
      <w:pPr>
        <w:pStyle w:val="ListParagraph"/>
        <w:numPr>
          <w:ilvl w:val="0"/>
          <w:numId w:val="8"/>
        </w:numPr>
        <w:jc w:val="both"/>
        <w:rPr>
          <w:rFonts w:asciiTheme="majorHAnsi" w:hAnsiTheme="majorHAnsi" w:cstheme="majorHAnsi"/>
        </w:rPr>
      </w:pPr>
      <w:r w:rsidRPr="004779B6">
        <w:rPr>
          <w:rFonts w:asciiTheme="majorHAnsi" w:hAnsiTheme="majorHAnsi" w:cstheme="majorHAnsi"/>
        </w:rPr>
        <w:t>CUSUM and CUSUMSQ tests indicate model stability</w:t>
      </w:r>
    </w:p>
    <w:p w14:paraId="029803D6" w14:textId="16482DDC" w:rsidR="0097051A" w:rsidRPr="004779B6" w:rsidRDefault="0097051A" w:rsidP="004779B6">
      <w:pPr>
        <w:jc w:val="both"/>
        <w:rPr>
          <w:rFonts w:asciiTheme="majorHAnsi" w:hAnsiTheme="majorHAnsi" w:cstheme="majorHAnsi"/>
        </w:rPr>
      </w:pPr>
      <w:r w:rsidRPr="004779B6">
        <w:rPr>
          <w:rFonts w:asciiTheme="majorHAnsi" w:hAnsiTheme="majorHAnsi" w:cstheme="majorHAnsi"/>
        </w:rPr>
        <w:t>To ensure the robustness of the estimated models, a series of diagnostic tests were conducted. The second panel of Table 4 reports that the residuals do not suffer from serial correlation or heteroscedasticity and conform to normal distribution assumptions. Furthermore, the CUSUM and CUSUM of squares tests confirm the structural stability of the models, suggesting they are suitable for forecasting, policy analysis, and reliable long-run estimations. As an additional verification step, the Johansen cointegration test (Johansen, 1991) was employed, reaffirming the existence of long-run relationships among the variables. Consequently, the augmented ARDL model was applied to estimate long-run parameters.</w:t>
      </w:r>
    </w:p>
    <w:p w14:paraId="6A9509AB" w14:textId="45154217" w:rsidR="00EC4C93" w:rsidRPr="004779B6" w:rsidRDefault="00EC4C93" w:rsidP="004779B6">
      <w:pPr>
        <w:jc w:val="both"/>
        <w:rPr>
          <w:rFonts w:asciiTheme="majorHAnsi" w:hAnsiTheme="majorHAnsi" w:cstheme="majorHAnsi"/>
          <w:b/>
          <w:bCs/>
        </w:rPr>
      </w:pPr>
      <w:r w:rsidRPr="004779B6">
        <w:rPr>
          <w:rFonts w:asciiTheme="majorHAnsi" w:hAnsiTheme="majorHAnsi" w:cstheme="majorHAnsi"/>
          <w:b/>
          <w:bCs/>
        </w:rPr>
        <w:t>Table 5: Johansen Cointegration Test Results</w:t>
      </w:r>
    </w:p>
    <w:tbl>
      <w:tblPr>
        <w:tblW w:w="8320" w:type="dxa"/>
        <w:tblLook w:val="04A0" w:firstRow="1" w:lastRow="0" w:firstColumn="1" w:lastColumn="0" w:noHBand="0" w:noVBand="1"/>
      </w:tblPr>
      <w:tblGrid>
        <w:gridCol w:w="960"/>
        <w:gridCol w:w="1193"/>
        <w:gridCol w:w="960"/>
        <w:gridCol w:w="960"/>
        <w:gridCol w:w="960"/>
        <w:gridCol w:w="960"/>
        <w:gridCol w:w="2500"/>
      </w:tblGrid>
      <w:tr w:rsidR="00034402" w:rsidRPr="004779B6" w14:paraId="4BE8185D" w14:textId="77777777" w:rsidTr="0003440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98C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E5D3DA5"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Null Hypothesis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129D6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Trace Statistic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2CAC84"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5% Critical Value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E31DB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Max-Eigen Statistic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F7E68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5% Critical Value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7546660"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Cointegration Conclusion</w:t>
            </w:r>
          </w:p>
        </w:tc>
      </w:tr>
      <w:tr w:rsidR="00034402" w:rsidRPr="004779B6" w14:paraId="5C6269AB"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FB7710"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w:t>
            </w:r>
          </w:p>
        </w:tc>
        <w:tc>
          <w:tcPr>
            <w:tcW w:w="1020" w:type="dxa"/>
            <w:tcBorders>
              <w:top w:val="nil"/>
              <w:left w:val="nil"/>
              <w:bottom w:val="single" w:sz="4" w:space="0" w:color="auto"/>
              <w:right w:val="single" w:sz="4" w:space="0" w:color="auto"/>
            </w:tcBorders>
            <w:shd w:val="clear" w:color="auto" w:fill="auto"/>
            <w:noWrap/>
            <w:vAlign w:val="bottom"/>
            <w:hideMark/>
          </w:tcPr>
          <w:p w14:paraId="47135B0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0</w:t>
            </w:r>
          </w:p>
        </w:tc>
        <w:tc>
          <w:tcPr>
            <w:tcW w:w="960" w:type="dxa"/>
            <w:tcBorders>
              <w:top w:val="nil"/>
              <w:left w:val="nil"/>
              <w:bottom w:val="single" w:sz="4" w:space="0" w:color="auto"/>
              <w:right w:val="single" w:sz="4" w:space="0" w:color="auto"/>
            </w:tcBorders>
            <w:shd w:val="clear" w:color="auto" w:fill="auto"/>
            <w:noWrap/>
            <w:vAlign w:val="bottom"/>
            <w:hideMark/>
          </w:tcPr>
          <w:p w14:paraId="4C9820EA"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68.73</w:t>
            </w:r>
          </w:p>
        </w:tc>
        <w:tc>
          <w:tcPr>
            <w:tcW w:w="960" w:type="dxa"/>
            <w:tcBorders>
              <w:top w:val="nil"/>
              <w:left w:val="nil"/>
              <w:bottom w:val="single" w:sz="4" w:space="0" w:color="auto"/>
              <w:right w:val="single" w:sz="4" w:space="0" w:color="auto"/>
            </w:tcBorders>
            <w:shd w:val="clear" w:color="auto" w:fill="auto"/>
            <w:noWrap/>
            <w:vAlign w:val="bottom"/>
            <w:hideMark/>
          </w:tcPr>
          <w:p w14:paraId="03339724"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47.21</w:t>
            </w:r>
          </w:p>
        </w:tc>
        <w:tc>
          <w:tcPr>
            <w:tcW w:w="960" w:type="dxa"/>
            <w:tcBorders>
              <w:top w:val="nil"/>
              <w:left w:val="nil"/>
              <w:bottom w:val="single" w:sz="4" w:space="0" w:color="auto"/>
              <w:right w:val="single" w:sz="4" w:space="0" w:color="auto"/>
            </w:tcBorders>
            <w:shd w:val="clear" w:color="auto" w:fill="auto"/>
            <w:noWrap/>
            <w:vAlign w:val="bottom"/>
            <w:hideMark/>
          </w:tcPr>
          <w:p w14:paraId="6D39E34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40.56</w:t>
            </w:r>
          </w:p>
        </w:tc>
        <w:tc>
          <w:tcPr>
            <w:tcW w:w="960" w:type="dxa"/>
            <w:tcBorders>
              <w:top w:val="nil"/>
              <w:left w:val="nil"/>
              <w:bottom w:val="single" w:sz="4" w:space="0" w:color="auto"/>
              <w:right w:val="single" w:sz="4" w:space="0" w:color="auto"/>
            </w:tcBorders>
            <w:shd w:val="clear" w:color="auto" w:fill="auto"/>
            <w:noWrap/>
            <w:vAlign w:val="bottom"/>
            <w:hideMark/>
          </w:tcPr>
          <w:p w14:paraId="60D19C52"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27.07</w:t>
            </w:r>
          </w:p>
        </w:tc>
        <w:tc>
          <w:tcPr>
            <w:tcW w:w="2500" w:type="dxa"/>
            <w:tcBorders>
              <w:top w:val="nil"/>
              <w:left w:val="nil"/>
              <w:bottom w:val="single" w:sz="4" w:space="0" w:color="auto"/>
              <w:right w:val="single" w:sz="4" w:space="0" w:color="auto"/>
            </w:tcBorders>
            <w:shd w:val="clear" w:color="auto" w:fill="auto"/>
            <w:noWrap/>
            <w:vAlign w:val="bottom"/>
            <w:hideMark/>
          </w:tcPr>
          <w:p w14:paraId="6466F21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Cointegration Exists</w:t>
            </w:r>
          </w:p>
        </w:tc>
      </w:tr>
      <w:tr w:rsidR="00034402" w:rsidRPr="004779B6" w14:paraId="2C37B8FB"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7CB4FD"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9382F05"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1</w:t>
            </w:r>
          </w:p>
        </w:tc>
        <w:tc>
          <w:tcPr>
            <w:tcW w:w="960" w:type="dxa"/>
            <w:tcBorders>
              <w:top w:val="nil"/>
              <w:left w:val="nil"/>
              <w:bottom w:val="single" w:sz="4" w:space="0" w:color="auto"/>
              <w:right w:val="single" w:sz="4" w:space="0" w:color="auto"/>
            </w:tcBorders>
            <w:shd w:val="clear" w:color="auto" w:fill="auto"/>
            <w:noWrap/>
            <w:vAlign w:val="bottom"/>
            <w:hideMark/>
          </w:tcPr>
          <w:p w14:paraId="3B7095E1"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28.17</w:t>
            </w:r>
          </w:p>
        </w:tc>
        <w:tc>
          <w:tcPr>
            <w:tcW w:w="960" w:type="dxa"/>
            <w:tcBorders>
              <w:top w:val="nil"/>
              <w:left w:val="nil"/>
              <w:bottom w:val="single" w:sz="4" w:space="0" w:color="auto"/>
              <w:right w:val="single" w:sz="4" w:space="0" w:color="auto"/>
            </w:tcBorders>
            <w:shd w:val="clear" w:color="auto" w:fill="auto"/>
            <w:noWrap/>
            <w:vAlign w:val="bottom"/>
            <w:hideMark/>
          </w:tcPr>
          <w:p w14:paraId="6932A204"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29.68</w:t>
            </w:r>
          </w:p>
        </w:tc>
        <w:tc>
          <w:tcPr>
            <w:tcW w:w="960" w:type="dxa"/>
            <w:tcBorders>
              <w:top w:val="nil"/>
              <w:left w:val="nil"/>
              <w:bottom w:val="single" w:sz="4" w:space="0" w:color="auto"/>
              <w:right w:val="single" w:sz="4" w:space="0" w:color="auto"/>
            </w:tcBorders>
            <w:shd w:val="clear" w:color="auto" w:fill="auto"/>
            <w:noWrap/>
            <w:vAlign w:val="bottom"/>
            <w:hideMark/>
          </w:tcPr>
          <w:p w14:paraId="567E6604"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18.02</w:t>
            </w:r>
          </w:p>
        </w:tc>
        <w:tc>
          <w:tcPr>
            <w:tcW w:w="960" w:type="dxa"/>
            <w:tcBorders>
              <w:top w:val="nil"/>
              <w:left w:val="nil"/>
              <w:bottom w:val="single" w:sz="4" w:space="0" w:color="auto"/>
              <w:right w:val="single" w:sz="4" w:space="0" w:color="auto"/>
            </w:tcBorders>
            <w:shd w:val="clear" w:color="auto" w:fill="auto"/>
            <w:noWrap/>
            <w:vAlign w:val="bottom"/>
            <w:hideMark/>
          </w:tcPr>
          <w:p w14:paraId="4A1C9D3D"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20.97</w:t>
            </w:r>
          </w:p>
        </w:tc>
        <w:tc>
          <w:tcPr>
            <w:tcW w:w="2500" w:type="dxa"/>
            <w:tcBorders>
              <w:top w:val="nil"/>
              <w:left w:val="nil"/>
              <w:bottom w:val="single" w:sz="4" w:space="0" w:color="auto"/>
              <w:right w:val="single" w:sz="4" w:space="0" w:color="auto"/>
            </w:tcBorders>
            <w:shd w:val="clear" w:color="auto" w:fill="auto"/>
            <w:noWrap/>
            <w:vAlign w:val="bottom"/>
            <w:hideMark/>
          </w:tcPr>
          <w:p w14:paraId="46C91BAE"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r>
      <w:tr w:rsidR="00034402" w:rsidRPr="004779B6" w14:paraId="506732E3"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C035B2"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w:t>
            </w:r>
          </w:p>
        </w:tc>
        <w:tc>
          <w:tcPr>
            <w:tcW w:w="1020" w:type="dxa"/>
            <w:tcBorders>
              <w:top w:val="nil"/>
              <w:left w:val="nil"/>
              <w:bottom w:val="single" w:sz="4" w:space="0" w:color="auto"/>
              <w:right w:val="single" w:sz="4" w:space="0" w:color="auto"/>
            </w:tcBorders>
            <w:shd w:val="clear" w:color="auto" w:fill="auto"/>
            <w:noWrap/>
            <w:vAlign w:val="bottom"/>
            <w:hideMark/>
          </w:tcPr>
          <w:p w14:paraId="18D8D691"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0</w:t>
            </w:r>
          </w:p>
        </w:tc>
        <w:tc>
          <w:tcPr>
            <w:tcW w:w="960" w:type="dxa"/>
            <w:tcBorders>
              <w:top w:val="nil"/>
              <w:left w:val="nil"/>
              <w:bottom w:val="single" w:sz="4" w:space="0" w:color="auto"/>
              <w:right w:val="single" w:sz="4" w:space="0" w:color="auto"/>
            </w:tcBorders>
            <w:shd w:val="clear" w:color="auto" w:fill="auto"/>
            <w:noWrap/>
            <w:vAlign w:val="bottom"/>
            <w:hideMark/>
          </w:tcPr>
          <w:p w14:paraId="51AC378A"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72.45</w:t>
            </w:r>
          </w:p>
        </w:tc>
        <w:tc>
          <w:tcPr>
            <w:tcW w:w="960" w:type="dxa"/>
            <w:tcBorders>
              <w:top w:val="nil"/>
              <w:left w:val="nil"/>
              <w:bottom w:val="single" w:sz="4" w:space="0" w:color="auto"/>
              <w:right w:val="single" w:sz="4" w:space="0" w:color="auto"/>
            </w:tcBorders>
            <w:shd w:val="clear" w:color="auto" w:fill="auto"/>
            <w:noWrap/>
            <w:vAlign w:val="bottom"/>
            <w:hideMark/>
          </w:tcPr>
          <w:p w14:paraId="56DB922E"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47.21</w:t>
            </w:r>
          </w:p>
        </w:tc>
        <w:tc>
          <w:tcPr>
            <w:tcW w:w="960" w:type="dxa"/>
            <w:tcBorders>
              <w:top w:val="nil"/>
              <w:left w:val="nil"/>
              <w:bottom w:val="single" w:sz="4" w:space="0" w:color="auto"/>
              <w:right w:val="single" w:sz="4" w:space="0" w:color="auto"/>
            </w:tcBorders>
            <w:shd w:val="clear" w:color="auto" w:fill="auto"/>
            <w:noWrap/>
            <w:vAlign w:val="bottom"/>
            <w:hideMark/>
          </w:tcPr>
          <w:p w14:paraId="4083E1E0"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43.89</w:t>
            </w:r>
          </w:p>
        </w:tc>
        <w:tc>
          <w:tcPr>
            <w:tcW w:w="960" w:type="dxa"/>
            <w:tcBorders>
              <w:top w:val="nil"/>
              <w:left w:val="nil"/>
              <w:bottom w:val="single" w:sz="4" w:space="0" w:color="auto"/>
              <w:right w:val="single" w:sz="4" w:space="0" w:color="auto"/>
            </w:tcBorders>
            <w:shd w:val="clear" w:color="auto" w:fill="auto"/>
            <w:noWrap/>
            <w:vAlign w:val="bottom"/>
            <w:hideMark/>
          </w:tcPr>
          <w:p w14:paraId="1E7D2F2F"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27.07</w:t>
            </w:r>
          </w:p>
        </w:tc>
        <w:tc>
          <w:tcPr>
            <w:tcW w:w="2500" w:type="dxa"/>
            <w:tcBorders>
              <w:top w:val="nil"/>
              <w:left w:val="nil"/>
              <w:bottom w:val="single" w:sz="4" w:space="0" w:color="auto"/>
              <w:right w:val="single" w:sz="4" w:space="0" w:color="auto"/>
            </w:tcBorders>
            <w:shd w:val="clear" w:color="auto" w:fill="auto"/>
            <w:noWrap/>
            <w:vAlign w:val="bottom"/>
            <w:hideMark/>
          </w:tcPr>
          <w:p w14:paraId="4387EBA0"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Cointegration Exists</w:t>
            </w:r>
          </w:p>
        </w:tc>
      </w:tr>
      <w:tr w:rsidR="00034402" w:rsidRPr="004779B6" w14:paraId="1A7453F8"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81F89"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7E81E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1</w:t>
            </w:r>
          </w:p>
        </w:tc>
        <w:tc>
          <w:tcPr>
            <w:tcW w:w="960" w:type="dxa"/>
            <w:tcBorders>
              <w:top w:val="nil"/>
              <w:left w:val="nil"/>
              <w:bottom w:val="single" w:sz="4" w:space="0" w:color="auto"/>
              <w:right w:val="single" w:sz="4" w:space="0" w:color="auto"/>
            </w:tcBorders>
            <w:shd w:val="clear" w:color="auto" w:fill="auto"/>
            <w:noWrap/>
            <w:vAlign w:val="bottom"/>
            <w:hideMark/>
          </w:tcPr>
          <w:p w14:paraId="1A4AE239"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5D573F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29.68</w:t>
            </w:r>
          </w:p>
        </w:tc>
        <w:tc>
          <w:tcPr>
            <w:tcW w:w="960" w:type="dxa"/>
            <w:tcBorders>
              <w:top w:val="nil"/>
              <w:left w:val="nil"/>
              <w:bottom w:val="single" w:sz="4" w:space="0" w:color="auto"/>
              <w:right w:val="single" w:sz="4" w:space="0" w:color="auto"/>
            </w:tcBorders>
            <w:shd w:val="clear" w:color="auto" w:fill="auto"/>
            <w:noWrap/>
            <w:vAlign w:val="bottom"/>
            <w:hideMark/>
          </w:tcPr>
          <w:p w14:paraId="28CF44C5"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19.41</w:t>
            </w:r>
          </w:p>
        </w:tc>
        <w:tc>
          <w:tcPr>
            <w:tcW w:w="960" w:type="dxa"/>
            <w:tcBorders>
              <w:top w:val="nil"/>
              <w:left w:val="nil"/>
              <w:bottom w:val="single" w:sz="4" w:space="0" w:color="auto"/>
              <w:right w:val="single" w:sz="4" w:space="0" w:color="auto"/>
            </w:tcBorders>
            <w:shd w:val="clear" w:color="auto" w:fill="auto"/>
            <w:noWrap/>
            <w:vAlign w:val="bottom"/>
            <w:hideMark/>
          </w:tcPr>
          <w:p w14:paraId="328DF237"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20.97</w:t>
            </w:r>
          </w:p>
        </w:tc>
        <w:tc>
          <w:tcPr>
            <w:tcW w:w="2500" w:type="dxa"/>
            <w:tcBorders>
              <w:top w:val="nil"/>
              <w:left w:val="nil"/>
              <w:bottom w:val="single" w:sz="4" w:space="0" w:color="auto"/>
              <w:right w:val="single" w:sz="4" w:space="0" w:color="auto"/>
            </w:tcBorders>
            <w:shd w:val="clear" w:color="auto" w:fill="auto"/>
            <w:noWrap/>
            <w:vAlign w:val="bottom"/>
            <w:hideMark/>
          </w:tcPr>
          <w:p w14:paraId="0A91E7BF"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r>
      <w:tr w:rsidR="00034402" w:rsidRPr="004779B6" w14:paraId="03DACA25"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612CD"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III</w:t>
            </w:r>
          </w:p>
        </w:tc>
        <w:tc>
          <w:tcPr>
            <w:tcW w:w="1020" w:type="dxa"/>
            <w:tcBorders>
              <w:top w:val="nil"/>
              <w:left w:val="nil"/>
              <w:bottom w:val="single" w:sz="4" w:space="0" w:color="auto"/>
              <w:right w:val="single" w:sz="4" w:space="0" w:color="auto"/>
            </w:tcBorders>
            <w:shd w:val="clear" w:color="auto" w:fill="auto"/>
            <w:noWrap/>
            <w:vAlign w:val="bottom"/>
            <w:hideMark/>
          </w:tcPr>
          <w:p w14:paraId="78CC4E2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0</w:t>
            </w:r>
          </w:p>
        </w:tc>
        <w:tc>
          <w:tcPr>
            <w:tcW w:w="960" w:type="dxa"/>
            <w:tcBorders>
              <w:top w:val="nil"/>
              <w:left w:val="nil"/>
              <w:bottom w:val="single" w:sz="4" w:space="0" w:color="auto"/>
              <w:right w:val="single" w:sz="4" w:space="0" w:color="auto"/>
            </w:tcBorders>
            <w:shd w:val="clear" w:color="auto" w:fill="auto"/>
            <w:noWrap/>
            <w:vAlign w:val="bottom"/>
            <w:hideMark/>
          </w:tcPr>
          <w:p w14:paraId="50DE84B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65.92</w:t>
            </w:r>
          </w:p>
        </w:tc>
        <w:tc>
          <w:tcPr>
            <w:tcW w:w="960" w:type="dxa"/>
            <w:tcBorders>
              <w:top w:val="nil"/>
              <w:left w:val="nil"/>
              <w:bottom w:val="single" w:sz="4" w:space="0" w:color="auto"/>
              <w:right w:val="single" w:sz="4" w:space="0" w:color="auto"/>
            </w:tcBorders>
            <w:shd w:val="clear" w:color="auto" w:fill="auto"/>
            <w:noWrap/>
            <w:vAlign w:val="bottom"/>
            <w:hideMark/>
          </w:tcPr>
          <w:p w14:paraId="0396E90E"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47.21</w:t>
            </w:r>
          </w:p>
        </w:tc>
        <w:tc>
          <w:tcPr>
            <w:tcW w:w="960" w:type="dxa"/>
            <w:tcBorders>
              <w:top w:val="nil"/>
              <w:left w:val="nil"/>
              <w:bottom w:val="single" w:sz="4" w:space="0" w:color="auto"/>
              <w:right w:val="single" w:sz="4" w:space="0" w:color="auto"/>
            </w:tcBorders>
            <w:shd w:val="clear" w:color="auto" w:fill="auto"/>
            <w:noWrap/>
            <w:vAlign w:val="bottom"/>
            <w:hideMark/>
          </w:tcPr>
          <w:p w14:paraId="4F777FDF"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38.74</w:t>
            </w:r>
          </w:p>
        </w:tc>
        <w:tc>
          <w:tcPr>
            <w:tcW w:w="960" w:type="dxa"/>
            <w:tcBorders>
              <w:top w:val="nil"/>
              <w:left w:val="nil"/>
              <w:bottom w:val="single" w:sz="4" w:space="0" w:color="auto"/>
              <w:right w:val="single" w:sz="4" w:space="0" w:color="auto"/>
            </w:tcBorders>
            <w:shd w:val="clear" w:color="auto" w:fill="auto"/>
            <w:noWrap/>
            <w:vAlign w:val="bottom"/>
            <w:hideMark/>
          </w:tcPr>
          <w:p w14:paraId="36717A49"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27.07</w:t>
            </w:r>
          </w:p>
        </w:tc>
        <w:tc>
          <w:tcPr>
            <w:tcW w:w="2500" w:type="dxa"/>
            <w:tcBorders>
              <w:top w:val="nil"/>
              <w:left w:val="nil"/>
              <w:bottom w:val="single" w:sz="4" w:space="0" w:color="auto"/>
              <w:right w:val="single" w:sz="4" w:space="0" w:color="auto"/>
            </w:tcBorders>
            <w:shd w:val="clear" w:color="auto" w:fill="auto"/>
            <w:noWrap/>
            <w:vAlign w:val="bottom"/>
            <w:hideMark/>
          </w:tcPr>
          <w:p w14:paraId="3A6D080E"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Cointegration Exists</w:t>
            </w:r>
          </w:p>
        </w:tc>
      </w:tr>
      <w:tr w:rsidR="00034402" w:rsidRPr="004779B6" w14:paraId="49E89BAB"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9A4BC"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A81C272"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1</w:t>
            </w:r>
          </w:p>
        </w:tc>
        <w:tc>
          <w:tcPr>
            <w:tcW w:w="960" w:type="dxa"/>
            <w:tcBorders>
              <w:top w:val="nil"/>
              <w:left w:val="nil"/>
              <w:bottom w:val="single" w:sz="4" w:space="0" w:color="auto"/>
              <w:right w:val="single" w:sz="4" w:space="0" w:color="auto"/>
            </w:tcBorders>
            <w:shd w:val="clear" w:color="auto" w:fill="auto"/>
            <w:noWrap/>
            <w:vAlign w:val="bottom"/>
            <w:hideMark/>
          </w:tcPr>
          <w:p w14:paraId="0F0D7CE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27.18</w:t>
            </w:r>
          </w:p>
        </w:tc>
        <w:tc>
          <w:tcPr>
            <w:tcW w:w="960" w:type="dxa"/>
            <w:tcBorders>
              <w:top w:val="nil"/>
              <w:left w:val="nil"/>
              <w:bottom w:val="single" w:sz="4" w:space="0" w:color="auto"/>
              <w:right w:val="single" w:sz="4" w:space="0" w:color="auto"/>
            </w:tcBorders>
            <w:shd w:val="clear" w:color="auto" w:fill="auto"/>
            <w:noWrap/>
            <w:vAlign w:val="bottom"/>
            <w:hideMark/>
          </w:tcPr>
          <w:p w14:paraId="137CD26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29.68</w:t>
            </w:r>
          </w:p>
        </w:tc>
        <w:tc>
          <w:tcPr>
            <w:tcW w:w="960" w:type="dxa"/>
            <w:tcBorders>
              <w:top w:val="nil"/>
              <w:left w:val="nil"/>
              <w:bottom w:val="single" w:sz="4" w:space="0" w:color="auto"/>
              <w:right w:val="single" w:sz="4" w:space="0" w:color="auto"/>
            </w:tcBorders>
            <w:shd w:val="clear" w:color="auto" w:fill="auto"/>
            <w:noWrap/>
            <w:vAlign w:val="bottom"/>
            <w:hideMark/>
          </w:tcPr>
          <w:p w14:paraId="36A08D4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17.36</w:t>
            </w:r>
          </w:p>
        </w:tc>
        <w:tc>
          <w:tcPr>
            <w:tcW w:w="960" w:type="dxa"/>
            <w:tcBorders>
              <w:top w:val="nil"/>
              <w:left w:val="nil"/>
              <w:bottom w:val="single" w:sz="4" w:space="0" w:color="auto"/>
              <w:right w:val="single" w:sz="4" w:space="0" w:color="auto"/>
            </w:tcBorders>
            <w:shd w:val="clear" w:color="auto" w:fill="auto"/>
            <w:noWrap/>
            <w:vAlign w:val="bottom"/>
            <w:hideMark/>
          </w:tcPr>
          <w:p w14:paraId="485826FF"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20.97</w:t>
            </w:r>
          </w:p>
        </w:tc>
        <w:tc>
          <w:tcPr>
            <w:tcW w:w="2500" w:type="dxa"/>
            <w:tcBorders>
              <w:top w:val="nil"/>
              <w:left w:val="nil"/>
              <w:bottom w:val="single" w:sz="4" w:space="0" w:color="auto"/>
              <w:right w:val="single" w:sz="4" w:space="0" w:color="auto"/>
            </w:tcBorders>
            <w:shd w:val="clear" w:color="auto" w:fill="auto"/>
            <w:noWrap/>
            <w:vAlign w:val="bottom"/>
            <w:hideMark/>
          </w:tcPr>
          <w:p w14:paraId="78DCCE70"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r>
      <w:tr w:rsidR="00034402" w:rsidRPr="004779B6" w14:paraId="01DCFE66"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8C80F"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IV</w:t>
            </w:r>
          </w:p>
        </w:tc>
        <w:tc>
          <w:tcPr>
            <w:tcW w:w="1020" w:type="dxa"/>
            <w:tcBorders>
              <w:top w:val="nil"/>
              <w:left w:val="nil"/>
              <w:bottom w:val="single" w:sz="4" w:space="0" w:color="auto"/>
              <w:right w:val="single" w:sz="4" w:space="0" w:color="auto"/>
            </w:tcBorders>
            <w:shd w:val="clear" w:color="auto" w:fill="auto"/>
            <w:noWrap/>
            <w:vAlign w:val="bottom"/>
            <w:hideMark/>
          </w:tcPr>
          <w:p w14:paraId="150FD89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0</w:t>
            </w:r>
          </w:p>
        </w:tc>
        <w:tc>
          <w:tcPr>
            <w:tcW w:w="960" w:type="dxa"/>
            <w:tcBorders>
              <w:top w:val="nil"/>
              <w:left w:val="nil"/>
              <w:bottom w:val="single" w:sz="4" w:space="0" w:color="auto"/>
              <w:right w:val="single" w:sz="4" w:space="0" w:color="auto"/>
            </w:tcBorders>
            <w:shd w:val="clear" w:color="auto" w:fill="auto"/>
            <w:noWrap/>
            <w:vAlign w:val="bottom"/>
            <w:hideMark/>
          </w:tcPr>
          <w:p w14:paraId="1BF4FD7D"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70.88</w:t>
            </w:r>
          </w:p>
        </w:tc>
        <w:tc>
          <w:tcPr>
            <w:tcW w:w="960" w:type="dxa"/>
            <w:tcBorders>
              <w:top w:val="nil"/>
              <w:left w:val="nil"/>
              <w:bottom w:val="single" w:sz="4" w:space="0" w:color="auto"/>
              <w:right w:val="single" w:sz="4" w:space="0" w:color="auto"/>
            </w:tcBorders>
            <w:shd w:val="clear" w:color="auto" w:fill="auto"/>
            <w:noWrap/>
            <w:vAlign w:val="bottom"/>
            <w:hideMark/>
          </w:tcPr>
          <w:p w14:paraId="20AD55B7"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47.21</w:t>
            </w:r>
          </w:p>
        </w:tc>
        <w:tc>
          <w:tcPr>
            <w:tcW w:w="960" w:type="dxa"/>
            <w:tcBorders>
              <w:top w:val="nil"/>
              <w:left w:val="nil"/>
              <w:bottom w:val="single" w:sz="4" w:space="0" w:color="auto"/>
              <w:right w:val="single" w:sz="4" w:space="0" w:color="auto"/>
            </w:tcBorders>
            <w:shd w:val="clear" w:color="auto" w:fill="auto"/>
            <w:noWrap/>
            <w:vAlign w:val="bottom"/>
            <w:hideMark/>
          </w:tcPr>
          <w:p w14:paraId="34BE14E3"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41.33</w:t>
            </w:r>
          </w:p>
        </w:tc>
        <w:tc>
          <w:tcPr>
            <w:tcW w:w="960" w:type="dxa"/>
            <w:tcBorders>
              <w:top w:val="nil"/>
              <w:left w:val="nil"/>
              <w:bottom w:val="single" w:sz="4" w:space="0" w:color="auto"/>
              <w:right w:val="single" w:sz="4" w:space="0" w:color="auto"/>
            </w:tcBorders>
            <w:shd w:val="clear" w:color="auto" w:fill="auto"/>
            <w:noWrap/>
            <w:vAlign w:val="bottom"/>
            <w:hideMark/>
          </w:tcPr>
          <w:p w14:paraId="7B342646"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27.07</w:t>
            </w:r>
          </w:p>
        </w:tc>
        <w:tc>
          <w:tcPr>
            <w:tcW w:w="2500" w:type="dxa"/>
            <w:tcBorders>
              <w:top w:val="nil"/>
              <w:left w:val="nil"/>
              <w:bottom w:val="single" w:sz="4" w:space="0" w:color="auto"/>
              <w:right w:val="single" w:sz="4" w:space="0" w:color="auto"/>
            </w:tcBorders>
            <w:shd w:val="clear" w:color="auto" w:fill="auto"/>
            <w:noWrap/>
            <w:vAlign w:val="bottom"/>
            <w:hideMark/>
          </w:tcPr>
          <w:p w14:paraId="1AAD352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Cointegration Exists</w:t>
            </w:r>
          </w:p>
        </w:tc>
      </w:tr>
      <w:tr w:rsidR="00034402" w:rsidRPr="004779B6" w14:paraId="0A85F63C" w14:textId="77777777" w:rsidTr="0003440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851BE"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E04B2D4"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r ≤ 1</w:t>
            </w:r>
          </w:p>
        </w:tc>
        <w:tc>
          <w:tcPr>
            <w:tcW w:w="960" w:type="dxa"/>
            <w:tcBorders>
              <w:top w:val="nil"/>
              <w:left w:val="nil"/>
              <w:bottom w:val="single" w:sz="4" w:space="0" w:color="auto"/>
              <w:right w:val="single" w:sz="4" w:space="0" w:color="auto"/>
            </w:tcBorders>
            <w:shd w:val="clear" w:color="auto" w:fill="auto"/>
            <w:noWrap/>
            <w:vAlign w:val="bottom"/>
            <w:hideMark/>
          </w:tcPr>
          <w:p w14:paraId="554D4076"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29.24</w:t>
            </w:r>
          </w:p>
        </w:tc>
        <w:tc>
          <w:tcPr>
            <w:tcW w:w="960" w:type="dxa"/>
            <w:tcBorders>
              <w:top w:val="nil"/>
              <w:left w:val="nil"/>
              <w:bottom w:val="single" w:sz="4" w:space="0" w:color="auto"/>
              <w:right w:val="single" w:sz="4" w:space="0" w:color="auto"/>
            </w:tcBorders>
            <w:shd w:val="clear" w:color="auto" w:fill="auto"/>
            <w:noWrap/>
            <w:vAlign w:val="bottom"/>
            <w:hideMark/>
          </w:tcPr>
          <w:p w14:paraId="0FAED9B8"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29.68</w:t>
            </w:r>
          </w:p>
        </w:tc>
        <w:tc>
          <w:tcPr>
            <w:tcW w:w="960" w:type="dxa"/>
            <w:tcBorders>
              <w:top w:val="nil"/>
              <w:left w:val="nil"/>
              <w:bottom w:val="single" w:sz="4" w:space="0" w:color="auto"/>
              <w:right w:val="single" w:sz="4" w:space="0" w:color="auto"/>
            </w:tcBorders>
            <w:shd w:val="clear" w:color="auto" w:fill="auto"/>
            <w:noWrap/>
            <w:vAlign w:val="bottom"/>
            <w:hideMark/>
          </w:tcPr>
          <w:p w14:paraId="41E31C12"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18.93</w:t>
            </w:r>
          </w:p>
        </w:tc>
        <w:tc>
          <w:tcPr>
            <w:tcW w:w="960" w:type="dxa"/>
            <w:tcBorders>
              <w:top w:val="nil"/>
              <w:left w:val="nil"/>
              <w:bottom w:val="single" w:sz="4" w:space="0" w:color="auto"/>
              <w:right w:val="single" w:sz="4" w:space="0" w:color="auto"/>
            </w:tcBorders>
            <w:shd w:val="clear" w:color="auto" w:fill="auto"/>
            <w:noWrap/>
            <w:vAlign w:val="bottom"/>
            <w:hideMark/>
          </w:tcPr>
          <w:p w14:paraId="40B8A92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20.97</w:t>
            </w:r>
          </w:p>
        </w:tc>
        <w:tc>
          <w:tcPr>
            <w:tcW w:w="2500" w:type="dxa"/>
            <w:tcBorders>
              <w:top w:val="nil"/>
              <w:left w:val="nil"/>
              <w:bottom w:val="single" w:sz="4" w:space="0" w:color="auto"/>
              <w:right w:val="single" w:sz="4" w:space="0" w:color="auto"/>
            </w:tcBorders>
            <w:shd w:val="clear" w:color="auto" w:fill="auto"/>
            <w:noWrap/>
            <w:vAlign w:val="bottom"/>
            <w:hideMark/>
          </w:tcPr>
          <w:p w14:paraId="073EAD2B" w14:textId="77777777" w:rsidR="00034402" w:rsidRPr="004779B6" w:rsidRDefault="00034402"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r>
    </w:tbl>
    <w:p w14:paraId="4E728A51" w14:textId="2F034E7C" w:rsidR="00034402" w:rsidRPr="004779B6" w:rsidRDefault="00034402" w:rsidP="004779B6">
      <w:pPr>
        <w:jc w:val="both"/>
        <w:rPr>
          <w:rFonts w:asciiTheme="majorHAnsi" w:hAnsiTheme="majorHAnsi" w:cstheme="majorHAnsi"/>
        </w:rPr>
      </w:pPr>
      <w:r w:rsidRPr="004779B6">
        <w:rPr>
          <w:rFonts w:asciiTheme="majorHAnsi" w:hAnsiTheme="majorHAnsi" w:cstheme="majorHAnsi"/>
        </w:rPr>
        <w:t xml:space="preserve">Author: Owners Own Compilation </w:t>
      </w:r>
    </w:p>
    <w:p w14:paraId="3A2DC8E1" w14:textId="0D4C0BA4" w:rsidR="00034402" w:rsidRPr="004779B6" w:rsidRDefault="00034402" w:rsidP="004779B6">
      <w:pPr>
        <w:pStyle w:val="ListParagraph"/>
        <w:numPr>
          <w:ilvl w:val="0"/>
          <w:numId w:val="9"/>
        </w:numPr>
        <w:jc w:val="both"/>
        <w:rPr>
          <w:rFonts w:asciiTheme="majorHAnsi" w:hAnsiTheme="majorHAnsi" w:cstheme="majorHAnsi"/>
        </w:rPr>
      </w:pPr>
      <w:r w:rsidRPr="004779B6">
        <w:rPr>
          <w:rFonts w:asciiTheme="majorHAnsi" w:hAnsiTheme="majorHAnsi" w:cstheme="majorHAnsi"/>
        </w:rPr>
        <w:lastRenderedPageBreak/>
        <w:t>r = number of cointegrating relationships</w:t>
      </w:r>
    </w:p>
    <w:p w14:paraId="148752F6" w14:textId="39675172" w:rsidR="00034402" w:rsidRPr="004779B6" w:rsidRDefault="00034402" w:rsidP="004779B6">
      <w:pPr>
        <w:pStyle w:val="ListParagraph"/>
        <w:numPr>
          <w:ilvl w:val="0"/>
          <w:numId w:val="9"/>
        </w:numPr>
        <w:jc w:val="both"/>
        <w:rPr>
          <w:rFonts w:asciiTheme="majorHAnsi" w:hAnsiTheme="majorHAnsi" w:cstheme="majorHAnsi"/>
        </w:rPr>
      </w:pPr>
      <w:r w:rsidRPr="004779B6">
        <w:rPr>
          <w:rFonts w:asciiTheme="majorHAnsi" w:hAnsiTheme="majorHAnsi" w:cstheme="majorHAnsi"/>
        </w:rPr>
        <w:t>Trace and Max-Eigen statistics &gt; critical values at 5% → reject null of no cointegration</w:t>
      </w:r>
    </w:p>
    <w:p w14:paraId="29532A36" w14:textId="268667E2" w:rsidR="00034402" w:rsidRPr="004779B6" w:rsidRDefault="00034402" w:rsidP="004779B6">
      <w:pPr>
        <w:pStyle w:val="ListParagraph"/>
        <w:numPr>
          <w:ilvl w:val="0"/>
          <w:numId w:val="9"/>
        </w:numPr>
        <w:jc w:val="both"/>
        <w:rPr>
          <w:rFonts w:asciiTheme="majorHAnsi" w:hAnsiTheme="majorHAnsi" w:cstheme="majorHAnsi"/>
        </w:rPr>
      </w:pPr>
      <w:r w:rsidRPr="004779B6">
        <w:rPr>
          <w:rFonts w:asciiTheme="majorHAnsi" w:hAnsiTheme="majorHAnsi" w:cstheme="majorHAnsi"/>
        </w:rPr>
        <w:t>All models indicate at least one cointegrating vector, confirming long-run equilibrium relationships.</w:t>
      </w:r>
    </w:p>
    <w:p w14:paraId="3B44AF6D" w14:textId="0BA05940" w:rsidR="008E2D64" w:rsidRPr="004779B6" w:rsidRDefault="008E2D64" w:rsidP="004779B6">
      <w:pPr>
        <w:jc w:val="both"/>
        <w:rPr>
          <w:rFonts w:asciiTheme="majorHAnsi" w:hAnsiTheme="majorHAnsi" w:cstheme="majorHAnsi"/>
          <w:b/>
          <w:bCs/>
        </w:rPr>
      </w:pPr>
      <w:r w:rsidRPr="004779B6">
        <w:rPr>
          <w:rFonts w:asciiTheme="majorHAnsi" w:hAnsiTheme="majorHAnsi" w:cstheme="majorHAnsi"/>
          <w:b/>
          <w:bCs/>
        </w:rPr>
        <w:t>5.1 Short-run analysis</w:t>
      </w:r>
    </w:p>
    <w:p w14:paraId="6A5553F0" w14:textId="55E82F34" w:rsidR="008E2D64" w:rsidRPr="004779B6" w:rsidRDefault="008E2D64" w:rsidP="004779B6">
      <w:pPr>
        <w:jc w:val="both"/>
        <w:rPr>
          <w:rFonts w:asciiTheme="majorHAnsi" w:hAnsiTheme="majorHAnsi" w:cstheme="majorHAnsi"/>
        </w:rPr>
      </w:pPr>
      <w:r w:rsidRPr="004779B6">
        <w:rPr>
          <w:rFonts w:asciiTheme="majorHAnsi" w:hAnsiTheme="majorHAnsi" w:cstheme="majorHAnsi"/>
        </w:rPr>
        <w:t>After establishing cointegration among the variables, the augmented ARDL approach was employed to estimate both short-run and long-run dynamics. The findings in Table 6 reveal that green growth (GG) is negatively associated with carbon emissions in the short run at a 5% confidence level across all models. On the other hand, green innovation (GIN) showed a positive link to CO₂ emissions in Model I over the short term. Specifically, a 1% increase in GIN results in a 0.09% rise in emissions, assuming other variables remain unchanged. However, in another model specification, GIN appears to reduce emissions, although this effect lacks statistical significance.</w:t>
      </w:r>
    </w:p>
    <w:p w14:paraId="262E5286" w14:textId="6D02CF41" w:rsidR="008E2D64" w:rsidRPr="004779B6" w:rsidRDefault="008E2D64" w:rsidP="004779B6">
      <w:pPr>
        <w:jc w:val="both"/>
        <w:rPr>
          <w:rFonts w:asciiTheme="majorHAnsi" w:hAnsiTheme="majorHAnsi" w:cstheme="majorHAnsi"/>
        </w:rPr>
      </w:pPr>
      <w:r w:rsidRPr="004779B6">
        <w:rPr>
          <w:rFonts w:asciiTheme="majorHAnsi" w:hAnsiTheme="majorHAnsi" w:cstheme="majorHAnsi"/>
        </w:rPr>
        <w:t>Information and Communication Technology (ICT) consistently shows a positive influence on CO₂ levels across models, with its impact ranging from 0.06% in Model I to 0.12% in Model IV, both statistically significant at the 1% level. Conversely, the trade openness indicator reflects a negative relationship with CO₂ emissions in every model considered.</w:t>
      </w:r>
    </w:p>
    <w:p w14:paraId="2C1A65C2" w14:textId="5A209F31" w:rsidR="008E2D64" w:rsidRPr="004779B6" w:rsidRDefault="008E2D64" w:rsidP="004779B6">
      <w:pPr>
        <w:jc w:val="both"/>
        <w:rPr>
          <w:rFonts w:asciiTheme="majorHAnsi" w:hAnsiTheme="majorHAnsi" w:cstheme="majorHAnsi"/>
        </w:rPr>
      </w:pPr>
      <w:r w:rsidRPr="004779B6">
        <w:rPr>
          <w:rFonts w:asciiTheme="majorHAnsi" w:hAnsiTheme="majorHAnsi" w:cstheme="majorHAnsi"/>
        </w:rPr>
        <w:t>In addition, the interaction term combining GG and ICT (</w:t>
      </w:r>
      <w:proofErr w:type="spellStart"/>
      <w:r w:rsidRPr="004779B6">
        <w:rPr>
          <w:rFonts w:asciiTheme="majorHAnsi" w:hAnsiTheme="majorHAnsi" w:cstheme="majorHAnsi"/>
        </w:rPr>
        <w:t>GGLnICT</w:t>
      </w:r>
      <w:proofErr w:type="spellEnd"/>
      <w:r w:rsidRPr="004779B6">
        <w:rPr>
          <w:rFonts w:asciiTheme="majorHAnsi" w:hAnsiTheme="majorHAnsi" w:cstheme="majorHAnsi"/>
        </w:rPr>
        <w:t>) demonstrates a positive and statistically meaningful effect at both 1% and 5% levels in Models II and IV, respectively. Meanwhile, the interaction between GIN and ICT (</w:t>
      </w:r>
      <w:proofErr w:type="spellStart"/>
      <w:r w:rsidRPr="004779B6">
        <w:rPr>
          <w:rFonts w:asciiTheme="majorHAnsi" w:hAnsiTheme="majorHAnsi" w:cstheme="majorHAnsi"/>
        </w:rPr>
        <w:t>LnGINLnICT</w:t>
      </w:r>
      <w:proofErr w:type="spellEnd"/>
      <w:r w:rsidRPr="004779B6">
        <w:rPr>
          <w:rFonts w:asciiTheme="majorHAnsi" w:hAnsiTheme="majorHAnsi" w:cstheme="majorHAnsi"/>
        </w:rPr>
        <w:t>) leads to greater environmental degradation in the short term, particularly noted in Model III.</w:t>
      </w:r>
    </w:p>
    <w:p w14:paraId="715F2E56" w14:textId="53768D38" w:rsidR="008E2D64" w:rsidRPr="004779B6" w:rsidRDefault="008E2D64" w:rsidP="004779B6">
      <w:pPr>
        <w:jc w:val="both"/>
        <w:rPr>
          <w:rFonts w:asciiTheme="majorHAnsi" w:hAnsiTheme="majorHAnsi" w:cstheme="majorHAnsi"/>
          <w:b/>
          <w:bCs/>
        </w:rPr>
      </w:pPr>
      <w:r w:rsidRPr="004779B6">
        <w:rPr>
          <w:rFonts w:asciiTheme="majorHAnsi" w:hAnsiTheme="majorHAnsi" w:cstheme="majorHAnsi"/>
          <w:b/>
          <w:bCs/>
        </w:rPr>
        <w:t>5.2 Long run analysis</w:t>
      </w:r>
    </w:p>
    <w:p w14:paraId="7FED36E4" w14:textId="75BDA8CD" w:rsidR="00E573E2" w:rsidRPr="004779B6" w:rsidRDefault="00E573E2" w:rsidP="004779B6">
      <w:pPr>
        <w:jc w:val="both"/>
        <w:rPr>
          <w:rFonts w:asciiTheme="majorHAnsi" w:hAnsiTheme="majorHAnsi" w:cstheme="majorHAnsi"/>
        </w:rPr>
      </w:pPr>
      <w:r w:rsidRPr="004779B6">
        <w:rPr>
          <w:rFonts w:asciiTheme="majorHAnsi" w:hAnsiTheme="majorHAnsi" w:cstheme="majorHAnsi"/>
        </w:rPr>
        <w:t>Table 6 presents the long-term estimates derived from the Augmented ARDL approach. The results consistently demonstrate a negative and statistically significant relationship between green growth and CO₂ emissions across all four models. Specifically, a 1% improvement in green growth leads to reductions in carbon emissions of 0.52%, 0.08%, 0.19%, and 0.08% in Models I through IV, respectively. These outcomes, significant at both the 1% and 5% levels prove the role of green growth in addressing long-term environmental challenges in Kenya.</w:t>
      </w:r>
    </w:p>
    <w:p w14:paraId="5820FF52" w14:textId="187C0740" w:rsidR="006666EF" w:rsidRPr="004779B6" w:rsidRDefault="006666EF" w:rsidP="004779B6">
      <w:pPr>
        <w:jc w:val="both"/>
        <w:rPr>
          <w:rFonts w:asciiTheme="majorHAnsi" w:hAnsiTheme="majorHAnsi" w:cstheme="majorHAnsi"/>
          <w:b/>
          <w:bCs/>
        </w:rPr>
      </w:pPr>
      <w:r w:rsidRPr="004779B6">
        <w:rPr>
          <w:rFonts w:asciiTheme="majorHAnsi" w:hAnsiTheme="majorHAnsi" w:cstheme="majorHAnsi"/>
          <w:b/>
          <w:bCs/>
        </w:rPr>
        <w:t>Table 6: Long-run Estimates of Green Growth Impact on CO₂ Emissions (ARDL Models)</w:t>
      </w:r>
    </w:p>
    <w:tbl>
      <w:tblPr>
        <w:tblStyle w:val="TableGrid"/>
        <w:tblW w:w="0" w:type="auto"/>
        <w:tblLook w:val="04A0" w:firstRow="1" w:lastRow="0" w:firstColumn="1" w:lastColumn="0" w:noHBand="0" w:noVBand="1"/>
      </w:tblPr>
      <w:tblGrid>
        <w:gridCol w:w="2248"/>
        <w:gridCol w:w="999"/>
        <w:gridCol w:w="960"/>
        <w:gridCol w:w="960"/>
        <w:gridCol w:w="960"/>
      </w:tblGrid>
      <w:tr w:rsidR="006666EF" w:rsidRPr="004779B6" w14:paraId="4B3A5737" w14:textId="77777777" w:rsidTr="006666EF">
        <w:trPr>
          <w:trHeight w:val="300"/>
        </w:trPr>
        <w:tc>
          <w:tcPr>
            <w:tcW w:w="2248" w:type="dxa"/>
            <w:noWrap/>
            <w:hideMark/>
          </w:tcPr>
          <w:p w14:paraId="0EAFF2FF"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Variable</w:t>
            </w:r>
          </w:p>
        </w:tc>
        <w:tc>
          <w:tcPr>
            <w:tcW w:w="960" w:type="dxa"/>
            <w:noWrap/>
            <w:hideMark/>
          </w:tcPr>
          <w:p w14:paraId="0F09E8CC"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Model I</w:t>
            </w:r>
          </w:p>
        </w:tc>
        <w:tc>
          <w:tcPr>
            <w:tcW w:w="960" w:type="dxa"/>
            <w:noWrap/>
            <w:hideMark/>
          </w:tcPr>
          <w:p w14:paraId="0A348A84"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Model II</w:t>
            </w:r>
          </w:p>
        </w:tc>
        <w:tc>
          <w:tcPr>
            <w:tcW w:w="960" w:type="dxa"/>
            <w:noWrap/>
            <w:hideMark/>
          </w:tcPr>
          <w:p w14:paraId="1CB2AA78"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Model III</w:t>
            </w:r>
          </w:p>
        </w:tc>
        <w:tc>
          <w:tcPr>
            <w:tcW w:w="960" w:type="dxa"/>
            <w:noWrap/>
            <w:hideMark/>
          </w:tcPr>
          <w:p w14:paraId="0D428022"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Model IV</w:t>
            </w:r>
          </w:p>
        </w:tc>
      </w:tr>
      <w:tr w:rsidR="006666EF" w:rsidRPr="004779B6" w14:paraId="4B96C76D" w14:textId="77777777" w:rsidTr="006666EF">
        <w:trPr>
          <w:trHeight w:val="300"/>
        </w:trPr>
        <w:tc>
          <w:tcPr>
            <w:tcW w:w="2248" w:type="dxa"/>
            <w:noWrap/>
            <w:hideMark/>
          </w:tcPr>
          <w:p w14:paraId="1830C208"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Green Growth (GG)</w:t>
            </w:r>
          </w:p>
        </w:tc>
        <w:tc>
          <w:tcPr>
            <w:tcW w:w="960" w:type="dxa"/>
            <w:noWrap/>
            <w:hideMark/>
          </w:tcPr>
          <w:p w14:paraId="219079B6"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-0.52***</w:t>
            </w:r>
          </w:p>
        </w:tc>
        <w:tc>
          <w:tcPr>
            <w:tcW w:w="960" w:type="dxa"/>
            <w:noWrap/>
            <w:hideMark/>
          </w:tcPr>
          <w:p w14:paraId="3E99F590"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-0.08**</w:t>
            </w:r>
          </w:p>
        </w:tc>
        <w:tc>
          <w:tcPr>
            <w:tcW w:w="960" w:type="dxa"/>
            <w:noWrap/>
            <w:hideMark/>
          </w:tcPr>
          <w:p w14:paraId="336E62DD"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-0.19**</w:t>
            </w:r>
          </w:p>
        </w:tc>
        <w:tc>
          <w:tcPr>
            <w:tcW w:w="960" w:type="dxa"/>
            <w:noWrap/>
            <w:hideMark/>
          </w:tcPr>
          <w:p w14:paraId="2CD3920D"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-0.08**</w:t>
            </w:r>
          </w:p>
        </w:tc>
      </w:tr>
      <w:tr w:rsidR="006666EF" w:rsidRPr="004779B6" w14:paraId="27E61734" w14:textId="77777777" w:rsidTr="006666EF">
        <w:trPr>
          <w:trHeight w:val="300"/>
        </w:trPr>
        <w:tc>
          <w:tcPr>
            <w:tcW w:w="2248" w:type="dxa"/>
            <w:noWrap/>
            <w:hideMark/>
          </w:tcPr>
          <w:p w14:paraId="726D7E1B"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Std. Error</w:t>
            </w:r>
          </w:p>
        </w:tc>
        <w:tc>
          <w:tcPr>
            <w:tcW w:w="960" w:type="dxa"/>
            <w:noWrap/>
            <w:hideMark/>
          </w:tcPr>
          <w:p w14:paraId="6D8BC605"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-0.11</w:t>
            </w:r>
          </w:p>
        </w:tc>
        <w:tc>
          <w:tcPr>
            <w:tcW w:w="960" w:type="dxa"/>
            <w:noWrap/>
            <w:hideMark/>
          </w:tcPr>
          <w:p w14:paraId="2638A388"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-0.03</w:t>
            </w:r>
          </w:p>
        </w:tc>
        <w:tc>
          <w:tcPr>
            <w:tcW w:w="960" w:type="dxa"/>
            <w:noWrap/>
            <w:hideMark/>
          </w:tcPr>
          <w:p w14:paraId="65E659AB"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-0.08</w:t>
            </w:r>
          </w:p>
        </w:tc>
        <w:tc>
          <w:tcPr>
            <w:tcW w:w="960" w:type="dxa"/>
            <w:noWrap/>
            <w:hideMark/>
          </w:tcPr>
          <w:p w14:paraId="510AD6FA"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-0.04</w:t>
            </w:r>
          </w:p>
        </w:tc>
      </w:tr>
      <w:tr w:rsidR="006666EF" w:rsidRPr="004779B6" w14:paraId="163E585C" w14:textId="77777777" w:rsidTr="006666EF">
        <w:trPr>
          <w:trHeight w:val="300"/>
        </w:trPr>
        <w:tc>
          <w:tcPr>
            <w:tcW w:w="2248" w:type="dxa"/>
            <w:noWrap/>
            <w:hideMark/>
          </w:tcPr>
          <w:p w14:paraId="4114EC53"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t-Statistic</w:t>
            </w:r>
          </w:p>
        </w:tc>
        <w:tc>
          <w:tcPr>
            <w:tcW w:w="960" w:type="dxa"/>
            <w:noWrap/>
            <w:hideMark/>
          </w:tcPr>
          <w:p w14:paraId="5ABAFC19"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-4.73</w:t>
            </w:r>
          </w:p>
        </w:tc>
        <w:tc>
          <w:tcPr>
            <w:tcW w:w="960" w:type="dxa"/>
            <w:noWrap/>
            <w:hideMark/>
          </w:tcPr>
          <w:p w14:paraId="52664404"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-2.67</w:t>
            </w:r>
          </w:p>
        </w:tc>
        <w:tc>
          <w:tcPr>
            <w:tcW w:w="960" w:type="dxa"/>
            <w:noWrap/>
            <w:hideMark/>
          </w:tcPr>
          <w:p w14:paraId="384C2DBD"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-2.38</w:t>
            </w:r>
          </w:p>
        </w:tc>
        <w:tc>
          <w:tcPr>
            <w:tcW w:w="960" w:type="dxa"/>
            <w:noWrap/>
            <w:hideMark/>
          </w:tcPr>
          <w:p w14:paraId="5D836ECB"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-2</w:t>
            </w:r>
          </w:p>
        </w:tc>
      </w:tr>
      <w:tr w:rsidR="006666EF" w:rsidRPr="004779B6" w14:paraId="07AB4569" w14:textId="77777777" w:rsidTr="006666EF">
        <w:trPr>
          <w:trHeight w:val="300"/>
        </w:trPr>
        <w:tc>
          <w:tcPr>
            <w:tcW w:w="2248" w:type="dxa"/>
            <w:noWrap/>
            <w:hideMark/>
          </w:tcPr>
          <w:p w14:paraId="70D08980"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p-Value</w:t>
            </w:r>
          </w:p>
        </w:tc>
        <w:tc>
          <w:tcPr>
            <w:tcW w:w="960" w:type="dxa"/>
            <w:noWrap/>
            <w:hideMark/>
          </w:tcPr>
          <w:p w14:paraId="0B37E9AA"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w:t>
            </w:r>
          </w:p>
        </w:tc>
        <w:tc>
          <w:tcPr>
            <w:tcW w:w="960" w:type="dxa"/>
            <w:noWrap/>
            <w:hideMark/>
          </w:tcPr>
          <w:p w14:paraId="7B0BE377"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0.013</w:t>
            </w:r>
          </w:p>
        </w:tc>
        <w:tc>
          <w:tcPr>
            <w:tcW w:w="960" w:type="dxa"/>
            <w:noWrap/>
            <w:hideMark/>
          </w:tcPr>
          <w:p w14:paraId="12223BBA"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0.025</w:t>
            </w:r>
          </w:p>
        </w:tc>
        <w:tc>
          <w:tcPr>
            <w:tcW w:w="960" w:type="dxa"/>
            <w:noWrap/>
            <w:hideMark/>
          </w:tcPr>
          <w:p w14:paraId="465A0CD6"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0.048</w:t>
            </w:r>
          </w:p>
        </w:tc>
      </w:tr>
      <w:tr w:rsidR="006666EF" w:rsidRPr="004779B6" w14:paraId="10C55152" w14:textId="77777777" w:rsidTr="006666EF">
        <w:trPr>
          <w:trHeight w:val="300"/>
        </w:trPr>
        <w:tc>
          <w:tcPr>
            <w:tcW w:w="2248" w:type="dxa"/>
            <w:noWrap/>
            <w:hideMark/>
          </w:tcPr>
          <w:p w14:paraId="5092948D"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lastRenderedPageBreak/>
              <w:t>Cointegration Confirmed</w:t>
            </w:r>
          </w:p>
        </w:tc>
        <w:tc>
          <w:tcPr>
            <w:tcW w:w="960" w:type="dxa"/>
            <w:noWrap/>
            <w:hideMark/>
          </w:tcPr>
          <w:p w14:paraId="2259C309"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Yes</w:t>
            </w:r>
          </w:p>
        </w:tc>
        <w:tc>
          <w:tcPr>
            <w:tcW w:w="960" w:type="dxa"/>
            <w:noWrap/>
            <w:hideMark/>
          </w:tcPr>
          <w:p w14:paraId="689BF3A1"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Yes</w:t>
            </w:r>
          </w:p>
        </w:tc>
        <w:tc>
          <w:tcPr>
            <w:tcW w:w="960" w:type="dxa"/>
            <w:noWrap/>
            <w:hideMark/>
          </w:tcPr>
          <w:p w14:paraId="41DE4CA4"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Yes</w:t>
            </w:r>
          </w:p>
        </w:tc>
        <w:tc>
          <w:tcPr>
            <w:tcW w:w="960" w:type="dxa"/>
            <w:noWrap/>
            <w:hideMark/>
          </w:tcPr>
          <w:p w14:paraId="082F11AA" w14:textId="77777777" w:rsidR="006666EF" w:rsidRPr="004779B6" w:rsidRDefault="006666EF" w:rsidP="004779B6">
            <w:pPr>
              <w:jc w:val="both"/>
              <w:rPr>
                <w:rFonts w:asciiTheme="majorHAnsi" w:hAnsiTheme="majorHAnsi" w:cstheme="majorHAnsi"/>
              </w:rPr>
            </w:pPr>
            <w:r w:rsidRPr="004779B6">
              <w:rPr>
                <w:rFonts w:asciiTheme="majorHAnsi" w:hAnsiTheme="majorHAnsi" w:cstheme="majorHAnsi"/>
              </w:rPr>
              <w:t>Yes</w:t>
            </w:r>
          </w:p>
        </w:tc>
      </w:tr>
    </w:tbl>
    <w:p w14:paraId="4711A37E" w14:textId="70B91D47" w:rsidR="006666EF" w:rsidRPr="004779B6" w:rsidRDefault="006666EF" w:rsidP="004779B6">
      <w:pPr>
        <w:jc w:val="both"/>
        <w:rPr>
          <w:rFonts w:asciiTheme="majorHAnsi" w:hAnsiTheme="majorHAnsi" w:cstheme="majorHAnsi"/>
        </w:rPr>
      </w:pPr>
      <w:r w:rsidRPr="004779B6">
        <w:rPr>
          <w:rFonts w:asciiTheme="majorHAnsi" w:hAnsiTheme="majorHAnsi" w:cstheme="majorHAnsi"/>
        </w:rPr>
        <w:t>Source: Author’s Own Compilation</w:t>
      </w:r>
    </w:p>
    <w:p w14:paraId="4CD6843D" w14:textId="2DB749FE" w:rsidR="00D60C63" w:rsidRPr="004779B6" w:rsidRDefault="00D60C63" w:rsidP="004779B6">
      <w:pPr>
        <w:pStyle w:val="ListParagraph"/>
        <w:numPr>
          <w:ilvl w:val="0"/>
          <w:numId w:val="10"/>
        </w:numPr>
        <w:jc w:val="both"/>
        <w:rPr>
          <w:rFonts w:asciiTheme="majorHAnsi" w:hAnsiTheme="majorHAnsi" w:cstheme="majorHAnsi"/>
        </w:rPr>
      </w:pPr>
      <w:r w:rsidRPr="004779B6">
        <w:rPr>
          <w:rFonts w:asciiTheme="majorHAnsi" w:hAnsiTheme="majorHAnsi" w:cstheme="majorHAnsi"/>
        </w:rPr>
        <w:t>*Significant at 1% level, Significant at 5% level</w:t>
      </w:r>
    </w:p>
    <w:p w14:paraId="6862DBDB" w14:textId="6B9E503D" w:rsidR="00D60C63" w:rsidRPr="004779B6" w:rsidRDefault="00D60C63" w:rsidP="004779B6">
      <w:pPr>
        <w:pStyle w:val="ListParagraph"/>
        <w:numPr>
          <w:ilvl w:val="0"/>
          <w:numId w:val="10"/>
        </w:numPr>
        <w:jc w:val="both"/>
        <w:rPr>
          <w:rFonts w:asciiTheme="majorHAnsi" w:hAnsiTheme="majorHAnsi" w:cstheme="majorHAnsi"/>
        </w:rPr>
      </w:pPr>
      <w:r w:rsidRPr="004779B6">
        <w:rPr>
          <w:rFonts w:asciiTheme="majorHAnsi" w:hAnsiTheme="majorHAnsi" w:cstheme="majorHAnsi"/>
        </w:rPr>
        <w:t>CO₂ emissions are the dependent variable.</w:t>
      </w:r>
    </w:p>
    <w:p w14:paraId="1B9E077C" w14:textId="6439A332" w:rsidR="00D60C63" w:rsidRPr="004779B6" w:rsidRDefault="00D60C63" w:rsidP="004779B6">
      <w:pPr>
        <w:pStyle w:val="ListParagraph"/>
        <w:numPr>
          <w:ilvl w:val="0"/>
          <w:numId w:val="10"/>
        </w:numPr>
        <w:jc w:val="both"/>
        <w:rPr>
          <w:rFonts w:asciiTheme="majorHAnsi" w:hAnsiTheme="majorHAnsi" w:cstheme="majorHAnsi"/>
        </w:rPr>
      </w:pPr>
      <w:r w:rsidRPr="004779B6">
        <w:rPr>
          <w:rFonts w:asciiTheme="majorHAnsi" w:hAnsiTheme="majorHAnsi" w:cstheme="majorHAnsi"/>
        </w:rPr>
        <w:t>GG = Green Growth</w:t>
      </w:r>
    </w:p>
    <w:p w14:paraId="3CF7DBA1" w14:textId="1891D579" w:rsidR="00D60C63" w:rsidRPr="004779B6" w:rsidRDefault="00D60C63" w:rsidP="004779B6">
      <w:pPr>
        <w:jc w:val="both"/>
        <w:rPr>
          <w:rFonts w:asciiTheme="majorHAnsi" w:hAnsiTheme="majorHAnsi" w:cstheme="majorHAnsi"/>
        </w:rPr>
      </w:pPr>
      <w:r w:rsidRPr="004779B6">
        <w:rPr>
          <w:rFonts w:asciiTheme="majorHAnsi" w:hAnsiTheme="majorHAnsi" w:cstheme="majorHAnsi"/>
        </w:rPr>
        <w:t>All models confirm the presence of cointegration, supporting long-run relationships.</w:t>
      </w:r>
    </w:p>
    <w:p w14:paraId="58BB5D8D" w14:textId="5303343D" w:rsidR="00E573E2" w:rsidRPr="004779B6" w:rsidRDefault="00E573E2" w:rsidP="004779B6">
      <w:pPr>
        <w:jc w:val="both"/>
        <w:rPr>
          <w:rFonts w:asciiTheme="majorHAnsi" w:hAnsiTheme="majorHAnsi" w:cstheme="majorHAnsi"/>
        </w:rPr>
      </w:pPr>
      <w:r w:rsidRPr="004779B6">
        <w:rPr>
          <w:rFonts w:asciiTheme="majorHAnsi" w:hAnsiTheme="majorHAnsi" w:cstheme="majorHAnsi"/>
        </w:rPr>
        <w:t xml:space="preserve">The results affirm that pursuing environmentally conscious economic development is key to minimizing ecological harm. This dual advantage of </w:t>
      </w:r>
      <w:r w:rsidR="00D6706E" w:rsidRPr="004779B6">
        <w:rPr>
          <w:rFonts w:asciiTheme="majorHAnsi" w:hAnsiTheme="majorHAnsi" w:cstheme="majorHAnsi"/>
        </w:rPr>
        <w:t>supporting</w:t>
      </w:r>
      <w:r w:rsidRPr="004779B6">
        <w:rPr>
          <w:rFonts w:asciiTheme="majorHAnsi" w:hAnsiTheme="majorHAnsi" w:cstheme="majorHAnsi"/>
        </w:rPr>
        <w:t xml:space="preserve"> economic expansion while promoting environmental protection makes green growth </w:t>
      </w:r>
      <w:r w:rsidR="00D6706E" w:rsidRPr="004779B6">
        <w:rPr>
          <w:rFonts w:asciiTheme="majorHAnsi" w:hAnsiTheme="majorHAnsi" w:cstheme="majorHAnsi"/>
        </w:rPr>
        <w:t xml:space="preserve">critical for </w:t>
      </w:r>
      <w:r w:rsidRPr="004779B6">
        <w:rPr>
          <w:rFonts w:asciiTheme="majorHAnsi" w:hAnsiTheme="majorHAnsi" w:cstheme="majorHAnsi"/>
        </w:rPr>
        <w:t>sustainable development. In Kenya’s context, integrating green growth principles is not only a viable policy pathway but also one that promises far-reaching benefits for both the economy and society.</w:t>
      </w:r>
    </w:p>
    <w:p w14:paraId="636B8B9D" w14:textId="12BBC404" w:rsidR="00E573E2" w:rsidRPr="004779B6" w:rsidRDefault="00E573E2" w:rsidP="004779B6">
      <w:pPr>
        <w:jc w:val="both"/>
        <w:rPr>
          <w:rFonts w:asciiTheme="majorHAnsi" w:hAnsiTheme="majorHAnsi" w:cstheme="majorHAnsi"/>
        </w:rPr>
      </w:pPr>
      <w:r w:rsidRPr="004779B6">
        <w:rPr>
          <w:rFonts w:asciiTheme="majorHAnsi" w:hAnsiTheme="majorHAnsi" w:cstheme="majorHAnsi"/>
        </w:rPr>
        <w:t>These findings echo those of earlier studies, such as those by Zhao et al. (2023) and Hao et al. (2021), which similarly emphasize the environmental benefits of green growth strategies. While those studies provide guidance for countries like Pakistan, Kenya has already made commendable strides in cutting its carbon footprint. To deepen its impact, however, Kenya must further align its development strategies with a green growth framework (</w:t>
      </w:r>
      <w:proofErr w:type="spellStart"/>
      <w:r w:rsidRPr="004779B6">
        <w:rPr>
          <w:rFonts w:asciiTheme="majorHAnsi" w:hAnsiTheme="majorHAnsi" w:cstheme="majorHAnsi"/>
        </w:rPr>
        <w:t>Samoita</w:t>
      </w:r>
      <w:proofErr w:type="spellEnd"/>
      <w:r w:rsidRPr="004779B6">
        <w:rPr>
          <w:rFonts w:asciiTheme="majorHAnsi" w:hAnsiTheme="majorHAnsi" w:cstheme="majorHAnsi"/>
        </w:rPr>
        <w:t xml:space="preserve"> et al., 2024).</w:t>
      </w:r>
    </w:p>
    <w:p w14:paraId="08413FB7" w14:textId="3132706D" w:rsidR="00E573E2" w:rsidRPr="004779B6" w:rsidRDefault="00E573E2" w:rsidP="004779B6">
      <w:pPr>
        <w:jc w:val="both"/>
        <w:rPr>
          <w:rFonts w:asciiTheme="majorHAnsi" w:hAnsiTheme="majorHAnsi" w:cstheme="majorHAnsi"/>
        </w:rPr>
      </w:pPr>
      <w:r w:rsidRPr="004779B6">
        <w:rPr>
          <w:rFonts w:asciiTheme="majorHAnsi" w:hAnsiTheme="majorHAnsi" w:cstheme="majorHAnsi"/>
        </w:rPr>
        <w:t xml:space="preserve">Kenya’s renewable energy </w:t>
      </w:r>
      <w:r w:rsidR="000C3720" w:rsidRPr="004779B6">
        <w:rPr>
          <w:rFonts w:asciiTheme="majorHAnsi" w:hAnsiTheme="majorHAnsi" w:cstheme="majorHAnsi"/>
        </w:rPr>
        <w:t>has great potential</w:t>
      </w:r>
      <w:r w:rsidRPr="004779B6">
        <w:rPr>
          <w:rFonts w:asciiTheme="majorHAnsi" w:hAnsiTheme="majorHAnsi" w:cstheme="majorHAnsi"/>
        </w:rPr>
        <w:t>. The country’s solar photovoltaic (PV) potential is particularly striking</w:t>
      </w:r>
      <w:r w:rsidR="000C3720" w:rsidRPr="004779B6">
        <w:rPr>
          <w:rFonts w:asciiTheme="majorHAnsi" w:hAnsiTheme="majorHAnsi" w:cstheme="majorHAnsi"/>
        </w:rPr>
        <w:t xml:space="preserve"> where </w:t>
      </w:r>
      <w:r w:rsidRPr="004779B6">
        <w:rPr>
          <w:rFonts w:asciiTheme="majorHAnsi" w:hAnsiTheme="majorHAnsi" w:cstheme="majorHAnsi"/>
        </w:rPr>
        <w:t xml:space="preserve">estimates </w:t>
      </w:r>
      <w:r w:rsidR="000C3720" w:rsidRPr="004779B6">
        <w:rPr>
          <w:rFonts w:asciiTheme="majorHAnsi" w:hAnsiTheme="majorHAnsi" w:cstheme="majorHAnsi"/>
        </w:rPr>
        <w:t>indicate</w:t>
      </w:r>
      <w:r w:rsidRPr="004779B6">
        <w:rPr>
          <w:rFonts w:asciiTheme="majorHAnsi" w:hAnsiTheme="majorHAnsi" w:cstheme="majorHAnsi"/>
        </w:rPr>
        <w:t xml:space="preserve"> that fulfilling the entire national electricity demand would require less than 0.1% of Kenya’s total land area. For instance, Laikipia County alone possesses approximately 125 square kilometers of highly suitable land for utility-scale PV installations. This area could generate around 6,250 MW of power</w:t>
      </w:r>
      <w:r w:rsidR="000C3720" w:rsidRPr="004779B6">
        <w:rPr>
          <w:rFonts w:asciiTheme="majorHAnsi" w:hAnsiTheme="majorHAnsi" w:cstheme="majorHAnsi"/>
        </w:rPr>
        <w:t xml:space="preserve">, </w:t>
      </w:r>
      <w:r w:rsidRPr="004779B6">
        <w:rPr>
          <w:rFonts w:asciiTheme="majorHAnsi" w:hAnsiTheme="majorHAnsi" w:cstheme="majorHAnsi"/>
        </w:rPr>
        <w:t>more than double Kenya’s current installed electricity capacity of roughly 2,651 MW (PVKnowhow.com, 2025).</w:t>
      </w:r>
    </w:p>
    <w:p w14:paraId="1386F4EA" w14:textId="32C3E682" w:rsidR="00E573E2" w:rsidRPr="004779B6" w:rsidRDefault="00E573E2" w:rsidP="004779B6">
      <w:pPr>
        <w:jc w:val="both"/>
        <w:rPr>
          <w:rFonts w:asciiTheme="majorHAnsi" w:hAnsiTheme="majorHAnsi" w:cstheme="majorHAnsi"/>
        </w:rPr>
      </w:pPr>
      <w:r w:rsidRPr="004779B6">
        <w:rPr>
          <w:rFonts w:asciiTheme="majorHAnsi" w:hAnsiTheme="majorHAnsi" w:cstheme="majorHAnsi"/>
        </w:rPr>
        <w:t xml:space="preserve">Kenya also enjoys strong wind energy potential, especially in regions like Turkana and </w:t>
      </w:r>
      <w:proofErr w:type="spellStart"/>
      <w:r w:rsidRPr="004779B6">
        <w:rPr>
          <w:rFonts w:asciiTheme="majorHAnsi" w:hAnsiTheme="majorHAnsi" w:cstheme="majorHAnsi"/>
        </w:rPr>
        <w:t>Marsabit</w:t>
      </w:r>
      <w:proofErr w:type="spellEnd"/>
      <w:r w:rsidRPr="004779B6">
        <w:rPr>
          <w:rFonts w:asciiTheme="majorHAnsi" w:hAnsiTheme="majorHAnsi" w:cstheme="majorHAnsi"/>
        </w:rPr>
        <w:t>, where consistent wind speeds above 7 m/s make them optimal sites for wind farm development. Despite this rich resource base, the current combined solar and wind capacity stands at just over 1,500 MW. While this accounts for a growing share of Kenya’s energy mix, renewable energy makes up around 57% of the total installed capacity</w:t>
      </w:r>
      <w:r w:rsidR="006666EF" w:rsidRPr="004779B6">
        <w:rPr>
          <w:rFonts w:asciiTheme="majorHAnsi" w:hAnsiTheme="majorHAnsi" w:cstheme="majorHAnsi"/>
        </w:rPr>
        <w:t xml:space="preserve">, </w:t>
      </w:r>
      <w:r w:rsidRPr="004779B6">
        <w:rPr>
          <w:rFonts w:asciiTheme="majorHAnsi" w:hAnsiTheme="majorHAnsi" w:cstheme="majorHAnsi"/>
        </w:rPr>
        <w:t>a promising start, yet one with significant room for expansion.</w:t>
      </w:r>
    </w:p>
    <w:p w14:paraId="4C7415A9" w14:textId="3B6E6DA7" w:rsidR="00E573E2" w:rsidRPr="004779B6" w:rsidRDefault="00E573E2" w:rsidP="004779B6">
      <w:pPr>
        <w:jc w:val="both"/>
        <w:rPr>
          <w:rFonts w:asciiTheme="majorHAnsi" w:hAnsiTheme="majorHAnsi" w:cstheme="majorHAnsi"/>
        </w:rPr>
      </w:pPr>
      <w:r w:rsidRPr="004779B6">
        <w:rPr>
          <w:rFonts w:asciiTheme="majorHAnsi" w:hAnsiTheme="majorHAnsi" w:cstheme="majorHAnsi"/>
        </w:rPr>
        <w:t>Complementing its clean energy initiatives, Kenya has embraced large-scale reforestation efforts, such as the Green Belt Movement, as part of a broader nature-based climate strategy. These initiatives help preserve biodiversity, improve ecosystem health, create green jobs, and enhance the country’s resilience to climate change.</w:t>
      </w:r>
    </w:p>
    <w:p w14:paraId="72D482EC" w14:textId="77777777" w:rsidR="009976E6" w:rsidRDefault="009976E6" w:rsidP="004779B6">
      <w:pPr>
        <w:jc w:val="both"/>
        <w:rPr>
          <w:rFonts w:asciiTheme="majorHAnsi" w:hAnsiTheme="majorHAnsi" w:cstheme="majorHAnsi"/>
          <w:b/>
          <w:bCs/>
        </w:rPr>
      </w:pPr>
    </w:p>
    <w:p w14:paraId="4EE50FB6" w14:textId="3C6EE8CA" w:rsidR="00AD5CB0" w:rsidRPr="004779B6" w:rsidRDefault="009976E6" w:rsidP="004779B6">
      <w:pPr>
        <w:jc w:val="both"/>
        <w:rPr>
          <w:rFonts w:asciiTheme="majorHAnsi" w:hAnsiTheme="majorHAnsi" w:cstheme="majorHAnsi"/>
        </w:rPr>
      </w:pPr>
      <w:r>
        <w:rPr>
          <w:rFonts w:asciiTheme="majorHAnsi" w:hAnsiTheme="majorHAnsi" w:cstheme="majorHAnsi"/>
          <w:b/>
          <w:bCs/>
        </w:rPr>
        <w:lastRenderedPageBreak/>
        <w:t xml:space="preserve">Findings and </w:t>
      </w:r>
      <w:r w:rsidR="00AD5CB0" w:rsidRPr="004779B6">
        <w:rPr>
          <w:rFonts w:asciiTheme="majorHAnsi" w:hAnsiTheme="majorHAnsi" w:cstheme="majorHAnsi"/>
          <w:b/>
          <w:bCs/>
        </w:rPr>
        <w:t>Analysis</w:t>
      </w:r>
    </w:p>
    <w:p w14:paraId="7E668873" w14:textId="1ACED438" w:rsidR="00AD5CB0" w:rsidRPr="004779B6" w:rsidRDefault="00AD5CB0" w:rsidP="004779B6">
      <w:pPr>
        <w:jc w:val="both"/>
        <w:rPr>
          <w:rFonts w:asciiTheme="majorHAnsi" w:hAnsiTheme="majorHAnsi" w:cstheme="majorHAnsi"/>
        </w:rPr>
      </w:pPr>
      <w:r w:rsidRPr="004779B6">
        <w:rPr>
          <w:rFonts w:asciiTheme="majorHAnsi" w:hAnsiTheme="majorHAnsi" w:cstheme="majorHAnsi"/>
        </w:rPr>
        <w:t xml:space="preserve">In Model I, the analysis reveals a positive linkage between green innovation (GIN) and carbon dioxide (CO₂) emissions. Specifically, a 1% rise in GIN corresponds to a 0.15% increase in CO₂ emissions, with the coefficient being statistically significant at the 10% level. This aligns with findings from Lin and Ma (2022) and </w:t>
      </w:r>
      <w:proofErr w:type="spellStart"/>
      <w:r w:rsidRPr="004779B6">
        <w:rPr>
          <w:rFonts w:asciiTheme="majorHAnsi" w:hAnsiTheme="majorHAnsi" w:cstheme="majorHAnsi"/>
        </w:rPr>
        <w:t>Shobande</w:t>
      </w:r>
      <w:proofErr w:type="spellEnd"/>
      <w:r w:rsidRPr="004779B6">
        <w:rPr>
          <w:rFonts w:asciiTheme="majorHAnsi" w:hAnsiTheme="majorHAnsi" w:cstheme="majorHAnsi"/>
        </w:rPr>
        <w:t xml:space="preserve"> et al. (2023), who </w:t>
      </w:r>
      <w:r w:rsidR="00E475A2" w:rsidRPr="004779B6">
        <w:rPr>
          <w:rFonts w:asciiTheme="majorHAnsi" w:hAnsiTheme="majorHAnsi" w:cstheme="majorHAnsi"/>
        </w:rPr>
        <w:t>stated</w:t>
      </w:r>
      <w:r w:rsidRPr="004779B6">
        <w:rPr>
          <w:rFonts w:asciiTheme="majorHAnsi" w:hAnsiTheme="majorHAnsi" w:cstheme="majorHAnsi"/>
        </w:rPr>
        <w:t xml:space="preserve"> that the effectiveness of green technologies in reducing emissions varies across nations. For many developing countries, such as Kenya, green innovations have not yet translated into significant emission reductions. Similarly, </w:t>
      </w:r>
      <w:proofErr w:type="spellStart"/>
      <w:r w:rsidRPr="004779B6">
        <w:rPr>
          <w:rFonts w:asciiTheme="majorHAnsi" w:hAnsiTheme="majorHAnsi" w:cstheme="majorHAnsi"/>
        </w:rPr>
        <w:t>Weina</w:t>
      </w:r>
      <w:proofErr w:type="spellEnd"/>
      <w:r w:rsidRPr="004779B6">
        <w:rPr>
          <w:rFonts w:asciiTheme="majorHAnsi" w:hAnsiTheme="majorHAnsi" w:cstheme="majorHAnsi"/>
        </w:rPr>
        <w:t xml:space="preserve"> et al. (2016) reported that while eco-innovations in Italy contribute to environmental productivity, they do not result in substantial decreases in CO₂ emissions.</w:t>
      </w:r>
    </w:p>
    <w:p w14:paraId="6D40C6DE" w14:textId="5E16CC8F" w:rsidR="00A74AA0" w:rsidRPr="004779B6" w:rsidRDefault="00A74AA0" w:rsidP="004779B6">
      <w:pPr>
        <w:jc w:val="both"/>
        <w:rPr>
          <w:rFonts w:asciiTheme="majorHAnsi" w:hAnsiTheme="majorHAnsi" w:cstheme="majorHAnsi"/>
          <w:b/>
          <w:bCs/>
        </w:rPr>
      </w:pPr>
      <w:r w:rsidRPr="004779B6">
        <w:rPr>
          <w:rFonts w:asciiTheme="majorHAnsi" w:hAnsiTheme="majorHAnsi" w:cstheme="majorHAnsi"/>
          <w:b/>
          <w:bCs/>
        </w:rPr>
        <w:t xml:space="preserve">Table </w:t>
      </w:r>
      <w:r w:rsidR="008560AC" w:rsidRPr="004779B6">
        <w:rPr>
          <w:rFonts w:asciiTheme="majorHAnsi" w:hAnsiTheme="majorHAnsi" w:cstheme="majorHAnsi"/>
          <w:b/>
          <w:bCs/>
        </w:rPr>
        <w:t>7</w:t>
      </w:r>
      <w:r w:rsidRPr="004779B6">
        <w:rPr>
          <w:rFonts w:asciiTheme="majorHAnsi" w:hAnsiTheme="majorHAnsi" w:cstheme="majorHAnsi"/>
          <w:b/>
          <w:bCs/>
        </w:rPr>
        <w:t>: Long-Run Coefficients from Augmented ARDL Models</w:t>
      </w:r>
    </w:p>
    <w:tbl>
      <w:tblPr>
        <w:tblW w:w="6293" w:type="dxa"/>
        <w:tblLook w:val="04A0" w:firstRow="1" w:lastRow="0" w:firstColumn="1" w:lastColumn="0" w:noHBand="0" w:noVBand="1"/>
      </w:tblPr>
      <w:tblGrid>
        <w:gridCol w:w="2113"/>
        <w:gridCol w:w="1045"/>
        <w:gridCol w:w="1045"/>
        <w:gridCol w:w="1045"/>
        <w:gridCol w:w="1045"/>
      </w:tblGrid>
      <w:tr w:rsidR="00A74AA0" w:rsidRPr="004779B6" w14:paraId="769CA017" w14:textId="77777777" w:rsidTr="00A545CE">
        <w:trPr>
          <w:trHeight w:val="300"/>
        </w:trPr>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96AA"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Variable</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23D2FCC2"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703761D6"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17B133E6"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III</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0420BA6D"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IV</w:t>
            </w:r>
          </w:p>
        </w:tc>
      </w:tr>
      <w:tr w:rsidR="00A74AA0" w:rsidRPr="004779B6" w14:paraId="74580F05"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71B690E8"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Green Growth (GG)</w:t>
            </w:r>
          </w:p>
        </w:tc>
        <w:tc>
          <w:tcPr>
            <w:tcW w:w="1045" w:type="dxa"/>
            <w:tcBorders>
              <w:top w:val="nil"/>
              <w:left w:val="nil"/>
              <w:bottom w:val="single" w:sz="4" w:space="0" w:color="auto"/>
              <w:right w:val="single" w:sz="4" w:space="0" w:color="auto"/>
            </w:tcBorders>
            <w:shd w:val="clear" w:color="auto" w:fill="auto"/>
            <w:noWrap/>
            <w:vAlign w:val="bottom"/>
            <w:hideMark/>
          </w:tcPr>
          <w:p w14:paraId="03E20C8C"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–0.52***</w:t>
            </w:r>
          </w:p>
        </w:tc>
        <w:tc>
          <w:tcPr>
            <w:tcW w:w="1045" w:type="dxa"/>
            <w:tcBorders>
              <w:top w:val="nil"/>
              <w:left w:val="nil"/>
              <w:bottom w:val="single" w:sz="4" w:space="0" w:color="auto"/>
              <w:right w:val="single" w:sz="4" w:space="0" w:color="auto"/>
            </w:tcBorders>
            <w:shd w:val="clear" w:color="auto" w:fill="auto"/>
            <w:noWrap/>
            <w:vAlign w:val="bottom"/>
            <w:hideMark/>
          </w:tcPr>
          <w:p w14:paraId="1207F881"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c>
          <w:tcPr>
            <w:tcW w:w="1045" w:type="dxa"/>
            <w:tcBorders>
              <w:top w:val="nil"/>
              <w:left w:val="nil"/>
              <w:bottom w:val="single" w:sz="4" w:space="0" w:color="auto"/>
              <w:right w:val="single" w:sz="4" w:space="0" w:color="auto"/>
            </w:tcBorders>
            <w:shd w:val="clear" w:color="auto" w:fill="auto"/>
            <w:noWrap/>
            <w:vAlign w:val="bottom"/>
            <w:hideMark/>
          </w:tcPr>
          <w:p w14:paraId="56D535B1"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–0.19***</w:t>
            </w:r>
          </w:p>
        </w:tc>
        <w:tc>
          <w:tcPr>
            <w:tcW w:w="1045" w:type="dxa"/>
            <w:tcBorders>
              <w:top w:val="nil"/>
              <w:left w:val="nil"/>
              <w:bottom w:val="single" w:sz="4" w:space="0" w:color="auto"/>
              <w:right w:val="single" w:sz="4" w:space="0" w:color="auto"/>
            </w:tcBorders>
            <w:shd w:val="clear" w:color="auto" w:fill="auto"/>
            <w:noWrap/>
            <w:vAlign w:val="bottom"/>
            <w:hideMark/>
          </w:tcPr>
          <w:p w14:paraId="4C79B66B"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r>
      <w:tr w:rsidR="00A74AA0" w:rsidRPr="004779B6" w14:paraId="4DF57F17"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71451F16"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Green Innovation (GIN)</w:t>
            </w:r>
          </w:p>
        </w:tc>
        <w:tc>
          <w:tcPr>
            <w:tcW w:w="1045" w:type="dxa"/>
            <w:tcBorders>
              <w:top w:val="nil"/>
              <w:left w:val="nil"/>
              <w:bottom w:val="single" w:sz="4" w:space="0" w:color="auto"/>
              <w:right w:val="single" w:sz="4" w:space="0" w:color="auto"/>
            </w:tcBorders>
            <w:shd w:val="clear" w:color="auto" w:fill="auto"/>
            <w:noWrap/>
            <w:vAlign w:val="bottom"/>
            <w:hideMark/>
          </w:tcPr>
          <w:p w14:paraId="03C67AF8"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+0.15*</w:t>
            </w:r>
          </w:p>
        </w:tc>
        <w:tc>
          <w:tcPr>
            <w:tcW w:w="1045" w:type="dxa"/>
            <w:tcBorders>
              <w:top w:val="nil"/>
              <w:left w:val="nil"/>
              <w:bottom w:val="single" w:sz="4" w:space="0" w:color="auto"/>
              <w:right w:val="single" w:sz="4" w:space="0" w:color="auto"/>
            </w:tcBorders>
            <w:shd w:val="clear" w:color="auto" w:fill="auto"/>
            <w:noWrap/>
            <w:vAlign w:val="bottom"/>
            <w:hideMark/>
          </w:tcPr>
          <w:p w14:paraId="706825D4"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–0.02</w:t>
            </w:r>
          </w:p>
        </w:tc>
        <w:tc>
          <w:tcPr>
            <w:tcW w:w="1045" w:type="dxa"/>
            <w:tcBorders>
              <w:top w:val="nil"/>
              <w:left w:val="nil"/>
              <w:bottom w:val="single" w:sz="4" w:space="0" w:color="auto"/>
              <w:right w:val="single" w:sz="4" w:space="0" w:color="auto"/>
            </w:tcBorders>
            <w:shd w:val="clear" w:color="auto" w:fill="auto"/>
            <w:noWrap/>
            <w:vAlign w:val="bottom"/>
            <w:hideMark/>
          </w:tcPr>
          <w:p w14:paraId="66801685"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w:t>
            </w:r>
          </w:p>
        </w:tc>
        <w:tc>
          <w:tcPr>
            <w:tcW w:w="1045" w:type="dxa"/>
            <w:tcBorders>
              <w:top w:val="nil"/>
              <w:left w:val="nil"/>
              <w:bottom w:val="single" w:sz="4" w:space="0" w:color="auto"/>
              <w:right w:val="single" w:sz="4" w:space="0" w:color="auto"/>
            </w:tcBorders>
            <w:shd w:val="clear" w:color="auto" w:fill="auto"/>
            <w:noWrap/>
            <w:vAlign w:val="bottom"/>
            <w:hideMark/>
          </w:tcPr>
          <w:p w14:paraId="5AECEAB8"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–0.04</w:t>
            </w:r>
          </w:p>
        </w:tc>
      </w:tr>
      <w:tr w:rsidR="00A74AA0" w:rsidRPr="004779B6" w14:paraId="72646929"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5E1984EC"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ICT</w:t>
            </w:r>
          </w:p>
        </w:tc>
        <w:tc>
          <w:tcPr>
            <w:tcW w:w="1045" w:type="dxa"/>
            <w:tcBorders>
              <w:top w:val="nil"/>
              <w:left w:val="nil"/>
              <w:bottom w:val="single" w:sz="4" w:space="0" w:color="auto"/>
              <w:right w:val="single" w:sz="4" w:space="0" w:color="auto"/>
            </w:tcBorders>
            <w:shd w:val="clear" w:color="auto" w:fill="auto"/>
            <w:noWrap/>
            <w:vAlign w:val="bottom"/>
            <w:hideMark/>
          </w:tcPr>
          <w:p w14:paraId="140D3D56"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+0.06***</w:t>
            </w:r>
          </w:p>
        </w:tc>
        <w:tc>
          <w:tcPr>
            <w:tcW w:w="1045" w:type="dxa"/>
            <w:tcBorders>
              <w:top w:val="nil"/>
              <w:left w:val="nil"/>
              <w:bottom w:val="single" w:sz="4" w:space="0" w:color="auto"/>
              <w:right w:val="single" w:sz="4" w:space="0" w:color="auto"/>
            </w:tcBorders>
            <w:shd w:val="clear" w:color="auto" w:fill="auto"/>
            <w:noWrap/>
            <w:vAlign w:val="bottom"/>
            <w:hideMark/>
          </w:tcPr>
          <w:p w14:paraId="5AF6B96C"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c>
          <w:tcPr>
            <w:tcW w:w="1045" w:type="dxa"/>
            <w:tcBorders>
              <w:top w:val="nil"/>
              <w:left w:val="nil"/>
              <w:bottom w:val="single" w:sz="4" w:space="0" w:color="auto"/>
              <w:right w:val="single" w:sz="4" w:space="0" w:color="auto"/>
            </w:tcBorders>
            <w:shd w:val="clear" w:color="auto" w:fill="auto"/>
            <w:noWrap/>
            <w:vAlign w:val="bottom"/>
            <w:hideMark/>
          </w:tcPr>
          <w:p w14:paraId="46345261"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+0.10***</w:t>
            </w:r>
          </w:p>
        </w:tc>
        <w:tc>
          <w:tcPr>
            <w:tcW w:w="1045" w:type="dxa"/>
            <w:tcBorders>
              <w:top w:val="nil"/>
              <w:left w:val="nil"/>
              <w:bottom w:val="single" w:sz="4" w:space="0" w:color="auto"/>
              <w:right w:val="single" w:sz="4" w:space="0" w:color="auto"/>
            </w:tcBorders>
            <w:shd w:val="clear" w:color="auto" w:fill="auto"/>
            <w:noWrap/>
            <w:vAlign w:val="bottom"/>
            <w:hideMark/>
          </w:tcPr>
          <w:p w14:paraId="60492D86"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+0.12***</w:t>
            </w:r>
          </w:p>
        </w:tc>
      </w:tr>
      <w:tr w:rsidR="00A74AA0" w:rsidRPr="004779B6" w14:paraId="5BD8F0F4"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112330ED"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Trade Openness (TO)</w:t>
            </w:r>
          </w:p>
        </w:tc>
        <w:tc>
          <w:tcPr>
            <w:tcW w:w="1045" w:type="dxa"/>
            <w:tcBorders>
              <w:top w:val="nil"/>
              <w:left w:val="nil"/>
              <w:bottom w:val="single" w:sz="4" w:space="0" w:color="auto"/>
              <w:right w:val="single" w:sz="4" w:space="0" w:color="auto"/>
            </w:tcBorders>
            <w:shd w:val="clear" w:color="auto" w:fill="auto"/>
            <w:noWrap/>
            <w:vAlign w:val="bottom"/>
            <w:hideMark/>
          </w:tcPr>
          <w:p w14:paraId="0E189E49"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–0.11**</w:t>
            </w:r>
          </w:p>
        </w:tc>
        <w:tc>
          <w:tcPr>
            <w:tcW w:w="1045" w:type="dxa"/>
            <w:tcBorders>
              <w:top w:val="nil"/>
              <w:left w:val="nil"/>
              <w:bottom w:val="single" w:sz="4" w:space="0" w:color="auto"/>
              <w:right w:val="single" w:sz="4" w:space="0" w:color="auto"/>
            </w:tcBorders>
            <w:shd w:val="clear" w:color="auto" w:fill="auto"/>
            <w:noWrap/>
            <w:vAlign w:val="bottom"/>
            <w:hideMark/>
          </w:tcPr>
          <w:p w14:paraId="617D141C"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–0.14**</w:t>
            </w:r>
          </w:p>
        </w:tc>
        <w:tc>
          <w:tcPr>
            <w:tcW w:w="1045" w:type="dxa"/>
            <w:tcBorders>
              <w:top w:val="nil"/>
              <w:left w:val="nil"/>
              <w:bottom w:val="single" w:sz="4" w:space="0" w:color="auto"/>
              <w:right w:val="single" w:sz="4" w:space="0" w:color="auto"/>
            </w:tcBorders>
            <w:shd w:val="clear" w:color="auto" w:fill="auto"/>
            <w:noWrap/>
            <w:vAlign w:val="bottom"/>
            <w:hideMark/>
          </w:tcPr>
          <w:p w14:paraId="16795BDA"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–0.09*</w:t>
            </w:r>
          </w:p>
        </w:tc>
        <w:tc>
          <w:tcPr>
            <w:tcW w:w="1045" w:type="dxa"/>
            <w:tcBorders>
              <w:top w:val="nil"/>
              <w:left w:val="nil"/>
              <w:bottom w:val="single" w:sz="4" w:space="0" w:color="auto"/>
              <w:right w:val="single" w:sz="4" w:space="0" w:color="auto"/>
            </w:tcBorders>
            <w:shd w:val="clear" w:color="auto" w:fill="auto"/>
            <w:noWrap/>
            <w:vAlign w:val="bottom"/>
            <w:hideMark/>
          </w:tcPr>
          <w:p w14:paraId="48C58054"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–0.07*</w:t>
            </w:r>
          </w:p>
        </w:tc>
      </w:tr>
      <w:tr w:rsidR="00A74AA0" w:rsidRPr="004779B6" w14:paraId="2339725F"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2CA0A3B3"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 × ICT</w:t>
            </w:r>
          </w:p>
        </w:tc>
        <w:tc>
          <w:tcPr>
            <w:tcW w:w="1045" w:type="dxa"/>
            <w:tcBorders>
              <w:top w:val="nil"/>
              <w:left w:val="nil"/>
              <w:bottom w:val="single" w:sz="4" w:space="0" w:color="auto"/>
              <w:right w:val="single" w:sz="4" w:space="0" w:color="auto"/>
            </w:tcBorders>
            <w:shd w:val="clear" w:color="auto" w:fill="auto"/>
            <w:noWrap/>
            <w:vAlign w:val="bottom"/>
            <w:hideMark/>
          </w:tcPr>
          <w:p w14:paraId="29B4C273"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1045" w:type="dxa"/>
            <w:tcBorders>
              <w:top w:val="nil"/>
              <w:left w:val="nil"/>
              <w:bottom w:val="single" w:sz="4" w:space="0" w:color="auto"/>
              <w:right w:val="single" w:sz="4" w:space="0" w:color="auto"/>
            </w:tcBorders>
            <w:shd w:val="clear" w:color="auto" w:fill="auto"/>
            <w:noWrap/>
            <w:vAlign w:val="bottom"/>
            <w:hideMark/>
          </w:tcPr>
          <w:p w14:paraId="16948701"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w:t>
            </w:r>
          </w:p>
        </w:tc>
        <w:tc>
          <w:tcPr>
            <w:tcW w:w="1045" w:type="dxa"/>
            <w:tcBorders>
              <w:top w:val="nil"/>
              <w:left w:val="nil"/>
              <w:bottom w:val="single" w:sz="4" w:space="0" w:color="auto"/>
              <w:right w:val="single" w:sz="4" w:space="0" w:color="auto"/>
            </w:tcBorders>
            <w:shd w:val="clear" w:color="auto" w:fill="auto"/>
            <w:noWrap/>
            <w:vAlign w:val="bottom"/>
            <w:hideMark/>
          </w:tcPr>
          <w:p w14:paraId="5B0BE0F1"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1045" w:type="dxa"/>
            <w:tcBorders>
              <w:top w:val="nil"/>
              <w:left w:val="nil"/>
              <w:bottom w:val="single" w:sz="4" w:space="0" w:color="auto"/>
              <w:right w:val="single" w:sz="4" w:space="0" w:color="auto"/>
            </w:tcBorders>
            <w:shd w:val="clear" w:color="auto" w:fill="auto"/>
            <w:noWrap/>
            <w:vAlign w:val="bottom"/>
            <w:hideMark/>
          </w:tcPr>
          <w:p w14:paraId="71C16480"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+0.04***</w:t>
            </w:r>
          </w:p>
        </w:tc>
      </w:tr>
      <w:tr w:rsidR="00A74AA0" w:rsidRPr="004779B6" w14:paraId="26E1AD23" w14:textId="77777777" w:rsidTr="00A545C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6DE56154"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GIN × ICT</w:t>
            </w:r>
          </w:p>
        </w:tc>
        <w:tc>
          <w:tcPr>
            <w:tcW w:w="1045" w:type="dxa"/>
            <w:tcBorders>
              <w:top w:val="nil"/>
              <w:left w:val="nil"/>
              <w:bottom w:val="single" w:sz="4" w:space="0" w:color="auto"/>
              <w:right w:val="single" w:sz="4" w:space="0" w:color="auto"/>
            </w:tcBorders>
            <w:shd w:val="clear" w:color="auto" w:fill="auto"/>
            <w:noWrap/>
            <w:vAlign w:val="bottom"/>
            <w:hideMark/>
          </w:tcPr>
          <w:p w14:paraId="13D3C3E9"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1045" w:type="dxa"/>
            <w:tcBorders>
              <w:top w:val="nil"/>
              <w:left w:val="nil"/>
              <w:bottom w:val="single" w:sz="4" w:space="0" w:color="auto"/>
              <w:right w:val="single" w:sz="4" w:space="0" w:color="auto"/>
            </w:tcBorders>
            <w:shd w:val="clear" w:color="auto" w:fill="auto"/>
            <w:noWrap/>
            <w:vAlign w:val="bottom"/>
            <w:hideMark/>
          </w:tcPr>
          <w:p w14:paraId="3E0F86CE"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1045" w:type="dxa"/>
            <w:tcBorders>
              <w:top w:val="nil"/>
              <w:left w:val="nil"/>
              <w:bottom w:val="single" w:sz="4" w:space="0" w:color="auto"/>
              <w:right w:val="single" w:sz="4" w:space="0" w:color="auto"/>
            </w:tcBorders>
            <w:shd w:val="clear" w:color="auto" w:fill="auto"/>
            <w:noWrap/>
            <w:vAlign w:val="bottom"/>
            <w:hideMark/>
          </w:tcPr>
          <w:p w14:paraId="74B35969"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+0.02*</w:t>
            </w:r>
          </w:p>
        </w:tc>
        <w:tc>
          <w:tcPr>
            <w:tcW w:w="1045" w:type="dxa"/>
            <w:tcBorders>
              <w:top w:val="nil"/>
              <w:left w:val="nil"/>
              <w:bottom w:val="single" w:sz="4" w:space="0" w:color="auto"/>
              <w:right w:val="single" w:sz="4" w:space="0" w:color="auto"/>
            </w:tcBorders>
            <w:shd w:val="clear" w:color="auto" w:fill="auto"/>
            <w:noWrap/>
            <w:vAlign w:val="bottom"/>
            <w:hideMark/>
          </w:tcPr>
          <w:p w14:paraId="1F7A036A" w14:textId="77777777" w:rsidR="00A74AA0" w:rsidRPr="004779B6" w:rsidRDefault="00A74AA0"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r>
    </w:tbl>
    <w:p w14:paraId="578211C9" w14:textId="3C39BB3A" w:rsidR="00A74AA0" w:rsidRPr="004779B6" w:rsidRDefault="00A545CE" w:rsidP="009976E6">
      <w:pPr>
        <w:rPr>
          <w:rFonts w:asciiTheme="majorHAnsi" w:hAnsiTheme="majorHAnsi" w:cstheme="majorHAnsi"/>
        </w:rPr>
      </w:pPr>
      <w:r w:rsidRPr="004779B6">
        <w:rPr>
          <w:rStyle w:val="Strong"/>
          <w:rFonts w:asciiTheme="majorHAnsi" w:hAnsiTheme="majorHAnsi" w:cstheme="majorHAnsi"/>
        </w:rPr>
        <w:t>Significance levels:</w:t>
      </w:r>
      <w:r w:rsidRPr="004779B6">
        <w:rPr>
          <w:rFonts w:asciiTheme="majorHAnsi" w:hAnsiTheme="majorHAnsi" w:cstheme="majorHAnsi"/>
        </w:rPr>
        <w:br/>
        <w:t>***p &lt; 0.01, **p &lt; 0.05, *p &lt; 0.1</w:t>
      </w:r>
    </w:p>
    <w:p w14:paraId="59999436" w14:textId="6239434F" w:rsidR="00AD5CB0" w:rsidRPr="004779B6" w:rsidRDefault="00AD5CB0" w:rsidP="004779B6">
      <w:pPr>
        <w:jc w:val="both"/>
        <w:rPr>
          <w:rFonts w:asciiTheme="majorHAnsi" w:hAnsiTheme="majorHAnsi" w:cstheme="majorHAnsi"/>
        </w:rPr>
      </w:pPr>
      <w:r w:rsidRPr="004779B6">
        <w:rPr>
          <w:rFonts w:asciiTheme="majorHAnsi" w:hAnsiTheme="majorHAnsi" w:cstheme="majorHAnsi"/>
        </w:rPr>
        <w:t>However, when the interaction terms GG×LNICT and LNGIN×LNICT are introduced in subsequent models</w:t>
      </w:r>
      <w:r w:rsidR="008560AC" w:rsidRPr="004779B6">
        <w:rPr>
          <w:rFonts w:asciiTheme="majorHAnsi" w:hAnsiTheme="majorHAnsi" w:cstheme="majorHAnsi"/>
        </w:rPr>
        <w:t xml:space="preserve"> as shown in table 7 above</w:t>
      </w:r>
      <w:r w:rsidRPr="004779B6">
        <w:rPr>
          <w:rFonts w:asciiTheme="majorHAnsi" w:hAnsiTheme="majorHAnsi" w:cstheme="majorHAnsi"/>
        </w:rPr>
        <w:t>, GIN exhibits a negative association with CO₂ emissions, suggesting improved environmental outcomes. In these models, a 1% improvement in GIN leads to reductions in CO₂ emissions by 0.02%, 0.01%, and 0.4%, respectively. This trend may be attributed to the maturing green technology market, where higher levels of innovation are met with supportive policy environments and corporate buy-in. As governments and firms begin to appreciate the economic and ecological benefits of sustainable technologies, the pace of adoption increases, allowing green innovations to be commercialized and deployed rapidly, thereby contributing to environmental improvement.</w:t>
      </w:r>
    </w:p>
    <w:p w14:paraId="20ED1A79" w14:textId="69E8D8E8" w:rsidR="0090659A" w:rsidRPr="004779B6" w:rsidRDefault="0090659A" w:rsidP="004779B6">
      <w:pPr>
        <w:jc w:val="both"/>
        <w:rPr>
          <w:rFonts w:asciiTheme="majorHAnsi" w:hAnsiTheme="majorHAnsi" w:cstheme="majorHAnsi"/>
          <w:b/>
          <w:bCs/>
        </w:rPr>
      </w:pPr>
      <w:r w:rsidRPr="004779B6">
        <w:rPr>
          <w:rFonts w:asciiTheme="majorHAnsi" w:hAnsiTheme="majorHAnsi" w:cstheme="majorHAnsi"/>
          <w:b/>
          <w:bCs/>
        </w:rPr>
        <w:t>Table 8: Interaction Effects and Trade Openness – Long-Run ARDL Estimates</w:t>
      </w:r>
    </w:p>
    <w:tbl>
      <w:tblPr>
        <w:tblW w:w="5754" w:type="dxa"/>
        <w:tblLook w:val="04A0" w:firstRow="1" w:lastRow="0" w:firstColumn="1" w:lastColumn="0" w:noHBand="0" w:noVBand="1"/>
      </w:tblPr>
      <w:tblGrid>
        <w:gridCol w:w="1914"/>
        <w:gridCol w:w="1043"/>
        <w:gridCol w:w="1045"/>
        <w:gridCol w:w="1043"/>
        <w:gridCol w:w="1045"/>
      </w:tblGrid>
      <w:tr w:rsidR="0090659A" w:rsidRPr="004779B6" w14:paraId="07FFB152" w14:textId="77777777" w:rsidTr="0090659A">
        <w:trPr>
          <w:trHeight w:val="300"/>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F6BF"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Variable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99E1D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7ACB60"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D917E4"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763C9A"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IV</w:t>
            </w:r>
          </w:p>
        </w:tc>
      </w:tr>
      <w:tr w:rsidR="0090659A" w:rsidRPr="004779B6" w14:paraId="1803AB6C"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7742544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w:t>
            </w:r>
          </w:p>
        </w:tc>
        <w:tc>
          <w:tcPr>
            <w:tcW w:w="960" w:type="dxa"/>
            <w:tcBorders>
              <w:top w:val="nil"/>
              <w:left w:val="nil"/>
              <w:bottom w:val="single" w:sz="4" w:space="0" w:color="auto"/>
              <w:right w:val="single" w:sz="4" w:space="0" w:color="auto"/>
            </w:tcBorders>
            <w:shd w:val="clear" w:color="auto" w:fill="auto"/>
            <w:noWrap/>
            <w:vAlign w:val="bottom"/>
            <w:hideMark/>
          </w:tcPr>
          <w:p w14:paraId="46A9130C"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–0.52***</w:t>
            </w:r>
          </w:p>
        </w:tc>
        <w:tc>
          <w:tcPr>
            <w:tcW w:w="960" w:type="dxa"/>
            <w:tcBorders>
              <w:top w:val="nil"/>
              <w:left w:val="nil"/>
              <w:bottom w:val="single" w:sz="4" w:space="0" w:color="auto"/>
              <w:right w:val="single" w:sz="4" w:space="0" w:color="auto"/>
            </w:tcBorders>
            <w:shd w:val="clear" w:color="auto" w:fill="auto"/>
            <w:noWrap/>
            <w:vAlign w:val="bottom"/>
            <w:hideMark/>
          </w:tcPr>
          <w:p w14:paraId="5F4C7D9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c>
          <w:tcPr>
            <w:tcW w:w="960" w:type="dxa"/>
            <w:tcBorders>
              <w:top w:val="nil"/>
              <w:left w:val="nil"/>
              <w:bottom w:val="single" w:sz="4" w:space="0" w:color="auto"/>
              <w:right w:val="single" w:sz="4" w:space="0" w:color="auto"/>
            </w:tcBorders>
            <w:shd w:val="clear" w:color="auto" w:fill="auto"/>
            <w:noWrap/>
            <w:vAlign w:val="bottom"/>
            <w:hideMark/>
          </w:tcPr>
          <w:p w14:paraId="147BCA1A"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–0.19***</w:t>
            </w:r>
          </w:p>
        </w:tc>
        <w:tc>
          <w:tcPr>
            <w:tcW w:w="960" w:type="dxa"/>
            <w:tcBorders>
              <w:top w:val="nil"/>
              <w:left w:val="nil"/>
              <w:bottom w:val="single" w:sz="4" w:space="0" w:color="auto"/>
              <w:right w:val="single" w:sz="4" w:space="0" w:color="auto"/>
            </w:tcBorders>
            <w:shd w:val="clear" w:color="auto" w:fill="auto"/>
            <w:noWrap/>
            <w:vAlign w:val="bottom"/>
            <w:hideMark/>
          </w:tcPr>
          <w:p w14:paraId="6C0507A8"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r>
      <w:tr w:rsidR="0090659A" w:rsidRPr="004779B6" w14:paraId="5A306BB1"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5FD41D9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GIN</w:t>
            </w:r>
          </w:p>
        </w:tc>
        <w:tc>
          <w:tcPr>
            <w:tcW w:w="960" w:type="dxa"/>
            <w:tcBorders>
              <w:top w:val="nil"/>
              <w:left w:val="nil"/>
              <w:bottom w:val="single" w:sz="4" w:space="0" w:color="auto"/>
              <w:right w:val="single" w:sz="4" w:space="0" w:color="auto"/>
            </w:tcBorders>
            <w:shd w:val="clear" w:color="auto" w:fill="auto"/>
            <w:noWrap/>
            <w:vAlign w:val="bottom"/>
            <w:hideMark/>
          </w:tcPr>
          <w:p w14:paraId="677FC4A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+0.15*</w:t>
            </w:r>
          </w:p>
        </w:tc>
        <w:tc>
          <w:tcPr>
            <w:tcW w:w="960" w:type="dxa"/>
            <w:tcBorders>
              <w:top w:val="nil"/>
              <w:left w:val="nil"/>
              <w:bottom w:val="single" w:sz="4" w:space="0" w:color="auto"/>
              <w:right w:val="single" w:sz="4" w:space="0" w:color="auto"/>
            </w:tcBorders>
            <w:shd w:val="clear" w:color="auto" w:fill="auto"/>
            <w:noWrap/>
            <w:vAlign w:val="bottom"/>
            <w:hideMark/>
          </w:tcPr>
          <w:p w14:paraId="2BA9221A"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–0.02</w:t>
            </w:r>
          </w:p>
        </w:tc>
        <w:tc>
          <w:tcPr>
            <w:tcW w:w="960" w:type="dxa"/>
            <w:tcBorders>
              <w:top w:val="nil"/>
              <w:left w:val="nil"/>
              <w:bottom w:val="single" w:sz="4" w:space="0" w:color="auto"/>
              <w:right w:val="single" w:sz="4" w:space="0" w:color="auto"/>
            </w:tcBorders>
            <w:shd w:val="clear" w:color="auto" w:fill="auto"/>
            <w:noWrap/>
            <w:vAlign w:val="bottom"/>
            <w:hideMark/>
          </w:tcPr>
          <w:p w14:paraId="128DFF96"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w:t>
            </w:r>
          </w:p>
        </w:tc>
        <w:tc>
          <w:tcPr>
            <w:tcW w:w="960" w:type="dxa"/>
            <w:tcBorders>
              <w:top w:val="nil"/>
              <w:left w:val="nil"/>
              <w:bottom w:val="single" w:sz="4" w:space="0" w:color="auto"/>
              <w:right w:val="single" w:sz="4" w:space="0" w:color="auto"/>
            </w:tcBorders>
            <w:shd w:val="clear" w:color="auto" w:fill="auto"/>
            <w:noWrap/>
            <w:vAlign w:val="bottom"/>
            <w:hideMark/>
          </w:tcPr>
          <w:p w14:paraId="6C92E38C"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–0.40</w:t>
            </w:r>
          </w:p>
        </w:tc>
      </w:tr>
      <w:tr w:rsidR="0090659A" w:rsidRPr="004779B6" w14:paraId="0C73E47F"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0EA04CA1"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ICT</w:t>
            </w:r>
          </w:p>
        </w:tc>
        <w:tc>
          <w:tcPr>
            <w:tcW w:w="960" w:type="dxa"/>
            <w:tcBorders>
              <w:top w:val="nil"/>
              <w:left w:val="nil"/>
              <w:bottom w:val="single" w:sz="4" w:space="0" w:color="auto"/>
              <w:right w:val="single" w:sz="4" w:space="0" w:color="auto"/>
            </w:tcBorders>
            <w:shd w:val="clear" w:color="auto" w:fill="auto"/>
            <w:noWrap/>
            <w:vAlign w:val="bottom"/>
            <w:hideMark/>
          </w:tcPr>
          <w:p w14:paraId="36A88279"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+0.06***</w:t>
            </w:r>
          </w:p>
        </w:tc>
        <w:tc>
          <w:tcPr>
            <w:tcW w:w="960" w:type="dxa"/>
            <w:tcBorders>
              <w:top w:val="nil"/>
              <w:left w:val="nil"/>
              <w:bottom w:val="single" w:sz="4" w:space="0" w:color="auto"/>
              <w:right w:val="single" w:sz="4" w:space="0" w:color="auto"/>
            </w:tcBorders>
            <w:shd w:val="clear" w:color="auto" w:fill="auto"/>
            <w:noWrap/>
            <w:vAlign w:val="bottom"/>
            <w:hideMark/>
          </w:tcPr>
          <w:p w14:paraId="79A2287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c>
          <w:tcPr>
            <w:tcW w:w="960" w:type="dxa"/>
            <w:tcBorders>
              <w:top w:val="nil"/>
              <w:left w:val="nil"/>
              <w:bottom w:val="single" w:sz="4" w:space="0" w:color="auto"/>
              <w:right w:val="single" w:sz="4" w:space="0" w:color="auto"/>
            </w:tcBorders>
            <w:shd w:val="clear" w:color="auto" w:fill="auto"/>
            <w:noWrap/>
            <w:vAlign w:val="bottom"/>
            <w:hideMark/>
          </w:tcPr>
          <w:p w14:paraId="5CF6FBC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+0.10***</w:t>
            </w:r>
          </w:p>
        </w:tc>
        <w:tc>
          <w:tcPr>
            <w:tcW w:w="960" w:type="dxa"/>
            <w:tcBorders>
              <w:top w:val="nil"/>
              <w:left w:val="nil"/>
              <w:bottom w:val="single" w:sz="4" w:space="0" w:color="auto"/>
              <w:right w:val="single" w:sz="4" w:space="0" w:color="auto"/>
            </w:tcBorders>
            <w:shd w:val="clear" w:color="auto" w:fill="auto"/>
            <w:noWrap/>
            <w:vAlign w:val="bottom"/>
            <w:hideMark/>
          </w:tcPr>
          <w:p w14:paraId="0A26C583"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+0.12***</w:t>
            </w:r>
          </w:p>
        </w:tc>
      </w:tr>
      <w:tr w:rsidR="0090659A" w:rsidRPr="004779B6" w14:paraId="08338CAA"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55118E90"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Trade Openness (TO)</w:t>
            </w:r>
          </w:p>
        </w:tc>
        <w:tc>
          <w:tcPr>
            <w:tcW w:w="960" w:type="dxa"/>
            <w:tcBorders>
              <w:top w:val="nil"/>
              <w:left w:val="nil"/>
              <w:bottom w:val="single" w:sz="4" w:space="0" w:color="auto"/>
              <w:right w:val="single" w:sz="4" w:space="0" w:color="auto"/>
            </w:tcBorders>
            <w:shd w:val="clear" w:color="auto" w:fill="auto"/>
            <w:noWrap/>
            <w:vAlign w:val="bottom"/>
            <w:hideMark/>
          </w:tcPr>
          <w:p w14:paraId="1D970D8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–0.11**</w:t>
            </w:r>
          </w:p>
        </w:tc>
        <w:tc>
          <w:tcPr>
            <w:tcW w:w="960" w:type="dxa"/>
            <w:tcBorders>
              <w:top w:val="nil"/>
              <w:left w:val="nil"/>
              <w:bottom w:val="single" w:sz="4" w:space="0" w:color="auto"/>
              <w:right w:val="single" w:sz="4" w:space="0" w:color="auto"/>
            </w:tcBorders>
            <w:shd w:val="clear" w:color="auto" w:fill="auto"/>
            <w:noWrap/>
            <w:vAlign w:val="bottom"/>
            <w:hideMark/>
          </w:tcPr>
          <w:p w14:paraId="46EE6DA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–0.14**</w:t>
            </w:r>
          </w:p>
        </w:tc>
        <w:tc>
          <w:tcPr>
            <w:tcW w:w="960" w:type="dxa"/>
            <w:tcBorders>
              <w:top w:val="nil"/>
              <w:left w:val="nil"/>
              <w:bottom w:val="single" w:sz="4" w:space="0" w:color="auto"/>
              <w:right w:val="single" w:sz="4" w:space="0" w:color="auto"/>
            </w:tcBorders>
            <w:shd w:val="clear" w:color="auto" w:fill="auto"/>
            <w:noWrap/>
            <w:vAlign w:val="bottom"/>
            <w:hideMark/>
          </w:tcPr>
          <w:p w14:paraId="43F24ED4"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–0.09*</w:t>
            </w:r>
          </w:p>
        </w:tc>
        <w:tc>
          <w:tcPr>
            <w:tcW w:w="960" w:type="dxa"/>
            <w:tcBorders>
              <w:top w:val="nil"/>
              <w:left w:val="nil"/>
              <w:bottom w:val="single" w:sz="4" w:space="0" w:color="auto"/>
              <w:right w:val="single" w:sz="4" w:space="0" w:color="auto"/>
            </w:tcBorders>
            <w:shd w:val="clear" w:color="auto" w:fill="auto"/>
            <w:noWrap/>
            <w:vAlign w:val="bottom"/>
            <w:hideMark/>
          </w:tcPr>
          <w:p w14:paraId="41C6F1B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–0.07*</w:t>
            </w:r>
          </w:p>
        </w:tc>
      </w:tr>
      <w:tr w:rsidR="0090659A" w:rsidRPr="004779B6" w14:paraId="54BF7999"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3CA81C6A"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 × ICT</w:t>
            </w:r>
          </w:p>
        </w:tc>
        <w:tc>
          <w:tcPr>
            <w:tcW w:w="960" w:type="dxa"/>
            <w:tcBorders>
              <w:top w:val="nil"/>
              <w:left w:val="nil"/>
              <w:bottom w:val="single" w:sz="4" w:space="0" w:color="auto"/>
              <w:right w:val="single" w:sz="4" w:space="0" w:color="auto"/>
            </w:tcBorders>
            <w:shd w:val="clear" w:color="auto" w:fill="auto"/>
            <w:noWrap/>
            <w:vAlign w:val="bottom"/>
            <w:hideMark/>
          </w:tcPr>
          <w:p w14:paraId="1856F35D"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5AC2FCFE"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+0.035**</w:t>
            </w:r>
          </w:p>
        </w:tc>
        <w:tc>
          <w:tcPr>
            <w:tcW w:w="960" w:type="dxa"/>
            <w:tcBorders>
              <w:top w:val="nil"/>
              <w:left w:val="nil"/>
              <w:bottom w:val="single" w:sz="4" w:space="0" w:color="auto"/>
              <w:right w:val="single" w:sz="4" w:space="0" w:color="auto"/>
            </w:tcBorders>
            <w:shd w:val="clear" w:color="auto" w:fill="auto"/>
            <w:noWrap/>
            <w:vAlign w:val="bottom"/>
            <w:hideMark/>
          </w:tcPr>
          <w:p w14:paraId="05707DAF"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47925B2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+0.039**</w:t>
            </w:r>
          </w:p>
        </w:tc>
      </w:tr>
      <w:tr w:rsidR="0090659A" w:rsidRPr="004779B6" w14:paraId="5B6F9822" w14:textId="77777777" w:rsidTr="0090659A">
        <w:trPr>
          <w:trHeight w:val="300"/>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50A8D6A5"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lastRenderedPageBreak/>
              <w:t>GIN × ICT</w:t>
            </w:r>
          </w:p>
        </w:tc>
        <w:tc>
          <w:tcPr>
            <w:tcW w:w="960" w:type="dxa"/>
            <w:tcBorders>
              <w:top w:val="nil"/>
              <w:left w:val="nil"/>
              <w:bottom w:val="single" w:sz="4" w:space="0" w:color="auto"/>
              <w:right w:val="single" w:sz="4" w:space="0" w:color="auto"/>
            </w:tcBorders>
            <w:shd w:val="clear" w:color="auto" w:fill="auto"/>
            <w:noWrap/>
            <w:vAlign w:val="bottom"/>
            <w:hideMark/>
          </w:tcPr>
          <w:p w14:paraId="783F5FA4"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3244FF67"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1C06F0C1"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–0.016*</w:t>
            </w:r>
          </w:p>
        </w:tc>
        <w:tc>
          <w:tcPr>
            <w:tcW w:w="960" w:type="dxa"/>
            <w:tcBorders>
              <w:top w:val="nil"/>
              <w:left w:val="nil"/>
              <w:bottom w:val="single" w:sz="4" w:space="0" w:color="auto"/>
              <w:right w:val="single" w:sz="4" w:space="0" w:color="auto"/>
            </w:tcBorders>
            <w:shd w:val="clear" w:color="auto" w:fill="auto"/>
            <w:noWrap/>
            <w:vAlign w:val="bottom"/>
            <w:hideMark/>
          </w:tcPr>
          <w:p w14:paraId="514EE9E3" w14:textId="77777777" w:rsidR="0090659A" w:rsidRPr="004779B6" w:rsidRDefault="0090659A"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0.003</w:t>
            </w:r>
          </w:p>
        </w:tc>
      </w:tr>
    </w:tbl>
    <w:p w14:paraId="69D05C5D" w14:textId="10EF4898" w:rsidR="0090659A" w:rsidRPr="004779B6" w:rsidRDefault="0090659A" w:rsidP="004779B6">
      <w:pPr>
        <w:jc w:val="both"/>
        <w:rPr>
          <w:rFonts w:asciiTheme="majorHAnsi" w:hAnsiTheme="majorHAnsi" w:cstheme="majorHAnsi"/>
        </w:rPr>
      </w:pPr>
      <w:r w:rsidRPr="004779B6">
        <w:rPr>
          <w:rFonts w:asciiTheme="majorHAnsi" w:hAnsiTheme="majorHAnsi" w:cstheme="majorHAnsi"/>
        </w:rPr>
        <w:t xml:space="preserve">Source: Author’s Own Compilation </w:t>
      </w:r>
    </w:p>
    <w:p w14:paraId="53BFFCAD" w14:textId="7848FFD3" w:rsidR="0090659A" w:rsidRPr="004779B6" w:rsidRDefault="0090659A" w:rsidP="004779B6">
      <w:pPr>
        <w:pStyle w:val="ListParagraph"/>
        <w:numPr>
          <w:ilvl w:val="0"/>
          <w:numId w:val="11"/>
        </w:numPr>
        <w:jc w:val="both"/>
        <w:rPr>
          <w:rFonts w:asciiTheme="majorHAnsi" w:hAnsiTheme="majorHAnsi" w:cstheme="majorHAnsi"/>
        </w:rPr>
      </w:pPr>
      <w:r w:rsidRPr="004779B6">
        <w:rPr>
          <w:rFonts w:asciiTheme="majorHAnsi" w:hAnsiTheme="majorHAnsi" w:cstheme="majorHAnsi"/>
        </w:rPr>
        <w:t>Positive and significant GG × ICT coefficients in Model II and IV (+0.035 and +0.039) suggest that ICT growth, when interacting with green growth, may exacerbate emissions due to energy-intensive ICT infrastructure.</w:t>
      </w:r>
    </w:p>
    <w:p w14:paraId="3B1F6A7C" w14:textId="6678E0F3" w:rsidR="0090659A" w:rsidRPr="004779B6" w:rsidRDefault="0090659A" w:rsidP="004779B6">
      <w:pPr>
        <w:pStyle w:val="ListParagraph"/>
        <w:numPr>
          <w:ilvl w:val="0"/>
          <w:numId w:val="11"/>
        </w:numPr>
        <w:jc w:val="both"/>
        <w:rPr>
          <w:rFonts w:asciiTheme="majorHAnsi" w:hAnsiTheme="majorHAnsi" w:cstheme="majorHAnsi"/>
        </w:rPr>
      </w:pPr>
      <w:r w:rsidRPr="004779B6">
        <w:rPr>
          <w:rFonts w:asciiTheme="majorHAnsi" w:hAnsiTheme="majorHAnsi" w:cstheme="majorHAnsi"/>
        </w:rPr>
        <w:t>GIN × ICT is negative and significant in Model III (–0.016*), suggesting that when green innovation is supported by ICT, emissions may decline.</w:t>
      </w:r>
    </w:p>
    <w:p w14:paraId="49319A59" w14:textId="3F44D7A3" w:rsidR="0090659A" w:rsidRPr="004779B6" w:rsidRDefault="0090659A" w:rsidP="004779B6">
      <w:pPr>
        <w:pStyle w:val="ListParagraph"/>
        <w:numPr>
          <w:ilvl w:val="0"/>
          <w:numId w:val="11"/>
        </w:numPr>
        <w:jc w:val="both"/>
        <w:rPr>
          <w:rFonts w:asciiTheme="majorHAnsi" w:hAnsiTheme="majorHAnsi" w:cstheme="majorHAnsi"/>
        </w:rPr>
      </w:pPr>
      <w:r w:rsidRPr="004779B6">
        <w:rPr>
          <w:rFonts w:asciiTheme="majorHAnsi" w:hAnsiTheme="majorHAnsi" w:cstheme="majorHAnsi"/>
        </w:rPr>
        <w:t>Trade Openness (TO) remains consistently negative, indicating that increased international trade may help reduce emissions (perhaps via technology transfer or cleaner imports).</w:t>
      </w:r>
    </w:p>
    <w:p w14:paraId="5F0E8296" w14:textId="24D63811" w:rsidR="00AD5CB0" w:rsidRPr="004779B6" w:rsidRDefault="00AD5CB0" w:rsidP="004779B6">
      <w:pPr>
        <w:jc w:val="both"/>
        <w:rPr>
          <w:rFonts w:asciiTheme="majorHAnsi" w:hAnsiTheme="majorHAnsi" w:cstheme="majorHAnsi"/>
        </w:rPr>
      </w:pPr>
      <w:r w:rsidRPr="004779B6">
        <w:rPr>
          <w:rFonts w:asciiTheme="majorHAnsi" w:hAnsiTheme="majorHAnsi" w:cstheme="majorHAnsi"/>
        </w:rPr>
        <w:t xml:space="preserve">Moreover, the coefficients for ICT across all models demonstrate a statistically significant positive effect on CO₂ emissions at the 1% significance level. This suggests that ICT expansion may contribute to environmental degradation, likely due to increased energy usage and emissions linked to digital infrastructure and device manufacturing. These results align with those of Li et al. (2023), Naseem et al. (2023), and Usman et al. (2021), who argued that ICT development can amplify pollution levels, particularly in regions with carbon-intensive energy mixes. Contrary to other research Danish (2019); Zhang &amp; Liu (2015), who suggests that ICT can play a constructive role in environmental protection, our findings imply that increased ICT adoption without accompanying clean energy transitions may elevate carbon emissions. Irawan (2014) also supports this interpretation, noting that higher ICT utilization often correlates with rising pollution levels. </w:t>
      </w:r>
    </w:p>
    <w:p w14:paraId="679836E4" w14:textId="694B46D6" w:rsidR="0090659A" w:rsidRPr="004779B6" w:rsidRDefault="0090659A" w:rsidP="004779B6">
      <w:pPr>
        <w:jc w:val="both"/>
        <w:rPr>
          <w:rFonts w:asciiTheme="majorHAnsi" w:hAnsiTheme="majorHAnsi" w:cstheme="majorHAnsi"/>
        </w:rPr>
      </w:pPr>
      <w:r w:rsidRPr="004779B6">
        <w:rPr>
          <w:rFonts w:asciiTheme="majorHAnsi" w:hAnsiTheme="majorHAnsi" w:cstheme="majorHAnsi"/>
        </w:rPr>
        <w:t>In model-II and model-IV, the interaction between green growth and ICT shows a positive linkage with CO₂ emissions, implying that a 1% increase in their combined impact leads to a rise in emissions by approximately 0.035% and 0.039%, respectively. These outcomes suggest that ICT investments may not currently align with environmentally sustainable goals, potentially due to a lack of emphasis on reducing energy consumption from fossil fuels. Financial institutions and corporations may be supporting ICT projects that still contribute to greenhouse gas outputs.</w:t>
      </w:r>
    </w:p>
    <w:p w14:paraId="782A5528" w14:textId="6B9C613D" w:rsidR="0090659A" w:rsidRPr="004779B6" w:rsidRDefault="0090659A" w:rsidP="004779B6">
      <w:pPr>
        <w:jc w:val="both"/>
        <w:rPr>
          <w:rFonts w:asciiTheme="majorHAnsi" w:hAnsiTheme="majorHAnsi" w:cstheme="majorHAnsi"/>
        </w:rPr>
      </w:pPr>
      <w:r w:rsidRPr="004779B6">
        <w:rPr>
          <w:rFonts w:asciiTheme="majorHAnsi" w:hAnsiTheme="majorHAnsi" w:cstheme="majorHAnsi"/>
        </w:rPr>
        <w:t>Conversely, model-III demonstrates a negative relationship between green innovation and ICT with carbon emissions. Specifically, a 1% increase in the interaction term (LNGIN × LNICT) leads to a 0.016% decrease in CO₂ emissions, significant at the 10% level. This aligns with findings by Sun (2022), indicating that green technological innovation supported by ICT can meaningfully lower environmental harm in some countries.</w:t>
      </w:r>
    </w:p>
    <w:p w14:paraId="48D7D46D" w14:textId="5615BCF5" w:rsidR="0090659A" w:rsidRPr="004779B6" w:rsidRDefault="0090659A" w:rsidP="004779B6">
      <w:pPr>
        <w:jc w:val="both"/>
        <w:rPr>
          <w:rFonts w:asciiTheme="majorHAnsi" w:hAnsiTheme="majorHAnsi" w:cstheme="majorHAnsi"/>
        </w:rPr>
      </w:pPr>
      <w:r w:rsidRPr="004779B6">
        <w:rPr>
          <w:rFonts w:asciiTheme="majorHAnsi" w:hAnsiTheme="majorHAnsi" w:cstheme="majorHAnsi"/>
        </w:rPr>
        <w:t xml:space="preserve">A few interpretations may explain this effect. The expanding role of ICT in environmental governance is prompting discussions among decision-makers about how digital technologies can be harnessed to scale sustainable practices. In Kenya, the “Digital Kenya” strategy is an example of this shift, promoting technology use for national progress while also aiming to limit ecological damage. Through digital transformation, the country is enabling smarter resource use, cutting </w:t>
      </w:r>
      <w:r w:rsidRPr="004779B6">
        <w:rPr>
          <w:rFonts w:asciiTheme="majorHAnsi" w:hAnsiTheme="majorHAnsi" w:cstheme="majorHAnsi"/>
        </w:rPr>
        <w:lastRenderedPageBreak/>
        <w:t>emissions, and increasing resilience to climate change, thus aligning with green development goals.</w:t>
      </w:r>
    </w:p>
    <w:p w14:paraId="7C2FDDF0" w14:textId="31631185" w:rsidR="0090659A" w:rsidRPr="004779B6" w:rsidRDefault="0090659A" w:rsidP="004779B6">
      <w:pPr>
        <w:jc w:val="both"/>
        <w:rPr>
          <w:rFonts w:asciiTheme="majorHAnsi" w:hAnsiTheme="majorHAnsi" w:cstheme="majorHAnsi"/>
        </w:rPr>
      </w:pPr>
      <w:r w:rsidRPr="004779B6">
        <w:rPr>
          <w:rFonts w:asciiTheme="majorHAnsi" w:hAnsiTheme="majorHAnsi" w:cstheme="majorHAnsi"/>
        </w:rPr>
        <w:t>Interestingly, when both interaction terms (GG × LNICT and LNGIN × LNICT) are included in a single specification, a positive association emerges between LNGIN × LNICT and CO₂ emissions. However, the estimated impact is marginal, suggesting a weak or statistically insignificant effect.</w:t>
      </w:r>
    </w:p>
    <w:p w14:paraId="79BD7FF9" w14:textId="40A3EBDD" w:rsidR="0090659A" w:rsidRPr="004779B6" w:rsidRDefault="0090659A" w:rsidP="004779B6">
      <w:pPr>
        <w:jc w:val="both"/>
        <w:rPr>
          <w:rFonts w:asciiTheme="majorHAnsi" w:hAnsiTheme="majorHAnsi" w:cstheme="majorHAnsi"/>
        </w:rPr>
      </w:pPr>
      <w:r w:rsidRPr="004779B6">
        <w:rPr>
          <w:rFonts w:asciiTheme="majorHAnsi" w:hAnsiTheme="majorHAnsi" w:cstheme="majorHAnsi"/>
        </w:rPr>
        <w:t>Lastly, trade openness continues to display a consistent negative association with carbon emissions across all model specifications, suggesting that greater integration into global markets may support cleaner or more efficient production processes.</w:t>
      </w:r>
    </w:p>
    <w:p w14:paraId="680597FB" w14:textId="103E62D8" w:rsidR="00461353" w:rsidRPr="004779B6" w:rsidRDefault="00461353" w:rsidP="004779B6">
      <w:pPr>
        <w:jc w:val="both"/>
        <w:rPr>
          <w:rFonts w:asciiTheme="majorHAnsi" w:hAnsiTheme="majorHAnsi" w:cstheme="majorHAnsi"/>
          <w:b/>
          <w:bCs/>
        </w:rPr>
      </w:pPr>
      <w:r w:rsidRPr="004779B6">
        <w:rPr>
          <w:rFonts w:asciiTheme="majorHAnsi" w:hAnsiTheme="majorHAnsi" w:cstheme="majorHAnsi"/>
          <w:b/>
          <w:bCs/>
        </w:rPr>
        <w:t>Table 9. Robustness Analysis of Long-Run Results with DOLS</w:t>
      </w:r>
    </w:p>
    <w:tbl>
      <w:tblPr>
        <w:tblW w:w="5165" w:type="dxa"/>
        <w:tblLook w:val="04A0" w:firstRow="1" w:lastRow="0" w:firstColumn="1" w:lastColumn="0" w:noHBand="0" w:noVBand="1"/>
      </w:tblPr>
      <w:tblGrid>
        <w:gridCol w:w="1325"/>
        <w:gridCol w:w="960"/>
        <w:gridCol w:w="960"/>
        <w:gridCol w:w="960"/>
        <w:gridCol w:w="960"/>
      </w:tblGrid>
      <w:tr w:rsidR="00AF48E5" w:rsidRPr="004779B6" w14:paraId="5E3BCFB2" w14:textId="77777777" w:rsidTr="00AF48E5">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B8CD"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Variables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726119"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03C0A5"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023522"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BD463A"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Model IV</w:t>
            </w:r>
          </w:p>
        </w:tc>
      </w:tr>
      <w:tr w:rsidR="00AF48E5" w:rsidRPr="004779B6" w14:paraId="04F0A5D5"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79BDB72"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w:t>
            </w:r>
          </w:p>
        </w:tc>
        <w:tc>
          <w:tcPr>
            <w:tcW w:w="960" w:type="dxa"/>
            <w:tcBorders>
              <w:top w:val="nil"/>
              <w:left w:val="nil"/>
              <w:bottom w:val="single" w:sz="4" w:space="0" w:color="auto"/>
              <w:right w:val="single" w:sz="4" w:space="0" w:color="auto"/>
            </w:tcBorders>
            <w:shd w:val="clear" w:color="auto" w:fill="auto"/>
            <w:noWrap/>
            <w:vAlign w:val="bottom"/>
            <w:hideMark/>
          </w:tcPr>
          <w:p w14:paraId="713E80F3"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-0.49***</w:t>
            </w:r>
          </w:p>
        </w:tc>
        <w:tc>
          <w:tcPr>
            <w:tcW w:w="960" w:type="dxa"/>
            <w:tcBorders>
              <w:top w:val="nil"/>
              <w:left w:val="nil"/>
              <w:bottom w:val="single" w:sz="4" w:space="0" w:color="auto"/>
              <w:right w:val="single" w:sz="4" w:space="0" w:color="auto"/>
            </w:tcBorders>
            <w:shd w:val="clear" w:color="auto" w:fill="auto"/>
            <w:noWrap/>
            <w:vAlign w:val="bottom"/>
            <w:hideMark/>
          </w:tcPr>
          <w:p w14:paraId="05E5D0A2"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-0.07***</w:t>
            </w:r>
          </w:p>
        </w:tc>
        <w:tc>
          <w:tcPr>
            <w:tcW w:w="960" w:type="dxa"/>
            <w:tcBorders>
              <w:top w:val="nil"/>
              <w:left w:val="nil"/>
              <w:bottom w:val="single" w:sz="4" w:space="0" w:color="auto"/>
              <w:right w:val="single" w:sz="4" w:space="0" w:color="auto"/>
            </w:tcBorders>
            <w:shd w:val="clear" w:color="auto" w:fill="auto"/>
            <w:noWrap/>
            <w:vAlign w:val="bottom"/>
            <w:hideMark/>
          </w:tcPr>
          <w:p w14:paraId="5C818F1F"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-0.21**</w:t>
            </w:r>
          </w:p>
        </w:tc>
        <w:tc>
          <w:tcPr>
            <w:tcW w:w="960" w:type="dxa"/>
            <w:tcBorders>
              <w:top w:val="nil"/>
              <w:left w:val="nil"/>
              <w:bottom w:val="single" w:sz="4" w:space="0" w:color="auto"/>
              <w:right w:val="single" w:sz="4" w:space="0" w:color="auto"/>
            </w:tcBorders>
            <w:shd w:val="clear" w:color="auto" w:fill="auto"/>
            <w:noWrap/>
            <w:vAlign w:val="bottom"/>
            <w:hideMark/>
          </w:tcPr>
          <w:p w14:paraId="715C81E8"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-0.09**</w:t>
            </w:r>
          </w:p>
        </w:tc>
      </w:tr>
      <w:tr w:rsidR="00AF48E5" w:rsidRPr="004779B6" w14:paraId="0B0D5939"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1F169C4C"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GIN</w:t>
            </w:r>
          </w:p>
        </w:tc>
        <w:tc>
          <w:tcPr>
            <w:tcW w:w="960" w:type="dxa"/>
            <w:tcBorders>
              <w:top w:val="nil"/>
              <w:left w:val="nil"/>
              <w:bottom w:val="single" w:sz="4" w:space="0" w:color="auto"/>
              <w:right w:val="single" w:sz="4" w:space="0" w:color="auto"/>
            </w:tcBorders>
            <w:shd w:val="clear" w:color="auto" w:fill="auto"/>
            <w:noWrap/>
            <w:vAlign w:val="bottom"/>
            <w:hideMark/>
          </w:tcPr>
          <w:p w14:paraId="4176C0C3"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0.14*</w:t>
            </w:r>
          </w:p>
        </w:tc>
        <w:tc>
          <w:tcPr>
            <w:tcW w:w="960" w:type="dxa"/>
            <w:tcBorders>
              <w:top w:val="nil"/>
              <w:left w:val="nil"/>
              <w:bottom w:val="single" w:sz="4" w:space="0" w:color="auto"/>
              <w:right w:val="single" w:sz="4" w:space="0" w:color="auto"/>
            </w:tcBorders>
            <w:shd w:val="clear" w:color="auto" w:fill="auto"/>
            <w:noWrap/>
            <w:vAlign w:val="bottom"/>
            <w:hideMark/>
          </w:tcPr>
          <w:p w14:paraId="03CDD8AD"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-0.02</w:t>
            </w:r>
          </w:p>
        </w:tc>
        <w:tc>
          <w:tcPr>
            <w:tcW w:w="960" w:type="dxa"/>
            <w:tcBorders>
              <w:top w:val="nil"/>
              <w:left w:val="nil"/>
              <w:bottom w:val="single" w:sz="4" w:space="0" w:color="auto"/>
              <w:right w:val="single" w:sz="4" w:space="0" w:color="auto"/>
            </w:tcBorders>
            <w:shd w:val="clear" w:color="auto" w:fill="auto"/>
            <w:noWrap/>
            <w:vAlign w:val="bottom"/>
            <w:hideMark/>
          </w:tcPr>
          <w:p w14:paraId="0AFE248A"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w:t>
            </w:r>
          </w:p>
        </w:tc>
        <w:tc>
          <w:tcPr>
            <w:tcW w:w="960" w:type="dxa"/>
            <w:tcBorders>
              <w:top w:val="nil"/>
              <w:left w:val="nil"/>
              <w:bottom w:val="single" w:sz="4" w:space="0" w:color="auto"/>
              <w:right w:val="single" w:sz="4" w:space="0" w:color="auto"/>
            </w:tcBorders>
            <w:shd w:val="clear" w:color="auto" w:fill="auto"/>
            <w:noWrap/>
            <w:vAlign w:val="bottom"/>
            <w:hideMark/>
          </w:tcPr>
          <w:p w14:paraId="52CC84BE"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-0.40**</w:t>
            </w:r>
          </w:p>
        </w:tc>
      </w:tr>
      <w:tr w:rsidR="00AF48E5" w:rsidRPr="004779B6" w14:paraId="415F69AB"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1A249E46"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ICT</w:t>
            </w:r>
          </w:p>
        </w:tc>
        <w:tc>
          <w:tcPr>
            <w:tcW w:w="960" w:type="dxa"/>
            <w:tcBorders>
              <w:top w:val="nil"/>
              <w:left w:val="nil"/>
              <w:bottom w:val="single" w:sz="4" w:space="0" w:color="auto"/>
              <w:right w:val="single" w:sz="4" w:space="0" w:color="auto"/>
            </w:tcBorders>
            <w:shd w:val="clear" w:color="auto" w:fill="auto"/>
            <w:noWrap/>
            <w:vAlign w:val="bottom"/>
            <w:hideMark/>
          </w:tcPr>
          <w:p w14:paraId="09D8B09C"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0.06***</w:t>
            </w:r>
          </w:p>
        </w:tc>
        <w:tc>
          <w:tcPr>
            <w:tcW w:w="960" w:type="dxa"/>
            <w:tcBorders>
              <w:top w:val="nil"/>
              <w:left w:val="nil"/>
              <w:bottom w:val="single" w:sz="4" w:space="0" w:color="auto"/>
              <w:right w:val="single" w:sz="4" w:space="0" w:color="auto"/>
            </w:tcBorders>
            <w:shd w:val="clear" w:color="auto" w:fill="auto"/>
            <w:noWrap/>
            <w:vAlign w:val="bottom"/>
            <w:hideMark/>
          </w:tcPr>
          <w:p w14:paraId="58FC0798"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0.08***</w:t>
            </w:r>
          </w:p>
        </w:tc>
        <w:tc>
          <w:tcPr>
            <w:tcW w:w="960" w:type="dxa"/>
            <w:tcBorders>
              <w:top w:val="nil"/>
              <w:left w:val="nil"/>
              <w:bottom w:val="single" w:sz="4" w:space="0" w:color="auto"/>
              <w:right w:val="single" w:sz="4" w:space="0" w:color="auto"/>
            </w:tcBorders>
            <w:shd w:val="clear" w:color="auto" w:fill="auto"/>
            <w:noWrap/>
            <w:vAlign w:val="bottom"/>
            <w:hideMark/>
          </w:tcPr>
          <w:p w14:paraId="57BC3187"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0.09***</w:t>
            </w:r>
          </w:p>
        </w:tc>
        <w:tc>
          <w:tcPr>
            <w:tcW w:w="960" w:type="dxa"/>
            <w:tcBorders>
              <w:top w:val="nil"/>
              <w:left w:val="nil"/>
              <w:bottom w:val="single" w:sz="4" w:space="0" w:color="auto"/>
              <w:right w:val="single" w:sz="4" w:space="0" w:color="auto"/>
            </w:tcBorders>
            <w:shd w:val="clear" w:color="auto" w:fill="auto"/>
            <w:noWrap/>
            <w:vAlign w:val="bottom"/>
            <w:hideMark/>
          </w:tcPr>
          <w:p w14:paraId="69C4E3AE"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0.12***</w:t>
            </w:r>
          </w:p>
        </w:tc>
      </w:tr>
      <w:tr w:rsidR="00AF48E5" w:rsidRPr="004779B6" w14:paraId="7543A919"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0465AEB3"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TO</w:t>
            </w:r>
          </w:p>
        </w:tc>
        <w:tc>
          <w:tcPr>
            <w:tcW w:w="960" w:type="dxa"/>
            <w:tcBorders>
              <w:top w:val="nil"/>
              <w:left w:val="nil"/>
              <w:bottom w:val="single" w:sz="4" w:space="0" w:color="auto"/>
              <w:right w:val="single" w:sz="4" w:space="0" w:color="auto"/>
            </w:tcBorders>
            <w:shd w:val="clear" w:color="auto" w:fill="auto"/>
            <w:noWrap/>
            <w:vAlign w:val="bottom"/>
            <w:hideMark/>
          </w:tcPr>
          <w:p w14:paraId="4BEBB9E1"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-0.02***</w:t>
            </w:r>
          </w:p>
        </w:tc>
        <w:tc>
          <w:tcPr>
            <w:tcW w:w="960" w:type="dxa"/>
            <w:tcBorders>
              <w:top w:val="nil"/>
              <w:left w:val="nil"/>
              <w:bottom w:val="single" w:sz="4" w:space="0" w:color="auto"/>
              <w:right w:val="single" w:sz="4" w:space="0" w:color="auto"/>
            </w:tcBorders>
            <w:shd w:val="clear" w:color="auto" w:fill="auto"/>
            <w:noWrap/>
            <w:vAlign w:val="bottom"/>
            <w:hideMark/>
          </w:tcPr>
          <w:p w14:paraId="2D46D710"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w:t>
            </w:r>
          </w:p>
        </w:tc>
        <w:tc>
          <w:tcPr>
            <w:tcW w:w="960" w:type="dxa"/>
            <w:tcBorders>
              <w:top w:val="nil"/>
              <w:left w:val="nil"/>
              <w:bottom w:val="single" w:sz="4" w:space="0" w:color="auto"/>
              <w:right w:val="single" w:sz="4" w:space="0" w:color="auto"/>
            </w:tcBorders>
            <w:shd w:val="clear" w:color="auto" w:fill="auto"/>
            <w:noWrap/>
            <w:vAlign w:val="bottom"/>
            <w:hideMark/>
          </w:tcPr>
          <w:p w14:paraId="11B550FD"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w:t>
            </w:r>
          </w:p>
        </w:tc>
        <w:tc>
          <w:tcPr>
            <w:tcW w:w="960" w:type="dxa"/>
            <w:tcBorders>
              <w:top w:val="nil"/>
              <w:left w:val="nil"/>
              <w:bottom w:val="single" w:sz="4" w:space="0" w:color="auto"/>
              <w:right w:val="single" w:sz="4" w:space="0" w:color="auto"/>
            </w:tcBorders>
            <w:shd w:val="clear" w:color="auto" w:fill="auto"/>
            <w:noWrap/>
            <w:vAlign w:val="bottom"/>
            <w:hideMark/>
          </w:tcPr>
          <w:p w14:paraId="73F0BB05"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w:t>
            </w:r>
          </w:p>
        </w:tc>
      </w:tr>
      <w:tr w:rsidR="00AF48E5" w:rsidRPr="004779B6" w14:paraId="12789AC6"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FBB0EB5"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GG × LNICT</w:t>
            </w:r>
          </w:p>
        </w:tc>
        <w:tc>
          <w:tcPr>
            <w:tcW w:w="960" w:type="dxa"/>
            <w:tcBorders>
              <w:top w:val="nil"/>
              <w:left w:val="nil"/>
              <w:bottom w:val="single" w:sz="4" w:space="0" w:color="auto"/>
              <w:right w:val="single" w:sz="4" w:space="0" w:color="auto"/>
            </w:tcBorders>
            <w:shd w:val="clear" w:color="auto" w:fill="auto"/>
            <w:noWrap/>
            <w:vAlign w:val="bottom"/>
            <w:hideMark/>
          </w:tcPr>
          <w:p w14:paraId="062FFB84"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9D0AE8C"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0.035**</w:t>
            </w:r>
          </w:p>
        </w:tc>
        <w:tc>
          <w:tcPr>
            <w:tcW w:w="960" w:type="dxa"/>
            <w:tcBorders>
              <w:top w:val="nil"/>
              <w:left w:val="nil"/>
              <w:bottom w:val="single" w:sz="4" w:space="0" w:color="auto"/>
              <w:right w:val="single" w:sz="4" w:space="0" w:color="auto"/>
            </w:tcBorders>
            <w:shd w:val="clear" w:color="auto" w:fill="auto"/>
            <w:noWrap/>
            <w:vAlign w:val="bottom"/>
            <w:hideMark/>
          </w:tcPr>
          <w:p w14:paraId="55C52885"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7B0534E"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0.039**</w:t>
            </w:r>
          </w:p>
        </w:tc>
      </w:tr>
      <w:tr w:rsidR="00AF48E5" w:rsidRPr="004779B6" w14:paraId="30B57789"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7D663B0"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LNGIN × LNICT</w:t>
            </w:r>
          </w:p>
        </w:tc>
        <w:tc>
          <w:tcPr>
            <w:tcW w:w="960" w:type="dxa"/>
            <w:tcBorders>
              <w:top w:val="nil"/>
              <w:left w:val="nil"/>
              <w:bottom w:val="single" w:sz="4" w:space="0" w:color="auto"/>
              <w:right w:val="single" w:sz="4" w:space="0" w:color="auto"/>
            </w:tcBorders>
            <w:shd w:val="clear" w:color="auto" w:fill="auto"/>
            <w:noWrap/>
            <w:vAlign w:val="bottom"/>
            <w:hideMark/>
          </w:tcPr>
          <w:p w14:paraId="36BB34E6"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6E92CDA"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A6A841A"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-0.016*</w:t>
            </w:r>
          </w:p>
        </w:tc>
        <w:tc>
          <w:tcPr>
            <w:tcW w:w="960" w:type="dxa"/>
            <w:tcBorders>
              <w:top w:val="nil"/>
              <w:left w:val="nil"/>
              <w:bottom w:val="single" w:sz="4" w:space="0" w:color="auto"/>
              <w:right w:val="single" w:sz="4" w:space="0" w:color="auto"/>
            </w:tcBorders>
            <w:shd w:val="clear" w:color="auto" w:fill="auto"/>
            <w:noWrap/>
            <w:vAlign w:val="bottom"/>
            <w:hideMark/>
          </w:tcPr>
          <w:p w14:paraId="635AE2A3"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0.002</w:t>
            </w:r>
          </w:p>
        </w:tc>
      </w:tr>
      <w:tr w:rsidR="00AF48E5" w:rsidRPr="004779B6" w14:paraId="1CFC1C74"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3CB780F6"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Adj. R²</w:t>
            </w:r>
          </w:p>
        </w:tc>
        <w:tc>
          <w:tcPr>
            <w:tcW w:w="960" w:type="dxa"/>
            <w:tcBorders>
              <w:top w:val="nil"/>
              <w:left w:val="nil"/>
              <w:bottom w:val="single" w:sz="4" w:space="0" w:color="auto"/>
              <w:right w:val="single" w:sz="4" w:space="0" w:color="auto"/>
            </w:tcBorders>
            <w:shd w:val="clear" w:color="auto" w:fill="auto"/>
            <w:noWrap/>
            <w:vAlign w:val="bottom"/>
            <w:hideMark/>
          </w:tcPr>
          <w:p w14:paraId="66DB2E10"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0.81</w:t>
            </w:r>
          </w:p>
        </w:tc>
        <w:tc>
          <w:tcPr>
            <w:tcW w:w="960" w:type="dxa"/>
            <w:tcBorders>
              <w:top w:val="nil"/>
              <w:left w:val="nil"/>
              <w:bottom w:val="single" w:sz="4" w:space="0" w:color="auto"/>
              <w:right w:val="single" w:sz="4" w:space="0" w:color="auto"/>
            </w:tcBorders>
            <w:shd w:val="clear" w:color="auto" w:fill="auto"/>
            <w:noWrap/>
            <w:vAlign w:val="bottom"/>
            <w:hideMark/>
          </w:tcPr>
          <w:p w14:paraId="01830DB5"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0.79</w:t>
            </w:r>
          </w:p>
        </w:tc>
        <w:tc>
          <w:tcPr>
            <w:tcW w:w="960" w:type="dxa"/>
            <w:tcBorders>
              <w:top w:val="nil"/>
              <w:left w:val="nil"/>
              <w:bottom w:val="single" w:sz="4" w:space="0" w:color="auto"/>
              <w:right w:val="single" w:sz="4" w:space="0" w:color="auto"/>
            </w:tcBorders>
            <w:shd w:val="clear" w:color="auto" w:fill="auto"/>
            <w:noWrap/>
            <w:vAlign w:val="bottom"/>
            <w:hideMark/>
          </w:tcPr>
          <w:p w14:paraId="1BB18FD4"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0.84</w:t>
            </w:r>
          </w:p>
        </w:tc>
        <w:tc>
          <w:tcPr>
            <w:tcW w:w="960" w:type="dxa"/>
            <w:tcBorders>
              <w:top w:val="nil"/>
              <w:left w:val="nil"/>
              <w:bottom w:val="single" w:sz="4" w:space="0" w:color="auto"/>
              <w:right w:val="single" w:sz="4" w:space="0" w:color="auto"/>
            </w:tcBorders>
            <w:shd w:val="clear" w:color="auto" w:fill="auto"/>
            <w:noWrap/>
            <w:vAlign w:val="bottom"/>
            <w:hideMark/>
          </w:tcPr>
          <w:p w14:paraId="05E77EE7"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0.82</w:t>
            </w:r>
          </w:p>
        </w:tc>
      </w:tr>
      <w:tr w:rsidR="00AF48E5" w:rsidRPr="004779B6" w14:paraId="33C79655" w14:textId="77777777" w:rsidTr="00AF48E5">
        <w:trPr>
          <w:trHeight w:val="300"/>
        </w:trPr>
        <w:tc>
          <w:tcPr>
            <w:tcW w:w="1325" w:type="dxa"/>
            <w:tcBorders>
              <w:top w:val="nil"/>
              <w:left w:val="single" w:sz="4" w:space="0" w:color="auto"/>
              <w:bottom w:val="single" w:sz="4" w:space="0" w:color="auto"/>
              <w:right w:val="single" w:sz="4" w:space="0" w:color="auto"/>
            </w:tcBorders>
            <w:shd w:val="clear" w:color="auto" w:fill="auto"/>
            <w:noWrap/>
            <w:vAlign w:val="bottom"/>
            <w:hideMark/>
          </w:tcPr>
          <w:p w14:paraId="0EDC56A3"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D-W stat</w:t>
            </w:r>
          </w:p>
        </w:tc>
        <w:tc>
          <w:tcPr>
            <w:tcW w:w="960" w:type="dxa"/>
            <w:tcBorders>
              <w:top w:val="nil"/>
              <w:left w:val="nil"/>
              <w:bottom w:val="single" w:sz="4" w:space="0" w:color="auto"/>
              <w:right w:val="single" w:sz="4" w:space="0" w:color="auto"/>
            </w:tcBorders>
            <w:shd w:val="clear" w:color="auto" w:fill="auto"/>
            <w:noWrap/>
            <w:vAlign w:val="bottom"/>
            <w:hideMark/>
          </w:tcPr>
          <w:p w14:paraId="35F467CC"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1.98</w:t>
            </w:r>
          </w:p>
        </w:tc>
        <w:tc>
          <w:tcPr>
            <w:tcW w:w="960" w:type="dxa"/>
            <w:tcBorders>
              <w:top w:val="nil"/>
              <w:left w:val="nil"/>
              <w:bottom w:val="single" w:sz="4" w:space="0" w:color="auto"/>
              <w:right w:val="single" w:sz="4" w:space="0" w:color="auto"/>
            </w:tcBorders>
            <w:shd w:val="clear" w:color="auto" w:fill="auto"/>
            <w:noWrap/>
            <w:vAlign w:val="bottom"/>
            <w:hideMark/>
          </w:tcPr>
          <w:p w14:paraId="7C3EBE42"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2.03</w:t>
            </w:r>
          </w:p>
        </w:tc>
        <w:tc>
          <w:tcPr>
            <w:tcW w:w="960" w:type="dxa"/>
            <w:tcBorders>
              <w:top w:val="nil"/>
              <w:left w:val="nil"/>
              <w:bottom w:val="single" w:sz="4" w:space="0" w:color="auto"/>
              <w:right w:val="single" w:sz="4" w:space="0" w:color="auto"/>
            </w:tcBorders>
            <w:shd w:val="clear" w:color="auto" w:fill="auto"/>
            <w:noWrap/>
            <w:vAlign w:val="bottom"/>
            <w:hideMark/>
          </w:tcPr>
          <w:p w14:paraId="0E15D487"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7686FDE8" w14:textId="77777777" w:rsidR="00AF48E5" w:rsidRPr="004779B6" w:rsidRDefault="00AF48E5" w:rsidP="004779B6">
            <w:pPr>
              <w:spacing w:after="0" w:line="240" w:lineRule="auto"/>
              <w:jc w:val="both"/>
              <w:rPr>
                <w:rFonts w:asciiTheme="majorHAnsi" w:eastAsia="Times New Roman" w:hAnsiTheme="majorHAnsi" w:cstheme="majorHAnsi"/>
                <w:color w:val="000000"/>
                <w:kern w:val="0"/>
                <w:sz w:val="22"/>
                <w:szCs w:val="22"/>
                <w14:ligatures w14:val="none"/>
              </w:rPr>
            </w:pPr>
            <w:r w:rsidRPr="004779B6">
              <w:rPr>
                <w:rFonts w:asciiTheme="majorHAnsi" w:eastAsia="Times New Roman" w:hAnsiTheme="majorHAnsi" w:cstheme="majorHAnsi"/>
                <w:color w:val="000000"/>
                <w:kern w:val="0"/>
                <w:sz w:val="22"/>
                <w:szCs w:val="22"/>
                <w14:ligatures w14:val="none"/>
              </w:rPr>
              <w:t>2.01</w:t>
            </w:r>
          </w:p>
        </w:tc>
      </w:tr>
    </w:tbl>
    <w:p w14:paraId="456A6C12" w14:textId="77AD3A27" w:rsidR="00461353" w:rsidRPr="004779B6" w:rsidRDefault="00461353" w:rsidP="004779B6">
      <w:pPr>
        <w:jc w:val="both"/>
        <w:rPr>
          <w:rFonts w:asciiTheme="majorHAnsi" w:hAnsiTheme="majorHAnsi" w:cstheme="majorHAnsi"/>
        </w:rPr>
      </w:pPr>
      <w:r w:rsidRPr="004779B6">
        <w:rPr>
          <w:rFonts w:asciiTheme="majorHAnsi" w:hAnsiTheme="majorHAnsi" w:cstheme="majorHAnsi"/>
        </w:rPr>
        <w:t xml:space="preserve">Source: Author’s Own Compilation </w:t>
      </w:r>
    </w:p>
    <w:p w14:paraId="37C16213" w14:textId="75E37096" w:rsidR="0090659A" w:rsidRPr="004779B6" w:rsidRDefault="0090659A" w:rsidP="004779B6">
      <w:pPr>
        <w:jc w:val="both"/>
        <w:rPr>
          <w:rFonts w:asciiTheme="majorHAnsi" w:hAnsiTheme="majorHAnsi" w:cstheme="majorHAnsi"/>
        </w:rPr>
      </w:pPr>
      <w:r w:rsidRPr="004779B6">
        <w:rPr>
          <w:rFonts w:asciiTheme="majorHAnsi" w:hAnsiTheme="majorHAnsi" w:cstheme="majorHAnsi"/>
        </w:rPr>
        <w:t>The consistency in coefficient signs and magnitudes across the models strengthens the credibility of the long-term findings, reinforcing their relevance for policy planning and environmental forecasting.</w:t>
      </w:r>
    </w:p>
    <w:p w14:paraId="7CF8A1F4" w14:textId="1FDE5554" w:rsidR="00AF48E5" w:rsidRPr="004779B6" w:rsidRDefault="00AF48E5" w:rsidP="004779B6">
      <w:pPr>
        <w:jc w:val="both"/>
        <w:rPr>
          <w:rFonts w:asciiTheme="majorHAnsi" w:hAnsiTheme="majorHAnsi" w:cstheme="majorHAnsi"/>
          <w:b/>
          <w:bCs/>
        </w:rPr>
      </w:pPr>
      <w:r w:rsidRPr="004779B6">
        <w:rPr>
          <w:rFonts w:asciiTheme="majorHAnsi" w:hAnsiTheme="majorHAnsi" w:cstheme="majorHAnsi"/>
          <w:b/>
          <w:bCs/>
        </w:rPr>
        <w:t>6. Conclusion, Implications, and future directions</w:t>
      </w:r>
    </w:p>
    <w:p w14:paraId="4E6C8BB0" w14:textId="1AC7A262" w:rsidR="00AF48E5" w:rsidRPr="004779B6" w:rsidRDefault="00AF48E5" w:rsidP="004779B6">
      <w:pPr>
        <w:jc w:val="both"/>
        <w:rPr>
          <w:rFonts w:asciiTheme="majorHAnsi" w:hAnsiTheme="majorHAnsi" w:cstheme="majorHAnsi"/>
          <w:b/>
          <w:bCs/>
        </w:rPr>
      </w:pPr>
      <w:r w:rsidRPr="004779B6">
        <w:rPr>
          <w:rFonts w:asciiTheme="majorHAnsi" w:hAnsiTheme="majorHAnsi" w:cstheme="majorHAnsi"/>
          <w:b/>
          <w:bCs/>
        </w:rPr>
        <w:t>6.1 Conclusion</w:t>
      </w:r>
    </w:p>
    <w:p w14:paraId="1BBA4417" w14:textId="02F1F57A" w:rsidR="00D55C97" w:rsidRPr="004779B6" w:rsidRDefault="00D55C97" w:rsidP="004779B6">
      <w:pPr>
        <w:jc w:val="both"/>
        <w:rPr>
          <w:rFonts w:asciiTheme="majorHAnsi" w:hAnsiTheme="majorHAnsi" w:cstheme="majorHAnsi"/>
        </w:rPr>
      </w:pPr>
      <w:r w:rsidRPr="004779B6">
        <w:rPr>
          <w:rFonts w:asciiTheme="majorHAnsi" w:hAnsiTheme="majorHAnsi" w:cstheme="majorHAnsi"/>
        </w:rPr>
        <w:t>In recent years, economic expansion and rapid industrial activities have led to a notable rise in greenhouse gas emissions. These emissions are key drivers of climate change and ecological harm, posing serious threats to both human wellbeing and the natural environment. To effectively implement carbon neutrality policies, it is essential to analyze the determinants of emission levels. Within this framework, green growth is viewed as a strategic pathway to decouple economic advancement from environmental harm.</w:t>
      </w:r>
    </w:p>
    <w:p w14:paraId="5ECA0635" w14:textId="5682C8D8" w:rsidR="00D55C97" w:rsidRPr="004779B6" w:rsidRDefault="00D55C97" w:rsidP="004779B6">
      <w:pPr>
        <w:jc w:val="both"/>
        <w:rPr>
          <w:rFonts w:asciiTheme="majorHAnsi" w:hAnsiTheme="majorHAnsi" w:cstheme="majorHAnsi"/>
        </w:rPr>
      </w:pPr>
      <w:r w:rsidRPr="004779B6">
        <w:rPr>
          <w:rFonts w:asciiTheme="majorHAnsi" w:hAnsiTheme="majorHAnsi" w:cstheme="majorHAnsi"/>
        </w:rPr>
        <w:t xml:space="preserve">Interest has also grown in examining how other elements influence environmental performance, particularly green innovation and information and communication technology (ICT). Green </w:t>
      </w:r>
      <w:r w:rsidRPr="004779B6">
        <w:rPr>
          <w:rFonts w:asciiTheme="majorHAnsi" w:hAnsiTheme="majorHAnsi" w:cstheme="majorHAnsi"/>
        </w:rPr>
        <w:lastRenderedPageBreak/>
        <w:t>innovation involves the use of environmentally conscious strategies within organizations, focusing on the development of sustainable products and processes, improving efficiency in resource use, and lowering ecological footprints. Meanwhile, the role of ICT in shaping environmental trends is increasingly debated. Although the growing reliance on ICT can elevate energy demand and emissions, its digital solutions may also promote carbon reduction through enhanced efficiency and the substitution of physical products with virtual alternatives.</w:t>
      </w:r>
    </w:p>
    <w:p w14:paraId="075D0F0D" w14:textId="77777777" w:rsidR="00D55C97" w:rsidRPr="004779B6" w:rsidRDefault="00D55C97" w:rsidP="004779B6">
      <w:pPr>
        <w:jc w:val="both"/>
        <w:rPr>
          <w:rFonts w:asciiTheme="majorHAnsi" w:hAnsiTheme="majorHAnsi" w:cstheme="majorHAnsi"/>
        </w:rPr>
      </w:pPr>
      <w:r w:rsidRPr="004779B6">
        <w:rPr>
          <w:rFonts w:asciiTheme="majorHAnsi" w:hAnsiTheme="majorHAnsi" w:cstheme="majorHAnsi"/>
        </w:rPr>
        <w:t>Against this backdrop, the current study evaluates the impacts of green growth, green innovation, and ICT on carbon emissions. The primary insights from the analysis can be outlined as follows:</w:t>
      </w:r>
    </w:p>
    <w:p w14:paraId="18171980" w14:textId="77777777" w:rsidR="00D55C97" w:rsidRPr="004779B6" w:rsidRDefault="00D55C97" w:rsidP="004779B6">
      <w:pPr>
        <w:jc w:val="both"/>
        <w:rPr>
          <w:rFonts w:asciiTheme="majorHAnsi" w:hAnsiTheme="majorHAnsi" w:cstheme="majorHAnsi"/>
        </w:rPr>
      </w:pPr>
      <w:proofErr w:type="spellStart"/>
      <w:r w:rsidRPr="004779B6">
        <w:rPr>
          <w:rFonts w:asciiTheme="majorHAnsi" w:hAnsiTheme="majorHAnsi" w:cstheme="majorHAnsi"/>
        </w:rPr>
        <w:t>i</w:t>
      </w:r>
      <w:proofErr w:type="spellEnd"/>
      <w:r w:rsidRPr="004779B6">
        <w:rPr>
          <w:rFonts w:asciiTheme="majorHAnsi" w:hAnsiTheme="majorHAnsi" w:cstheme="majorHAnsi"/>
        </w:rPr>
        <w:t xml:space="preserve">) </w:t>
      </w:r>
      <w:proofErr w:type="gramStart"/>
      <w:r w:rsidRPr="004779B6">
        <w:rPr>
          <w:rFonts w:asciiTheme="majorHAnsi" w:hAnsiTheme="majorHAnsi" w:cstheme="majorHAnsi"/>
        </w:rPr>
        <w:t>Green</w:t>
      </w:r>
      <w:proofErr w:type="gramEnd"/>
      <w:r w:rsidRPr="004779B6">
        <w:rPr>
          <w:rFonts w:asciiTheme="majorHAnsi" w:hAnsiTheme="majorHAnsi" w:cstheme="majorHAnsi"/>
        </w:rPr>
        <w:t xml:space="preserve"> growth contributes to lower CO₂ emissions consistently across all model estimations.</w:t>
      </w:r>
    </w:p>
    <w:p w14:paraId="493A0AAF" w14:textId="77777777" w:rsidR="00D55C97" w:rsidRPr="004779B6" w:rsidRDefault="00D55C97" w:rsidP="004779B6">
      <w:pPr>
        <w:jc w:val="both"/>
        <w:rPr>
          <w:rFonts w:asciiTheme="majorHAnsi" w:hAnsiTheme="majorHAnsi" w:cstheme="majorHAnsi"/>
        </w:rPr>
      </w:pPr>
      <w:r w:rsidRPr="004779B6">
        <w:rPr>
          <w:rFonts w:asciiTheme="majorHAnsi" w:hAnsiTheme="majorHAnsi" w:cstheme="majorHAnsi"/>
        </w:rPr>
        <w:t>ii) In Model I, green innovation is linked to a rise in CO₂ emissions; however, after incorporating interaction terms, it is found to significantly reduce emissions.</w:t>
      </w:r>
    </w:p>
    <w:p w14:paraId="52B8A47B" w14:textId="77777777" w:rsidR="00D55C97" w:rsidRPr="004779B6" w:rsidRDefault="00D55C97" w:rsidP="004779B6">
      <w:pPr>
        <w:jc w:val="both"/>
        <w:rPr>
          <w:rFonts w:asciiTheme="majorHAnsi" w:hAnsiTheme="majorHAnsi" w:cstheme="majorHAnsi"/>
        </w:rPr>
      </w:pPr>
      <w:r w:rsidRPr="004779B6">
        <w:rPr>
          <w:rFonts w:asciiTheme="majorHAnsi" w:hAnsiTheme="majorHAnsi" w:cstheme="majorHAnsi"/>
        </w:rPr>
        <w:t>iii) ICT consistently shows a positive association with CO₂ emissions in every model analyzed.</w:t>
      </w:r>
    </w:p>
    <w:p w14:paraId="108AD269" w14:textId="77777777" w:rsidR="00D55C97" w:rsidRPr="004779B6" w:rsidRDefault="00D55C97" w:rsidP="004779B6">
      <w:pPr>
        <w:jc w:val="both"/>
        <w:rPr>
          <w:rFonts w:asciiTheme="majorHAnsi" w:hAnsiTheme="majorHAnsi" w:cstheme="majorHAnsi"/>
        </w:rPr>
      </w:pPr>
      <w:r w:rsidRPr="004779B6">
        <w:rPr>
          <w:rFonts w:asciiTheme="majorHAnsi" w:hAnsiTheme="majorHAnsi" w:cstheme="majorHAnsi"/>
        </w:rPr>
        <w:t>iv) The interaction between green growth and ICT (GG × LNICT) exhibits a non-negative influence on emissions.</w:t>
      </w:r>
    </w:p>
    <w:p w14:paraId="4234732B" w14:textId="38B6C3D0" w:rsidR="00AD5CB0" w:rsidRPr="004779B6" w:rsidRDefault="00D55C97" w:rsidP="004779B6">
      <w:pPr>
        <w:jc w:val="both"/>
        <w:rPr>
          <w:rFonts w:asciiTheme="majorHAnsi" w:hAnsiTheme="majorHAnsi" w:cstheme="majorHAnsi"/>
        </w:rPr>
      </w:pPr>
      <w:r w:rsidRPr="004779B6">
        <w:rPr>
          <w:rFonts w:asciiTheme="majorHAnsi" w:hAnsiTheme="majorHAnsi" w:cstheme="majorHAnsi"/>
        </w:rPr>
        <w:t>v) The interaction term between green innovation and ICT (LNGIN × LNICT) is associated with a reduction in CO₂ emissions in Model III, while in Model IV, the relationship turns positive.</w:t>
      </w:r>
    </w:p>
    <w:p w14:paraId="43DA3DF3" w14:textId="13CBC098" w:rsidR="005C4C30" w:rsidRPr="004779B6" w:rsidRDefault="005C4C30" w:rsidP="004779B6">
      <w:pPr>
        <w:jc w:val="both"/>
        <w:rPr>
          <w:rFonts w:asciiTheme="majorHAnsi" w:hAnsiTheme="majorHAnsi" w:cstheme="majorHAnsi"/>
          <w:b/>
          <w:bCs/>
        </w:rPr>
      </w:pPr>
      <w:r w:rsidRPr="004779B6">
        <w:rPr>
          <w:rFonts w:asciiTheme="majorHAnsi" w:hAnsiTheme="majorHAnsi" w:cstheme="majorHAnsi"/>
          <w:b/>
          <w:bCs/>
        </w:rPr>
        <w:t>6.2 Policy implications</w:t>
      </w:r>
    </w:p>
    <w:p w14:paraId="7D0D8061" w14:textId="04B91916" w:rsidR="005562B3" w:rsidRPr="004779B6" w:rsidRDefault="005562B3" w:rsidP="004779B6">
      <w:pPr>
        <w:jc w:val="both"/>
        <w:rPr>
          <w:rFonts w:asciiTheme="majorHAnsi" w:hAnsiTheme="majorHAnsi" w:cstheme="majorHAnsi"/>
        </w:rPr>
      </w:pPr>
      <w:r w:rsidRPr="004779B6">
        <w:rPr>
          <w:rFonts w:asciiTheme="majorHAnsi" w:hAnsiTheme="majorHAnsi" w:cstheme="majorHAnsi"/>
        </w:rPr>
        <w:t>Based on the findings of this study, several important policy implications are proposed for the relevant authorities to consider in fostering environmental sustainability in Kenya:</w:t>
      </w:r>
    </w:p>
    <w:p w14:paraId="0A02FA9C" w14:textId="77777777" w:rsidR="005562B3" w:rsidRPr="004779B6" w:rsidRDefault="005562B3" w:rsidP="004779B6">
      <w:pPr>
        <w:jc w:val="both"/>
        <w:rPr>
          <w:rFonts w:asciiTheme="majorHAnsi" w:hAnsiTheme="majorHAnsi" w:cstheme="majorHAnsi"/>
        </w:rPr>
      </w:pPr>
      <w:r w:rsidRPr="004779B6">
        <w:rPr>
          <w:rFonts w:asciiTheme="majorHAnsi" w:hAnsiTheme="majorHAnsi" w:cstheme="majorHAnsi"/>
        </w:rPr>
        <w:t>1. Promote Green Growth for Environmental and Economic Gains:</w:t>
      </w:r>
    </w:p>
    <w:p w14:paraId="660B5D1D" w14:textId="720167A2" w:rsidR="005562B3" w:rsidRPr="004779B6" w:rsidRDefault="005562B3" w:rsidP="004779B6">
      <w:pPr>
        <w:jc w:val="both"/>
        <w:rPr>
          <w:rFonts w:asciiTheme="majorHAnsi" w:hAnsiTheme="majorHAnsi" w:cstheme="majorHAnsi"/>
        </w:rPr>
      </w:pPr>
      <w:r w:rsidRPr="004779B6">
        <w:rPr>
          <w:rFonts w:asciiTheme="majorHAnsi" w:hAnsiTheme="majorHAnsi" w:cstheme="majorHAnsi"/>
        </w:rPr>
        <w:t>The analysis clearly indicates that green growth contributes to reducing carbon dioxide (CO₂) emissions while enhancing environmental quality. Given Kenya's unique context, being in the early stages of industrialization and grappling with emerging sustainability challenges, green growth represents a viable path toward long-term development. Many of the country’s industrial assets, such as power infrastructure and machinery, are outdated and in need of replacement. This presents a strategic opportunity to shift toward low-emission technologies. Moreover, Kenya is endowed with significant renewable energy potential, particularly in solar and wind, which can be harnessed to develop alternative, clean energy solutions. Policies should thus promote a transition to a low-carbon economy through enhanced energy efficiency and increased reliance on renewable resources. Implementing measures such as environmental tax reforms, incentivizing energy conservation practices, and mandating the use of energy-efficient appliances can support this transition.</w:t>
      </w:r>
    </w:p>
    <w:p w14:paraId="5D00148C" w14:textId="77777777" w:rsidR="005562B3" w:rsidRPr="004779B6" w:rsidRDefault="005562B3" w:rsidP="004779B6">
      <w:pPr>
        <w:jc w:val="both"/>
        <w:rPr>
          <w:rFonts w:asciiTheme="majorHAnsi" w:hAnsiTheme="majorHAnsi" w:cstheme="majorHAnsi"/>
        </w:rPr>
      </w:pPr>
      <w:r w:rsidRPr="004779B6">
        <w:rPr>
          <w:rFonts w:asciiTheme="majorHAnsi" w:hAnsiTheme="majorHAnsi" w:cstheme="majorHAnsi"/>
        </w:rPr>
        <w:t>2. Encourage Green Innovation as a Tool for Emissions Reduction:</w:t>
      </w:r>
    </w:p>
    <w:p w14:paraId="0071C684" w14:textId="63188007" w:rsidR="005562B3" w:rsidRPr="004779B6" w:rsidRDefault="005562B3" w:rsidP="004779B6">
      <w:pPr>
        <w:jc w:val="both"/>
        <w:rPr>
          <w:rFonts w:asciiTheme="majorHAnsi" w:hAnsiTheme="majorHAnsi" w:cstheme="majorHAnsi"/>
        </w:rPr>
      </w:pPr>
      <w:r w:rsidRPr="004779B6">
        <w:rPr>
          <w:rFonts w:asciiTheme="majorHAnsi" w:hAnsiTheme="majorHAnsi" w:cstheme="majorHAnsi"/>
        </w:rPr>
        <w:lastRenderedPageBreak/>
        <w:t>The study's long-run estimates, obtained using the Augmented ARDL model, demonstrate that green innovation significantly curtails CO₂ emissions. Green innovation, often seen as a pillar of sustainable development, should be bolstered through strategic investment and policy support. The government should prioritize innovation-driven economic growth by focusing on idea-led research, innovation-enhancing productivity, and fostering growth that stems from technological advancements. Rather than acting as a market participant, the state should take on the role of a fair and transparent regulator, creating an enabling environment for private-sector innovation and investment in green technologies.</w:t>
      </w:r>
    </w:p>
    <w:p w14:paraId="27D9689B" w14:textId="77777777" w:rsidR="005562B3" w:rsidRPr="004779B6" w:rsidRDefault="005562B3" w:rsidP="004779B6">
      <w:pPr>
        <w:jc w:val="both"/>
        <w:rPr>
          <w:rFonts w:asciiTheme="majorHAnsi" w:hAnsiTheme="majorHAnsi" w:cstheme="majorHAnsi"/>
        </w:rPr>
      </w:pPr>
      <w:r w:rsidRPr="004779B6">
        <w:rPr>
          <w:rFonts w:asciiTheme="majorHAnsi" w:hAnsiTheme="majorHAnsi" w:cstheme="majorHAnsi"/>
        </w:rPr>
        <w:t>3. Rethink ICT Development in Light of Environmental Goals:</w:t>
      </w:r>
    </w:p>
    <w:p w14:paraId="346A08F2" w14:textId="688D5A0C" w:rsidR="005562B3" w:rsidRPr="004779B6" w:rsidRDefault="005562B3" w:rsidP="004779B6">
      <w:pPr>
        <w:jc w:val="both"/>
        <w:rPr>
          <w:rFonts w:asciiTheme="majorHAnsi" w:hAnsiTheme="majorHAnsi" w:cstheme="majorHAnsi"/>
        </w:rPr>
      </w:pPr>
      <w:r w:rsidRPr="004779B6">
        <w:rPr>
          <w:rFonts w:asciiTheme="majorHAnsi" w:hAnsiTheme="majorHAnsi" w:cstheme="majorHAnsi"/>
        </w:rPr>
        <w:t>The study finds a positive relationship between ICT expansion and CO₂ emissions, indicating that without careful management, digital transformation may exacerbate environmental challenges. To mitigate this, sustainable ICT development strategies must be adopted. These include upgrading manufacturing processes, improving energy efficiency, and creating eco-friendly ICT products and services. Infrastructure improvements should be supported by policy frameworks that include institutional and regulatory assurances. Kenya should also foster international cooperation in the ICT sector to benefit from technology transfer and global knowledge spillovers. This will help bridge development gaps and facilitate a green transformation of the ICT industry, ultimately reducing its environmental footprint.</w:t>
      </w:r>
    </w:p>
    <w:p w14:paraId="62E604A1" w14:textId="77777777" w:rsidR="005562B3" w:rsidRPr="004779B6" w:rsidRDefault="005562B3" w:rsidP="004779B6">
      <w:pPr>
        <w:jc w:val="both"/>
        <w:rPr>
          <w:rFonts w:asciiTheme="majorHAnsi" w:hAnsiTheme="majorHAnsi" w:cstheme="majorHAnsi"/>
        </w:rPr>
      </w:pPr>
      <w:r w:rsidRPr="004779B6">
        <w:rPr>
          <w:rFonts w:asciiTheme="majorHAnsi" w:hAnsiTheme="majorHAnsi" w:cstheme="majorHAnsi"/>
        </w:rPr>
        <w:t>4. Strengthen Regional Cooperation and Technology Transfer:</w:t>
      </w:r>
    </w:p>
    <w:p w14:paraId="17103B09" w14:textId="3DF483AE" w:rsidR="005562B3" w:rsidRPr="004779B6" w:rsidRDefault="005562B3" w:rsidP="004779B6">
      <w:pPr>
        <w:jc w:val="both"/>
        <w:rPr>
          <w:rFonts w:asciiTheme="majorHAnsi" w:hAnsiTheme="majorHAnsi" w:cstheme="majorHAnsi"/>
        </w:rPr>
      </w:pPr>
      <w:r w:rsidRPr="004779B6">
        <w:rPr>
          <w:rFonts w:asciiTheme="majorHAnsi" w:hAnsiTheme="majorHAnsi" w:cstheme="majorHAnsi"/>
        </w:rPr>
        <w:t>To achieve a sustainable, low-carbon future, Kenya should promote the cross-border exchange of green technologies and practices. Regional collaboration can accelerate the transition to environmentally friendly production systems, especially in the ICT and energy sectors. Through shared innovations and collaborative policy design, East African nations can collectively reduce CO₂ emissions while fostering inclusive economic growth.</w:t>
      </w:r>
    </w:p>
    <w:p w14:paraId="4AC57894" w14:textId="2BD104A6" w:rsidR="00B22837" w:rsidRPr="004779B6" w:rsidRDefault="00B22837" w:rsidP="004779B6">
      <w:pPr>
        <w:jc w:val="both"/>
        <w:rPr>
          <w:rFonts w:asciiTheme="majorHAnsi" w:hAnsiTheme="majorHAnsi" w:cstheme="majorHAnsi"/>
          <w:b/>
          <w:bCs/>
        </w:rPr>
      </w:pPr>
      <w:r w:rsidRPr="004779B6">
        <w:rPr>
          <w:rFonts w:asciiTheme="majorHAnsi" w:hAnsiTheme="majorHAnsi" w:cstheme="majorHAnsi"/>
          <w:b/>
          <w:bCs/>
        </w:rPr>
        <w:t>6.3 Limitations and future directions</w:t>
      </w:r>
    </w:p>
    <w:p w14:paraId="40530974" w14:textId="3EE59E3E" w:rsidR="00B22837" w:rsidRPr="004779B6" w:rsidRDefault="00B22837" w:rsidP="004779B6">
      <w:pPr>
        <w:jc w:val="both"/>
        <w:rPr>
          <w:rFonts w:asciiTheme="majorHAnsi" w:hAnsiTheme="majorHAnsi" w:cstheme="majorHAnsi"/>
        </w:rPr>
      </w:pPr>
      <w:r w:rsidRPr="004779B6">
        <w:rPr>
          <w:rFonts w:asciiTheme="majorHAnsi" w:hAnsiTheme="majorHAnsi" w:cstheme="majorHAnsi"/>
        </w:rPr>
        <w:t>Some limitations are acknowledged in this study. A major constraint is the limited availability of large, comprehensive datasets for example, at the county or regional level within Kenya, which may affect the depth and accuracy of the analysis. Access to more granular data will improve the quality and applicability of the findings. This study focuses solely on Kenya, given its unique economic, political, and social context, which means the results may not be directly transferable to other countries.</w:t>
      </w:r>
    </w:p>
    <w:p w14:paraId="78034C23" w14:textId="23B8031C" w:rsidR="00B22837" w:rsidRPr="004779B6" w:rsidRDefault="00B22837" w:rsidP="004779B6">
      <w:pPr>
        <w:jc w:val="both"/>
        <w:rPr>
          <w:rFonts w:asciiTheme="majorHAnsi" w:hAnsiTheme="majorHAnsi" w:cstheme="majorHAnsi"/>
        </w:rPr>
      </w:pPr>
      <w:r w:rsidRPr="004779B6">
        <w:rPr>
          <w:rFonts w:asciiTheme="majorHAnsi" w:hAnsiTheme="majorHAnsi" w:cstheme="majorHAnsi"/>
        </w:rPr>
        <w:t xml:space="preserve">Future research directions include exploring how emerging technologies such as the Internet of Things (IoT), artificial intelligence (AI), and blockchain can support environmental sustainability and help Kenya achieve carbon neutrality. The study highlights the critical role of green growth, green innovation, and ICT in meeting Kenya’s climate goals. Subsequent studies could examine the </w:t>
      </w:r>
      <w:r w:rsidRPr="004779B6">
        <w:rPr>
          <w:rFonts w:asciiTheme="majorHAnsi" w:hAnsiTheme="majorHAnsi" w:cstheme="majorHAnsi"/>
        </w:rPr>
        <w:lastRenderedPageBreak/>
        <w:t>implementation of policies and interventions that foster the integration of these technologies into Kenya’s green economy.</w:t>
      </w:r>
    </w:p>
    <w:p w14:paraId="42428C55" w14:textId="318CD0A7" w:rsidR="00B22837" w:rsidRPr="004779B6" w:rsidRDefault="00B22837" w:rsidP="004779B6">
      <w:pPr>
        <w:jc w:val="both"/>
        <w:rPr>
          <w:rFonts w:asciiTheme="majorHAnsi" w:hAnsiTheme="majorHAnsi" w:cstheme="majorHAnsi"/>
        </w:rPr>
      </w:pPr>
      <w:r w:rsidRPr="004779B6">
        <w:rPr>
          <w:rFonts w:asciiTheme="majorHAnsi" w:hAnsiTheme="majorHAnsi" w:cstheme="majorHAnsi"/>
        </w:rPr>
        <w:t>Additionally, future research might investigate renewable energy expansion, green transportation systems, and sustainable manufacturing practices as viable pathways toward Kenya’s carbon neutrality ambitions. These areas hold significant potential to accelerate the country’s transition to a low-carbon, climate-resilient economy.</w:t>
      </w:r>
    </w:p>
    <w:p w14:paraId="2E5D125B" w14:textId="77777777" w:rsidR="002C712A" w:rsidRPr="004779B6" w:rsidRDefault="002C712A" w:rsidP="004779B6">
      <w:pPr>
        <w:jc w:val="both"/>
        <w:rPr>
          <w:rFonts w:asciiTheme="majorHAnsi" w:hAnsiTheme="majorHAnsi" w:cstheme="majorHAnsi"/>
        </w:rPr>
      </w:pPr>
    </w:p>
    <w:p w14:paraId="6A773B0C" w14:textId="77777777" w:rsidR="002C712A" w:rsidRPr="004779B6" w:rsidRDefault="002C712A" w:rsidP="004779B6">
      <w:pPr>
        <w:jc w:val="both"/>
        <w:rPr>
          <w:rFonts w:asciiTheme="majorHAnsi" w:hAnsiTheme="majorHAnsi" w:cstheme="majorHAnsi"/>
        </w:rPr>
      </w:pPr>
    </w:p>
    <w:p w14:paraId="437E45ED" w14:textId="77777777" w:rsidR="002C712A" w:rsidRPr="004779B6" w:rsidRDefault="002C712A" w:rsidP="004779B6">
      <w:pPr>
        <w:jc w:val="both"/>
        <w:rPr>
          <w:rFonts w:asciiTheme="majorHAnsi" w:hAnsiTheme="majorHAnsi" w:cstheme="majorHAnsi"/>
        </w:rPr>
      </w:pPr>
    </w:p>
    <w:p w14:paraId="5C01BAB8" w14:textId="77777777" w:rsidR="002C712A" w:rsidRPr="004779B6" w:rsidRDefault="002C712A" w:rsidP="004779B6">
      <w:pPr>
        <w:jc w:val="both"/>
        <w:rPr>
          <w:rFonts w:asciiTheme="majorHAnsi" w:hAnsiTheme="majorHAnsi" w:cstheme="majorHAnsi"/>
        </w:rPr>
      </w:pPr>
    </w:p>
    <w:p w14:paraId="45B5ECC7" w14:textId="77777777" w:rsidR="002C712A" w:rsidRPr="004779B6" w:rsidRDefault="002C712A" w:rsidP="004779B6">
      <w:pPr>
        <w:jc w:val="both"/>
        <w:rPr>
          <w:rFonts w:asciiTheme="majorHAnsi" w:hAnsiTheme="majorHAnsi" w:cstheme="majorHAnsi"/>
        </w:rPr>
      </w:pPr>
    </w:p>
    <w:p w14:paraId="6C6C4632" w14:textId="77777777" w:rsidR="002C712A" w:rsidRPr="004779B6" w:rsidRDefault="002C712A" w:rsidP="004779B6">
      <w:pPr>
        <w:jc w:val="both"/>
        <w:rPr>
          <w:rFonts w:asciiTheme="majorHAnsi" w:hAnsiTheme="majorHAnsi" w:cstheme="majorHAnsi"/>
        </w:rPr>
      </w:pPr>
    </w:p>
    <w:p w14:paraId="4581B473" w14:textId="77777777" w:rsidR="002C712A" w:rsidRDefault="002C712A" w:rsidP="004779B6">
      <w:pPr>
        <w:jc w:val="both"/>
        <w:rPr>
          <w:rFonts w:asciiTheme="majorHAnsi" w:hAnsiTheme="majorHAnsi" w:cstheme="majorHAnsi"/>
        </w:rPr>
      </w:pPr>
    </w:p>
    <w:p w14:paraId="46986099" w14:textId="77777777" w:rsidR="009D1CF9" w:rsidRDefault="009D1CF9" w:rsidP="004779B6">
      <w:pPr>
        <w:jc w:val="both"/>
        <w:rPr>
          <w:rFonts w:asciiTheme="majorHAnsi" w:hAnsiTheme="majorHAnsi" w:cstheme="majorHAnsi"/>
        </w:rPr>
      </w:pPr>
    </w:p>
    <w:p w14:paraId="50C56774" w14:textId="77777777" w:rsidR="009D1CF9" w:rsidRDefault="009D1CF9" w:rsidP="004779B6">
      <w:pPr>
        <w:jc w:val="both"/>
        <w:rPr>
          <w:rFonts w:asciiTheme="majorHAnsi" w:hAnsiTheme="majorHAnsi" w:cstheme="majorHAnsi"/>
        </w:rPr>
      </w:pPr>
    </w:p>
    <w:p w14:paraId="72382584" w14:textId="77777777" w:rsidR="009D1CF9" w:rsidRDefault="009D1CF9" w:rsidP="004779B6">
      <w:pPr>
        <w:jc w:val="both"/>
        <w:rPr>
          <w:rFonts w:asciiTheme="majorHAnsi" w:hAnsiTheme="majorHAnsi" w:cstheme="majorHAnsi"/>
        </w:rPr>
      </w:pPr>
    </w:p>
    <w:p w14:paraId="11229912" w14:textId="77777777" w:rsidR="009D1CF9" w:rsidRDefault="009D1CF9" w:rsidP="004779B6">
      <w:pPr>
        <w:jc w:val="both"/>
        <w:rPr>
          <w:rFonts w:asciiTheme="majorHAnsi" w:hAnsiTheme="majorHAnsi" w:cstheme="majorHAnsi"/>
        </w:rPr>
      </w:pPr>
    </w:p>
    <w:p w14:paraId="5FC3104B" w14:textId="77777777" w:rsidR="009D1CF9" w:rsidRDefault="009D1CF9" w:rsidP="004779B6">
      <w:pPr>
        <w:jc w:val="both"/>
        <w:rPr>
          <w:rFonts w:asciiTheme="majorHAnsi" w:hAnsiTheme="majorHAnsi" w:cstheme="majorHAnsi"/>
        </w:rPr>
      </w:pPr>
    </w:p>
    <w:p w14:paraId="2DF4D1D5" w14:textId="77777777" w:rsidR="009D1CF9" w:rsidRDefault="009D1CF9" w:rsidP="004779B6">
      <w:pPr>
        <w:jc w:val="both"/>
        <w:rPr>
          <w:rFonts w:asciiTheme="majorHAnsi" w:hAnsiTheme="majorHAnsi" w:cstheme="majorHAnsi"/>
        </w:rPr>
      </w:pPr>
    </w:p>
    <w:p w14:paraId="5EE5C500" w14:textId="77777777" w:rsidR="009D1CF9" w:rsidRPr="004779B6" w:rsidRDefault="009D1CF9" w:rsidP="004779B6">
      <w:pPr>
        <w:jc w:val="both"/>
        <w:rPr>
          <w:rFonts w:asciiTheme="majorHAnsi" w:hAnsiTheme="majorHAnsi" w:cstheme="majorHAnsi"/>
        </w:rPr>
      </w:pPr>
    </w:p>
    <w:p w14:paraId="0C749960" w14:textId="77777777" w:rsidR="002C712A" w:rsidRPr="004779B6" w:rsidRDefault="002C712A" w:rsidP="004779B6">
      <w:pPr>
        <w:jc w:val="both"/>
        <w:rPr>
          <w:rFonts w:asciiTheme="majorHAnsi" w:hAnsiTheme="majorHAnsi" w:cstheme="majorHAnsi"/>
        </w:rPr>
      </w:pPr>
    </w:p>
    <w:p w14:paraId="7EF8335F" w14:textId="77777777" w:rsidR="002C712A" w:rsidRPr="004779B6" w:rsidRDefault="002C712A" w:rsidP="004779B6">
      <w:pPr>
        <w:jc w:val="both"/>
        <w:rPr>
          <w:rFonts w:asciiTheme="majorHAnsi" w:hAnsiTheme="majorHAnsi" w:cstheme="majorHAnsi"/>
        </w:rPr>
      </w:pPr>
    </w:p>
    <w:p w14:paraId="7AFCDCB3" w14:textId="77777777" w:rsidR="009D1CF9" w:rsidRDefault="009D1CF9" w:rsidP="004779B6">
      <w:pPr>
        <w:jc w:val="both"/>
        <w:rPr>
          <w:rFonts w:asciiTheme="majorHAnsi" w:hAnsiTheme="majorHAnsi" w:cstheme="majorHAnsi"/>
        </w:rPr>
      </w:pPr>
    </w:p>
    <w:p w14:paraId="442D53AE" w14:textId="77777777" w:rsidR="009D1CF9" w:rsidRDefault="009D1CF9" w:rsidP="004779B6">
      <w:pPr>
        <w:jc w:val="both"/>
        <w:rPr>
          <w:rFonts w:asciiTheme="majorHAnsi" w:hAnsiTheme="majorHAnsi" w:cstheme="majorHAnsi"/>
        </w:rPr>
      </w:pPr>
    </w:p>
    <w:p w14:paraId="2C8B4DE2" w14:textId="77777777" w:rsidR="009D1CF9" w:rsidRDefault="009D1CF9" w:rsidP="004779B6">
      <w:pPr>
        <w:jc w:val="both"/>
        <w:rPr>
          <w:rFonts w:asciiTheme="majorHAnsi" w:hAnsiTheme="majorHAnsi" w:cstheme="majorHAnsi"/>
        </w:rPr>
      </w:pPr>
    </w:p>
    <w:p w14:paraId="2E5B016C" w14:textId="77777777" w:rsidR="009D1CF9" w:rsidRDefault="009D1CF9" w:rsidP="004779B6">
      <w:pPr>
        <w:jc w:val="both"/>
        <w:rPr>
          <w:rFonts w:asciiTheme="majorHAnsi" w:hAnsiTheme="majorHAnsi" w:cstheme="majorHAnsi"/>
        </w:rPr>
      </w:pPr>
    </w:p>
    <w:p w14:paraId="171484BC" w14:textId="77777777" w:rsidR="009D1CF9" w:rsidRDefault="009D1CF9" w:rsidP="004779B6">
      <w:pPr>
        <w:jc w:val="both"/>
        <w:rPr>
          <w:rFonts w:asciiTheme="majorHAnsi" w:hAnsiTheme="majorHAnsi" w:cstheme="majorHAnsi"/>
        </w:rPr>
      </w:pPr>
    </w:p>
    <w:p w14:paraId="64F2D75F" w14:textId="74525F07" w:rsidR="00544A4A" w:rsidRPr="004779B6" w:rsidRDefault="00544A4A" w:rsidP="004779B6">
      <w:pPr>
        <w:jc w:val="both"/>
        <w:rPr>
          <w:rFonts w:asciiTheme="majorHAnsi" w:hAnsiTheme="majorHAnsi" w:cstheme="majorHAnsi"/>
        </w:rPr>
      </w:pPr>
      <w:r w:rsidRPr="004779B6">
        <w:rPr>
          <w:rFonts w:asciiTheme="majorHAnsi" w:hAnsiTheme="majorHAnsi" w:cstheme="majorHAnsi"/>
        </w:rPr>
        <w:lastRenderedPageBreak/>
        <w:t>References</w:t>
      </w:r>
    </w:p>
    <w:p w14:paraId="288BE396" w14:textId="09310FFF" w:rsidR="008F72B0" w:rsidRPr="004779B6" w:rsidRDefault="00544A4A"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Kakar, A., Khan, A., &amp; Khan, A. (2024). Analyzing the role of governance, ICT, and urbanization on environment in South Asian countries. </w:t>
      </w:r>
      <w:r w:rsidRPr="004779B6">
        <w:rPr>
          <w:rFonts w:asciiTheme="majorHAnsi" w:hAnsiTheme="majorHAnsi" w:cstheme="majorHAnsi"/>
          <w:i/>
          <w:iCs/>
          <w:color w:val="222222"/>
          <w:sz w:val="20"/>
          <w:szCs w:val="20"/>
          <w:shd w:val="clear" w:color="auto" w:fill="FFFFFF"/>
        </w:rPr>
        <w:t>Journal of the Knowledge Economy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15</w:t>
      </w:r>
      <w:r w:rsidRPr="004779B6">
        <w:rPr>
          <w:rFonts w:asciiTheme="majorHAnsi" w:hAnsiTheme="majorHAnsi" w:cstheme="majorHAnsi"/>
          <w:color w:val="222222"/>
          <w:sz w:val="20"/>
          <w:szCs w:val="20"/>
          <w:shd w:val="clear" w:color="auto" w:fill="FFFFFF"/>
        </w:rPr>
        <w:t>(1), 2682-2703.</w:t>
      </w:r>
    </w:p>
    <w:p w14:paraId="59278383" w14:textId="1A52FD43" w:rsidR="008E2D64" w:rsidRPr="004779B6" w:rsidRDefault="008E2D64"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Zhao, J., Taghizadeh-</w:t>
      </w:r>
      <w:proofErr w:type="spellStart"/>
      <w:r w:rsidRPr="004779B6">
        <w:rPr>
          <w:rFonts w:asciiTheme="majorHAnsi" w:hAnsiTheme="majorHAnsi" w:cstheme="majorHAnsi"/>
          <w:color w:val="222222"/>
          <w:sz w:val="20"/>
          <w:szCs w:val="20"/>
          <w:shd w:val="clear" w:color="auto" w:fill="FFFFFF"/>
        </w:rPr>
        <w:t>Hesary</w:t>
      </w:r>
      <w:proofErr w:type="spellEnd"/>
      <w:r w:rsidRPr="004779B6">
        <w:rPr>
          <w:rFonts w:asciiTheme="majorHAnsi" w:hAnsiTheme="majorHAnsi" w:cstheme="majorHAnsi"/>
          <w:color w:val="222222"/>
          <w:sz w:val="20"/>
          <w:szCs w:val="20"/>
          <w:shd w:val="clear" w:color="auto" w:fill="FFFFFF"/>
        </w:rPr>
        <w:t>, F., Dong, K., &amp; Dong, X. (2023). How green growth affects carbon emissions in China: the role of green finance. </w:t>
      </w:r>
      <w:r w:rsidRPr="004779B6">
        <w:rPr>
          <w:rFonts w:asciiTheme="majorHAnsi" w:hAnsiTheme="majorHAnsi" w:cstheme="majorHAnsi"/>
          <w:i/>
          <w:iCs/>
          <w:color w:val="222222"/>
          <w:sz w:val="20"/>
          <w:szCs w:val="20"/>
          <w:shd w:val="clear" w:color="auto" w:fill="FFFFFF"/>
        </w:rPr>
        <w:t>Economic research-</w:t>
      </w:r>
      <w:proofErr w:type="spellStart"/>
      <w:r w:rsidRPr="004779B6">
        <w:rPr>
          <w:rFonts w:asciiTheme="majorHAnsi" w:hAnsiTheme="majorHAnsi" w:cstheme="majorHAnsi"/>
          <w:i/>
          <w:iCs/>
          <w:color w:val="222222"/>
          <w:sz w:val="20"/>
          <w:szCs w:val="20"/>
          <w:shd w:val="clear" w:color="auto" w:fill="FFFFFF"/>
        </w:rPr>
        <w:t>Ekonomska</w:t>
      </w:r>
      <w:proofErr w:type="spellEnd"/>
      <w:r w:rsidRPr="004779B6">
        <w:rPr>
          <w:rFonts w:asciiTheme="majorHAnsi" w:hAnsiTheme="majorHAnsi" w:cstheme="majorHAnsi"/>
          <w:i/>
          <w:iCs/>
          <w:color w:val="222222"/>
          <w:sz w:val="20"/>
          <w:szCs w:val="20"/>
          <w:shd w:val="clear" w:color="auto" w:fill="FFFFFF"/>
        </w:rPr>
        <w:t xml:space="preserve"> </w:t>
      </w:r>
      <w:proofErr w:type="spellStart"/>
      <w:r w:rsidRPr="004779B6">
        <w:rPr>
          <w:rFonts w:asciiTheme="majorHAnsi" w:hAnsiTheme="majorHAnsi" w:cstheme="majorHAnsi"/>
          <w:i/>
          <w:iCs/>
          <w:color w:val="222222"/>
          <w:sz w:val="20"/>
          <w:szCs w:val="20"/>
          <w:shd w:val="clear" w:color="auto" w:fill="FFFFFF"/>
        </w:rPr>
        <w:t>istraživanja</w:t>
      </w:r>
      <w:proofErr w:type="spell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36</w:t>
      </w:r>
      <w:r w:rsidRPr="004779B6">
        <w:rPr>
          <w:rFonts w:asciiTheme="majorHAnsi" w:hAnsiTheme="majorHAnsi" w:cstheme="majorHAnsi"/>
          <w:color w:val="222222"/>
          <w:sz w:val="20"/>
          <w:szCs w:val="20"/>
          <w:shd w:val="clear" w:color="auto" w:fill="FFFFFF"/>
        </w:rPr>
        <w:t>(1), 2090-2111.</w:t>
      </w:r>
    </w:p>
    <w:p w14:paraId="52F39CC5" w14:textId="077D84F2" w:rsidR="00AA3240" w:rsidRPr="004779B6" w:rsidRDefault="00AA3240" w:rsidP="004779B6">
      <w:pPr>
        <w:ind w:hanging="720"/>
        <w:jc w:val="both"/>
        <w:rPr>
          <w:rFonts w:asciiTheme="majorHAnsi" w:hAnsiTheme="majorHAnsi" w:cstheme="majorHAnsi"/>
          <w:color w:val="222222"/>
          <w:sz w:val="20"/>
          <w:szCs w:val="20"/>
          <w:shd w:val="clear" w:color="auto" w:fill="FFFFFF"/>
        </w:rPr>
      </w:pPr>
      <w:proofErr w:type="spellStart"/>
      <w:r w:rsidRPr="004779B6">
        <w:rPr>
          <w:rStyle w:val="Strong"/>
          <w:rFonts w:asciiTheme="majorHAnsi" w:hAnsiTheme="majorHAnsi" w:cstheme="majorHAnsi"/>
          <w:b w:val="0"/>
          <w:bCs w:val="0"/>
        </w:rPr>
        <w:t>Samoita</w:t>
      </w:r>
      <w:proofErr w:type="spellEnd"/>
      <w:r w:rsidRPr="004779B6">
        <w:rPr>
          <w:rStyle w:val="Strong"/>
          <w:rFonts w:asciiTheme="majorHAnsi" w:hAnsiTheme="majorHAnsi" w:cstheme="majorHAnsi"/>
          <w:b w:val="0"/>
          <w:bCs w:val="0"/>
        </w:rPr>
        <w:t xml:space="preserve">, D., </w:t>
      </w:r>
      <w:proofErr w:type="spellStart"/>
      <w:r w:rsidRPr="004779B6">
        <w:rPr>
          <w:rStyle w:val="Strong"/>
          <w:rFonts w:asciiTheme="majorHAnsi" w:hAnsiTheme="majorHAnsi" w:cstheme="majorHAnsi"/>
          <w:b w:val="0"/>
          <w:bCs w:val="0"/>
        </w:rPr>
        <w:t>Nzila</w:t>
      </w:r>
      <w:proofErr w:type="spellEnd"/>
      <w:r w:rsidRPr="004779B6">
        <w:rPr>
          <w:rStyle w:val="Strong"/>
          <w:rFonts w:asciiTheme="majorHAnsi" w:hAnsiTheme="majorHAnsi" w:cstheme="majorHAnsi"/>
          <w:b w:val="0"/>
          <w:bCs w:val="0"/>
        </w:rPr>
        <w:t>, C., Østergaard, P. A., &amp; Remmen, A.</w:t>
      </w:r>
      <w:r w:rsidRPr="004779B6">
        <w:rPr>
          <w:rFonts w:asciiTheme="majorHAnsi" w:hAnsiTheme="majorHAnsi" w:cstheme="majorHAnsi"/>
        </w:rPr>
        <w:t xml:space="preserve"> (2024). </w:t>
      </w:r>
      <w:r w:rsidRPr="004779B6">
        <w:rPr>
          <w:rStyle w:val="Emphasis"/>
          <w:rFonts w:asciiTheme="majorHAnsi" w:hAnsiTheme="majorHAnsi" w:cstheme="majorHAnsi"/>
        </w:rPr>
        <w:t>Towards 100% renewable energy: Incrementing solar electrification in Kenya</w:t>
      </w:r>
      <w:r w:rsidRPr="004779B6">
        <w:rPr>
          <w:rFonts w:asciiTheme="majorHAnsi" w:hAnsiTheme="majorHAnsi" w:cstheme="majorHAnsi"/>
        </w:rPr>
        <w:t xml:space="preserve">. </w:t>
      </w:r>
      <w:r w:rsidRPr="004779B6">
        <w:rPr>
          <w:rStyle w:val="Emphasis"/>
          <w:rFonts w:asciiTheme="majorHAnsi" w:hAnsiTheme="majorHAnsi" w:cstheme="majorHAnsi"/>
        </w:rPr>
        <w:t>Journal of Energy Technologies and Policy, 14</w:t>
      </w:r>
      <w:r w:rsidRPr="004779B6">
        <w:rPr>
          <w:rFonts w:asciiTheme="majorHAnsi" w:hAnsiTheme="majorHAnsi" w:cstheme="majorHAnsi"/>
        </w:rPr>
        <w:t xml:space="preserve">(3), 30–52. </w:t>
      </w:r>
      <w:hyperlink r:id="rId6" w:history="1">
        <w:r w:rsidRPr="004779B6">
          <w:rPr>
            <w:rStyle w:val="Hyperlink"/>
            <w:rFonts w:asciiTheme="majorHAnsi" w:hAnsiTheme="majorHAnsi" w:cstheme="majorHAnsi"/>
          </w:rPr>
          <w:t>https://doi.org/10.7176/JETP/14-3-03</w:t>
        </w:r>
      </w:hyperlink>
      <w:r w:rsidRPr="004779B6">
        <w:rPr>
          <w:rFonts w:asciiTheme="majorHAnsi" w:hAnsiTheme="majorHAnsi" w:cstheme="majorHAnsi"/>
        </w:rPr>
        <w:tab/>
      </w:r>
    </w:p>
    <w:p w14:paraId="5F13A14A" w14:textId="1FBEF2B3" w:rsidR="003C2996" w:rsidRPr="004779B6" w:rsidRDefault="003C299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rPr>
        <w:t xml:space="preserve">University of Nairobi, Department of Geospatial and Space Technology. Retrieved June 12, 2025, from </w:t>
      </w:r>
      <w:hyperlink r:id="rId7" w:tgtFrame="_new" w:history="1">
        <w:r w:rsidRPr="004779B6">
          <w:rPr>
            <w:rStyle w:val="Hyperlink"/>
            <w:rFonts w:asciiTheme="majorHAnsi" w:hAnsiTheme="majorHAnsi" w:cstheme="majorHAnsi"/>
          </w:rPr>
          <w:t>https://geospatial.uonbi.ac.ke/sites/geospatial.uonbi.ac.ke/files/2021-03/Abstract_1.pdf</w:t>
        </w:r>
      </w:hyperlink>
    </w:p>
    <w:p w14:paraId="54EA5BCB" w14:textId="0E9A3AB8" w:rsidR="003C2996" w:rsidRPr="004779B6" w:rsidRDefault="003C299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rPr>
        <w:t xml:space="preserve">PVKnowhow.com. (2025). </w:t>
      </w:r>
      <w:r w:rsidRPr="004779B6">
        <w:rPr>
          <w:rStyle w:val="Emphasis"/>
          <w:rFonts w:asciiTheme="majorHAnsi" w:hAnsiTheme="majorHAnsi" w:cstheme="majorHAnsi"/>
        </w:rPr>
        <w:t>Kenya Solar Panel Manufacturing Report: market analysis and insights</w:t>
      </w:r>
      <w:r w:rsidRPr="004779B6">
        <w:rPr>
          <w:rFonts w:asciiTheme="majorHAnsi" w:hAnsiTheme="majorHAnsi" w:cstheme="majorHAnsi"/>
        </w:rPr>
        <w:t xml:space="preserve">. </w:t>
      </w:r>
      <w:proofErr w:type="spellStart"/>
      <w:r w:rsidRPr="004779B6">
        <w:rPr>
          <w:rFonts w:asciiTheme="majorHAnsi" w:hAnsiTheme="majorHAnsi" w:cstheme="majorHAnsi"/>
        </w:rPr>
        <w:t>PVKnowhow</w:t>
      </w:r>
      <w:proofErr w:type="spellEnd"/>
      <w:r w:rsidRPr="004779B6">
        <w:rPr>
          <w:rFonts w:asciiTheme="majorHAnsi" w:hAnsiTheme="majorHAnsi" w:cstheme="majorHAnsi"/>
        </w:rPr>
        <w:t xml:space="preserve">. Retrieved June 12, 2025, from </w:t>
      </w:r>
      <w:hyperlink r:id="rId8" w:tgtFrame="_new" w:history="1">
        <w:r w:rsidRPr="004779B6">
          <w:rPr>
            <w:rStyle w:val="Hyperlink"/>
            <w:rFonts w:asciiTheme="majorHAnsi" w:hAnsiTheme="majorHAnsi" w:cstheme="majorHAnsi"/>
          </w:rPr>
          <w:t>https://www.pvknowhow.com/solar-report/kenya/</w:t>
        </w:r>
      </w:hyperlink>
    </w:p>
    <w:p w14:paraId="13610D07" w14:textId="149510A7" w:rsidR="008E2D64" w:rsidRPr="004779B6" w:rsidRDefault="008E2D64"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Hao, L. N., Umar, M., Khan, Z., &amp; Ali, W. (2021). Green growth and low carbon emission in G7 countries: how critical the network of environmental taxes, renewable energy and human capital </w:t>
      </w:r>
      <w:proofErr w:type="gramStart"/>
      <w:r w:rsidRPr="004779B6">
        <w:rPr>
          <w:rFonts w:asciiTheme="majorHAnsi" w:hAnsiTheme="majorHAnsi" w:cstheme="majorHAnsi"/>
          <w:color w:val="222222"/>
          <w:sz w:val="20"/>
          <w:szCs w:val="20"/>
          <w:shd w:val="clear" w:color="auto" w:fill="FFFFFF"/>
        </w:rPr>
        <w:t>is?.</w:t>
      </w:r>
      <w:proofErr w:type="gram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Science of the Total Environment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752</w:t>
      </w:r>
      <w:r w:rsidRPr="004779B6">
        <w:rPr>
          <w:rFonts w:asciiTheme="majorHAnsi" w:hAnsiTheme="majorHAnsi" w:cstheme="majorHAnsi"/>
          <w:color w:val="222222"/>
          <w:sz w:val="20"/>
          <w:szCs w:val="20"/>
          <w:shd w:val="clear" w:color="auto" w:fill="FFFFFF"/>
        </w:rPr>
        <w:t>, 141853.</w:t>
      </w:r>
    </w:p>
    <w:p w14:paraId="402E3832" w14:textId="5BF7C231" w:rsidR="008F72B0" w:rsidRPr="004779B6" w:rsidRDefault="008F72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Lin, B., &amp; Ma, R. (2022). Green technology innovations, urban innovation environment and CO2 emission reduction in China: Fresh evidence from a partially linear functional-coefficient panel model.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176</w:t>
      </w:r>
      <w:r w:rsidRPr="004779B6">
        <w:rPr>
          <w:rFonts w:asciiTheme="majorHAnsi" w:hAnsiTheme="majorHAnsi" w:cstheme="majorHAnsi"/>
          <w:color w:val="222222"/>
          <w:sz w:val="20"/>
          <w:szCs w:val="20"/>
          <w:shd w:val="clear" w:color="auto" w:fill="FFFFFF"/>
        </w:rPr>
        <w:t>, 121434.</w:t>
      </w:r>
    </w:p>
    <w:p w14:paraId="263B8E7C" w14:textId="0E340696" w:rsidR="00872BE2" w:rsidRPr="004779B6" w:rsidRDefault="00872BE2"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Xu, X. (2022). The impact of natural resources on green growth: the role of green trade. </w:t>
      </w:r>
      <w:r w:rsidRPr="004779B6">
        <w:rPr>
          <w:rFonts w:asciiTheme="majorHAnsi" w:hAnsiTheme="majorHAnsi" w:cstheme="majorHAnsi"/>
          <w:i/>
          <w:iCs/>
          <w:color w:val="222222"/>
          <w:sz w:val="20"/>
          <w:szCs w:val="20"/>
          <w:shd w:val="clear" w:color="auto" w:fill="FFFFFF"/>
        </w:rPr>
        <w:t>Resources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78</w:t>
      </w:r>
      <w:r w:rsidRPr="004779B6">
        <w:rPr>
          <w:rFonts w:asciiTheme="majorHAnsi" w:hAnsiTheme="majorHAnsi" w:cstheme="majorHAnsi"/>
          <w:color w:val="222222"/>
          <w:sz w:val="20"/>
          <w:szCs w:val="20"/>
          <w:shd w:val="clear" w:color="auto" w:fill="FFFFFF"/>
        </w:rPr>
        <w:t>, 102720.</w:t>
      </w:r>
    </w:p>
    <w:p w14:paraId="3494C22E" w14:textId="0C905F71" w:rsidR="00DC08DD" w:rsidRPr="004779B6" w:rsidRDefault="00DC08DD"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Pesaran</w:t>
      </w:r>
      <w:proofErr w:type="spellEnd"/>
      <w:r w:rsidRPr="004779B6">
        <w:rPr>
          <w:rFonts w:asciiTheme="majorHAnsi" w:hAnsiTheme="majorHAnsi" w:cstheme="majorHAnsi"/>
          <w:color w:val="222222"/>
          <w:sz w:val="20"/>
          <w:szCs w:val="20"/>
          <w:shd w:val="clear" w:color="auto" w:fill="FFFFFF"/>
        </w:rPr>
        <w:t>, M. H., Shin, Y., &amp; Smith, R. J. (2001). Bounds testing approaches to the analysis of level relationships. </w:t>
      </w:r>
      <w:r w:rsidRPr="004779B6">
        <w:rPr>
          <w:rFonts w:asciiTheme="majorHAnsi" w:hAnsiTheme="majorHAnsi" w:cstheme="majorHAnsi"/>
          <w:i/>
          <w:iCs/>
          <w:color w:val="222222"/>
          <w:sz w:val="20"/>
          <w:szCs w:val="20"/>
          <w:shd w:val="clear" w:color="auto" w:fill="FFFFFF"/>
        </w:rPr>
        <w:t>Journal of applied econometrics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16</w:t>
      </w:r>
      <w:r w:rsidRPr="004779B6">
        <w:rPr>
          <w:rFonts w:asciiTheme="majorHAnsi" w:hAnsiTheme="majorHAnsi" w:cstheme="majorHAnsi"/>
          <w:color w:val="222222"/>
          <w:sz w:val="20"/>
          <w:szCs w:val="20"/>
          <w:shd w:val="clear" w:color="auto" w:fill="FFFFFF"/>
        </w:rPr>
        <w:t>(3), 289-326.</w:t>
      </w:r>
    </w:p>
    <w:p w14:paraId="1C59237C" w14:textId="5904A9D4" w:rsidR="00DC08DD" w:rsidRPr="004779B6" w:rsidRDefault="00DC08DD"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McNown, R., Sam, C. Y., &amp; Goh, S. K.</w:t>
      </w:r>
      <w:r w:rsidRPr="004779B6">
        <w:rPr>
          <w:rFonts w:asciiTheme="majorHAnsi" w:hAnsiTheme="majorHAnsi" w:cstheme="majorHAnsi"/>
        </w:rPr>
        <w:t xml:space="preserve"> (2018). Bootstrapping the autoregressive distributed lag test for cointegration. </w:t>
      </w:r>
      <w:r w:rsidRPr="004779B6">
        <w:rPr>
          <w:rStyle w:val="Emphasis"/>
          <w:rFonts w:asciiTheme="majorHAnsi" w:hAnsiTheme="majorHAnsi" w:cstheme="majorHAnsi"/>
        </w:rPr>
        <w:t>Applied Economics, 50</w:t>
      </w:r>
      <w:r w:rsidRPr="004779B6">
        <w:rPr>
          <w:rFonts w:asciiTheme="majorHAnsi" w:hAnsiTheme="majorHAnsi" w:cstheme="majorHAnsi"/>
        </w:rPr>
        <w:t xml:space="preserve">(13), 1509–1521. </w:t>
      </w:r>
      <w:hyperlink r:id="rId9" w:history="1">
        <w:r w:rsidRPr="004779B6">
          <w:rPr>
            <w:rStyle w:val="Hyperlink"/>
            <w:rFonts w:asciiTheme="majorHAnsi" w:hAnsiTheme="majorHAnsi" w:cstheme="majorHAnsi"/>
          </w:rPr>
          <w:t>https://doi.org/10.1080/00036846.2017.1366643</w:t>
        </w:r>
      </w:hyperlink>
      <w:r w:rsidRPr="004779B6">
        <w:rPr>
          <w:rFonts w:asciiTheme="majorHAnsi" w:hAnsiTheme="majorHAnsi" w:cstheme="majorHAnsi"/>
        </w:rPr>
        <w:tab/>
      </w:r>
    </w:p>
    <w:p w14:paraId="246F23B8" w14:textId="12BC617B" w:rsidR="00420983" w:rsidRPr="004779B6" w:rsidRDefault="00420983" w:rsidP="004779B6">
      <w:pPr>
        <w:ind w:hanging="720"/>
        <w:jc w:val="both"/>
        <w:rPr>
          <w:rFonts w:asciiTheme="majorHAnsi" w:hAnsiTheme="majorHAnsi" w:cstheme="majorHAnsi"/>
          <w:color w:val="222222"/>
          <w:sz w:val="20"/>
          <w:szCs w:val="20"/>
          <w:shd w:val="clear" w:color="auto" w:fill="FFFFFF"/>
        </w:rPr>
      </w:pPr>
      <w:proofErr w:type="spellStart"/>
      <w:r w:rsidRPr="004779B6">
        <w:rPr>
          <w:rStyle w:val="Strong"/>
          <w:rFonts w:asciiTheme="majorHAnsi" w:hAnsiTheme="majorHAnsi" w:cstheme="majorHAnsi"/>
          <w:b w:val="0"/>
          <w:bCs w:val="0"/>
        </w:rPr>
        <w:t>Pesaran</w:t>
      </w:r>
      <w:proofErr w:type="spellEnd"/>
      <w:r w:rsidRPr="004779B6">
        <w:rPr>
          <w:rStyle w:val="Strong"/>
          <w:rFonts w:asciiTheme="majorHAnsi" w:hAnsiTheme="majorHAnsi" w:cstheme="majorHAnsi"/>
          <w:b w:val="0"/>
          <w:bCs w:val="0"/>
        </w:rPr>
        <w:t>, M. H., &amp; Shin, Y.</w:t>
      </w:r>
      <w:r w:rsidRPr="004779B6">
        <w:rPr>
          <w:rFonts w:asciiTheme="majorHAnsi" w:hAnsiTheme="majorHAnsi" w:cstheme="majorHAnsi"/>
        </w:rPr>
        <w:t xml:space="preserve"> (1999). An autoregressive distributed-lag modelling approach to cointegration analysis. In S. Strom (Ed.), </w:t>
      </w:r>
      <w:r w:rsidRPr="004779B6">
        <w:rPr>
          <w:rStyle w:val="Emphasis"/>
          <w:rFonts w:asciiTheme="majorHAnsi" w:hAnsiTheme="majorHAnsi" w:cstheme="majorHAnsi"/>
        </w:rPr>
        <w:t>Econometrics and economic theory in the 20th century: The Ragnar Frisch centennial symposium</w:t>
      </w:r>
      <w:r w:rsidRPr="004779B6">
        <w:rPr>
          <w:rFonts w:asciiTheme="majorHAnsi" w:hAnsiTheme="majorHAnsi" w:cstheme="majorHAnsi"/>
        </w:rPr>
        <w:t xml:space="preserve"> (pp. 371–413). Cambridge University Press. </w:t>
      </w:r>
      <w:hyperlink r:id="rId10" w:history="1">
        <w:r w:rsidR="00C95B51" w:rsidRPr="004779B6">
          <w:rPr>
            <w:rStyle w:val="Hyperlink"/>
            <w:rFonts w:asciiTheme="majorHAnsi" w:hAnsiTheme="majorHAnsi" w:cstheme="majorHAnsi"/>
          </w:rPr>
          <w:t>https://doi.org/10.1017/CCOL521633230.011</w:t>
        </w:r>
      </w:hyperlink>
      <w:r w:rsidR="00C95B51" w:rsidRPr="004779B6">
        <w:rPr>
          <w:rFonts w:asciiTheme="majorHAnsi" w:hAnsiTheme="majorHAnsi" w:cstheme="majorHAnsi"/>
        </w:rPr>
        <w:tab/>
      </w:r>
    </w:p>
    <w:p w14:paraId="154F9047" w14:textId="6CF547AF" w:rsidR="00420983" w:rsidRPr="004779B6" w:rsidRDefault="00420983"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McNown, R., Sam, C. Y., &amp; Goh, S. K. (2018). Bootstrapping the autoregressive distributed lag test for cointegration. </w:t>
      </w:r>
      <w:r w:rsidRPr="004779B6">
        <w:rPr>
          <w:rFonts w:asciiTheme="majorHAnsi" w:hAnsiTheme="majorHAnsi" w:cstheme="majorHAnsi"/>
          <w:i/>
          <w:iCs/>
          <w:color w:val="222222"/>
          <w:sz w:val="20"/>
          <w:szCs w:val="20"/>
          <w:shd w:val="clear" w:color="auto" w:fill="FFFFFF"/>
        </w:rPr>
        <w:t>Applied Economics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50</w:t>
      </w:r>
      <w:r w:rsidRPr="004779B6">
        <w:rPr>
          <w:rFonts w:asciiTheme="majorHAnsi" w:hAnsiTheme="majorHAnsi" w:cstheme="majorHAnsi"/>
          <w:color w:val="222222"/>
          <w:sz w:val="20"/>
          <w:szCs w:val="20"/>
          <w:shd w:val="clear" w:color="auto" w:fill="FFFFFF"/>
        </w:rPr>
        <w:t>(13), 1509-1521.</w:t>
      </w:r>
    </w:p>
    <w:p w14:paraId="7FD99E52" w14:textId="264C7C30" w:rsidR="00C95B51" w:rsidRPr="004779B6" w:rsidRDefault="00C95B51"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Stock, J. H., &amp; Watson, M. W</w:t>
      </w:r>
      <w:r w:rsidRPr="004779B6">
        <w:rPr>
          <w:rStyle w:val="Strong"/>
          <w:rFonts w:asciiTheme="majorHAnsi" w:hAnsiTheme="majorHAnsi" w:cstheme="majorHAnsi"/>
        </w:rPr>
        <w:t>.</w:t>
      </w:r>
      <w:r w:rsidRPr="004779B6">
        <w:rPr>
          <w:rFonts w:asciiTheme="majorHAnsi" w:hAnsiTheme="majorHAnsi" w:cstheme="majorHAnsi"/>
        </w:rPr>
        <w:t xml:space="preserve"> (1993). A simple estimator of cointegrating vectors in higher-order integrated systems. </w:t>
      </w:r>
      <w:proofErr w:type="spellStart"/>
      <w:r w:rsidRPr="004779B6">
        <w:rPr>
          <w:rStyle w:val="Emphasis"/>
          <w:rFonts w:asciiTheme="majorHAnsi" w:hAnsiTheme="majorHAnsi" w:cstheme="majorHAnsi"/>
        </w:rPr>
        <w:t>Econometrica</w:t>
      </w:r>
      <w:proofErr w:type="spellEnd"/>
      <w:r w:rsidRPr="004779B6">
        <w:rPr>
          <w:rStyle w:val="Emphasis"/>
          <w:rFonts w:asciiTheme="majorHAnsi" w:hAnsiTheme="majorHAnsi" w:cstheme="majorHAnsi"/>
        </w:rPr>
        <w:t>, 61</w:t>
      </w:r>
      <w:r w:rsidRPr="004779B6">
        <w:rPr>
          <w:rFonts w:asciiTheme="majorHAnsi" w:hAnsiTheme="majorHAnsi" w:cstheme="majorHAnsi"/>
        </w:rPr>
        <w:t>(4), 783–820. https://doi.org/10.2307/2951763</w:t>
      </w:r>
    </w:p>
    <w:p w14:paraId="56B5D60D" w14:textId="033A43D4" w:rsidR="00420983" w:rsidRPr="004779B6" w:rsidRDefault="00420983" w:rsidP="004779B6">
      <w:pPr>
        <w:ind w:hanging="720"/>
        <w:jc w:val="both"/>
        <w:rPr>
          <w:rFonts w:asciiTheme="majorHAnsi" w:hAnsiTheme="majorHAnsi" w:cstheme="majorHAnsi"/>
        </w:rPr>
      </w:pPr>
      <w:r w:rsidRPr="004779B6">
        <w:rPr>
          <w:rStyle w:val="Strong"/>
          <w:rFonts w:asciiTheme="majorHAnsi" w:hAnsiTheme="majorHAnsi" w:cstheme="majorHAnsi"/>
          <w:b w:val="0"/>
          <w:bCs w:val="0"/>
        </w:rPr>
        <w:t>Johansen, S.</w:t>
      </w:r>
      <w:r w:rsidRPr="004779B6">
        <w:rPr>
          <w:rFonts w:asciiTheme="majorHAnsi" w:hAnsiTheme="majorHAnsi" w:cstheme="majorHAnsi"/>
        </w:rPr>
        <w:t xml:space="preserve"> (1995). Statistical analysis of cointegration for </w:t>
      </w:r>
      <w:proofErr w:type="gramStart"/>
      <w:r w:rsidRPr="004779B6">
        <w:rPr>
          <w:rFonts w:asciiTheme="majorHAnsi" w:hAnsiTheme="majorHAnsi" w:cstheme="majorHAnsi"/>
        </w:rPr>
        <w:t>I(</w:t>
      </w:r>
      <w:proofErr w:type="gramEnd"/>
      <w:r w:rsidRPr="004779B6">
        <w:rPr>
          <w:rFonts w:asciiTheme="majorHAnsi" w:hAnsiTheme="majorHAnsi" w:cstheme="majorHAnsi"/>
        </w:rPr>
        <w:t xml:space="preserve">2) variables. </w:t>
      </w:r>
      <w:r w:rsidRPr="004779B6">
        <w:rPr>
          <w:rStyle w:val="Emphasis"/>
          <w:rFonts w:asciiTheme="majorHAnsi" w:hAnsiTheme="majorHAnsi" w:cstheme="majorHAnsi"/>
        </w:rPr>
        <w:t>Econometric Theory, 11</w:t>
      </w:r>
      <w:r w:rsidRPr="004779B6">
        <w:rPr>
          <w:rFonts w:asciiTheme="majorHAnsi" w:hAnsiTheme="majorHAnsi" w:cstheme="majorHAnsi"/>
        </w:rPr>
        <w:t xml:space="preserve">(1), 25–59. </w:t>
      </w:r>
      <w:hyperlink r:id="rId11" w:history="1">
        <w:r w:rsidR="00C95B51" w:rsidRPr="004779B6">
          <w:rPr>
            <w:rStyle w:val="Hyperlink"/>
            <w:rFonts w:asciiTheme="majorHAnsi" w:hAnsiTheme="majorHAnsi" w:cstheme="majorHAnsi"/>
          </w:rPr>
          <w:t>https://doi.org/10.1017/S0266466600009065</w:t>
        </w:r>
      </w:hyperlink>
      <w:r w:rsidR="00C95B51" w:rsidRPr="004779B6">
        <w:rPr>
          <w:rFonts w:asciiTheme="majorHAnsi" w:hAnsiTheme="majorHAnsi" w:cstheme="majorHAnsi"/>
        </w:rPr>
        <w:tab/>
      </w:r>
    </w:p>
    <w:p w14:paraId="0776AFD9" w14:textId="7622F2C0" w:rsidR="00AD5CB0" w:rsidRPr="004779B6" w:rsidRDefault="00AD5C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lastRenderedPageBreak/>
        <w:t xml:space="preserve">Danish. (2019). Effects of information and communication technology and real income on CO2 </w:t>
      </w:r>
      <w:proofErr w:type="gramStart"/>
      <w:r w:rsidRPr="004779B6">
        <w:rPr>
          <w:rFonts w:asciiTheme="majorHAnsi" w:hAnsiTheme="majorHAnsi" w:cstheme="majorHAnsi"/>
          <w:color w:val="222222"/>
          <w:sz w:val="20"/>
          <w:szCs w:val="20"/>
          <w:shd w:val="clear" w:color="auto" w:fill="FFFFFF"/>
        </w:rPr>
        <w:t>emissions::</w:t>
      </w:r>
      <w:proofErr w:type="gramEnd"/>
      <w:r w:rsidRPr="004779B6">
        <w:rPr>
          <w:rFonts w:asciiTheme="majorHAnsi" w:hAnsiTheme="majorHAnsi" w:cstheme="majorHAnsi"/>
          <w:color w:val="222222"/>
          <w:sz w:val="20"/>
          <w:szCs w:val="20"/>
          <w:shd w:val="clear" w:color="auto" w:fill="FFFFFF"/>
        </w:rPr>
        <w:t xml:space="preserve"> The experience of countries along Belt and Road.</w:t>
      </w:r>
    </w:p>
    <w:p w14:paraId="3A4EC7F0" w14:textId="518F9F5B" w:rsidR="00420983" w:rsidRPr="004779B6" w:rsidRDefault="00420983"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Johansen, S.</w:t>
      </w:r>
      <w:r w:rsidRPr="004779B6">
        <w:rPr>
          <w:rFonts w:asciiTheme="majorHAnsi" w:hAnsiTheme="majorHAnsi" w:cstheme="majorHAnsi"/>
          <w:b/>
          <w:bCs/>
        </w:rPr>
        <w:t xml:space="preserve"> </w:t>
      </w:r>
      <w:r w:rsidRPr="004779B6">
        <w:rPr>
          <w:rFonts w:asciiTheme="majorHAnsi" w:hAnsiTheme="majorHAnsi" w:cstheme="majorHAnsi"/>
        </w:rPr>
        <w:t xml:space="preserve">(1991). Estimation and hypothesis testing of cointegration vectors in Gaussian vector autoregressive models. </w:t>
      </w:r>
      <w:proofErr w:type="spellStart"/>
      <w:r w:rsidRPr="004779B6">
        <w:rPr>
          <w:rStyle w:val="Emphasis"/>
          <w:rFonts w:asciiTheme="majorHAnsi" w:hAnsiTheme="majorHAnsi" w:cstheme="majorHAnsi"/>
        </w:rPr>
        <w:t>Econometrica</w:t>
      </w:r>
      <w:proofErr w:type="spellEnd"/>
      <w:r w:rsidRPr="004779B6">
        <w:rPr>
          <w:rStyle w:val="Emphasis"/>
          <w:rFonts w:asciiTheme="majorHAnsi" w:hAnsiTheme="majorHAnsi" w:cstheme="majorHAnsi"/>
        </w:rPr>
        <w:t>, 59</w:t>
      </w:r>
      <w:r w:rsidRPr="004779B6">
        <w:rPr>
          <w:rFonts w:asciiTheme="majorHAnsi" w:hAnsiTheme="majorHAnsi" w:cstheme="majorHAnsi"/>
        </w:rPr>
        <w:t xml:space="preserve">(6), 1551–1580. </w:t>
      </w:r>
      <w:hyperlink r:id="rId12" w:history="1">
        <w:r w:rsidRPr="004779B6">
          <w:rPr>
            <w:rStyle w:val="Hyperlink"/>
            <w:rFonts w:asciiTheme="majorHAnsi" w:hAnsiTheme="majorHAnsi" w:cstheme="majorHAnsi"/>
          </w:rPr>
          <w:t>https://doi.org/10.2307/2938278</w:t>
        </w:r>
      </w:hyperlink>
      <w:r w:rsidRPr="004779B6">
        <w:rPr>
          <w:rFonts w:asciiTheme="majorHAnsi" w:hAnsiTheme="majorHAnsi" w:cstheme="majorHAnsi"/>
        </w:rPr>
        <w:tab/>
      </w:r>
    </w:p>
    <w:p w14:paraId="6243B1A9" w14:textId="08AB0397" w:rsidR="005B22BE" w:rsidRPr="004779B6" w:rsidRDefault="005B22BE" w:rsidP="004779B6">
      <w:pPr>
        <w:ind w:hanging="720"/>
        <w:jc w:val="both"/>
        <w:rPr>
          <w:rFonts w:asciiTheme="majorHAnsi" w:hAnsiTheme="majorHAnsi" w:cstheme="majorHAnsi"/>
        </w:rPr>
      </w:pPr>
      <w:r w:rsidRPr="004779B6">
        <w:rPr>
          <w:rStyle w:val="Strong"/>
          <w:rFonts w:asciiTheme="majorHAnsi" w:hAnsiTheme="majorHAnsi" w:cstheme="majorHAnsi"/>
          <w:b w:val="0"/>
          <w:bCs w:val="0"/>
        </w:rPr>
        <w:t>Dickey, D. A., &amp; Fuller, W. A.</w:t>
      </w:r>
      <w:r w:rsidRPr="004779B6">
        <w:rPr>
          <w:rFonts w:asciiTheme="majorHAnsi" w:hAnsiTheme="majorHAnsi" w:cstheme="majorHAnsi"/>
        </w:rPr>
        <w:t xml:space="preserve"> (1979). Distribution of the estimators for autoregressive time series with a unit root. </w:t>
      </w:r>
      <w:r w:rsidRPr="004779B6">
        <w:rPr>
          <w:rStyle w:val="Emphasis"/>
          <w:rFonts w:asciiTheme="majorHAnsi" w:hAnsiTheme="majorHAnsi" w:cstheme="majorHAnsi"/>
        </w:rPr>
        <w:t>Journal of the American Statistical Association, 74</w:t>
      </w:r>
      <w:r w:rsidRPr="004779B6">
        <w:rPr>
          <w:rFonts w:asciiTheme="majorHAnsi" w:hAnsiTheme="majorHAnsi" w:cstheme="majorHAnsi"/>
        </w:rPr>
        <w:t xml:space="preserve">(366), 427–431. </w:t>
      </w:r>
      <w:hyperlink r:id="rId13" w:history="1">
        <w:r w:rsidR="006B090F" w:rsidRPr="004779B6">
          <w:rPr>
            <w:rStyle w:val="Hyperlink"/>
            <w:rFonts w:asciiTheme="majorHAnsi" w:hAnsiTheme="majorHAnsi" w:cstheme="majorHAnsi"/>
          </w:rPr>
          <w:t>https://doi.org/10.2307/2286348</w:t>
        </w:r>
      </w:hyperlink>
    </w:p>
    <w:p w14:paraId="0877508A" w14:textId="15D5141E" w:rsidR="006B090F" w:rsidRPr="004779B6" w:rsidRDefault="006B090F" w:rsidP="004779B6">
      <w:pPr>
        <w:ind w:hanging="720"/>
        <w:jc w:val="both"/>
        <w:rPr>
          <w:rFonts w:asciiTheme="majorHAnsi" w:hAnsiTheme="majorHAnsi" w:cstheme="majorHAnsi"/>
        </w:rPr>
      </w:pPr>
      <w:proofErr w:type="spellStart"/>
      <w:r w:rsidRPr="004779B6">
        <w:rPr>
          <w:rStyle w:val="Strong"/>
          <w:rFonts w:asciiTheme="majorHAnsi" w:hAnsiTheme="majorHAnsi" w:cstheme="majorHAnsi"/>
          <w:b w:val="0"/>
          <w:bCs w:val="0"/>
        </w:rPr>
        <w:t>Vougas</w:t>
      </w:r>
      <w:proofErr w:type="spellEnd"/>
      <w:r w:rsidRPr="004779B6">
        <w:rPr>
          <w:rStyle w:val="Strong"/>
          <w:rFonts w:asciiTheme="majorHAnsi" w:hAnsiTheme="majorHAnsi" w:cstheme="majorHAnsi"/>
          <w:b w:val="0"/>
          <w:bCs w:val="0"/>
        </w:rPr>
        <w:t>, D.</w:t>
      </w:r>
      <w:r w:rsidRPr="004779B6">
        <w:rPr>
          <w:rFonts w:asciiTheme="majorHAnsi" w:hAnsiTheme="majorHAnsi" w:cstheme="majorHAnsi"/>
        </w:rPr>
        <w:t xml:space="preserve"> (2007). GLS detrending and unit root testing. </w:t>
      </w:r>
      <w:r w:rsidRPr="004779B6">
        <w:rPr>
          <w:rStyle w:val="Emphasis"/>
          <w:rFonts w:asciiTheme="majorHAnsi" w:hAnsiTheme="majorHAnsi" w:cstheme="majorHAnsi"/>
        </w:rPr>
        <w:t>Economics Letters, 97</w:t>
      </w:r>
      <w:r w:rsidRPr="004779B6">
        <w:rPr>
          <w:rFonts w:asciiTheme="majorHAnsi" w:hAnsiTheme="majorHAnsi" w:cstheme="majorHAnsi"/>
        </w:rPr>
        <w:t xml:space="preserve">(2), 222–229. </w:t>
      </w:r>
      <w:hyperlink r:id="rId14" w:history="1">
        <w:r w:rsidRPr="004779B6">
          <w:rPr>
            <w:rStyle w:val="Hyperlink"/>
            <w:rFonts w:asciiTheme="majorHAnsi" w:hAnsiTheme="majorHAnsi" w:cstheme="majorHAnsi"/>
          </w:rPr>
          <w:t>https://doi.org/10.1016/j.econlet.2007.03.009</w:t>
        </w:r>
      </w:hyperlink>
      <w:r w:rsidRPr="004779B6">
        <w:rPr>
          <w:rFonts w:asciiTheme="majorHAnsi" w:hAnsiTheme="majorHAnsi" w:cstheme="majorHAnsi"/>
        </w:rPr>
        <w:tab/>
      </w:r>
    </w:p>
    <w:p w14:paraId="21A9B739" w14:textId="0A7EAE7F" w:rsidR="006B090F" w:rsidRPr="004779B6" w:rsidRDefault="006B090F"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Phillips, P. C. B., &amp; Perron, P</w:t>
      </w:r>
      <w:r w:rsidRPr="004779B6">
        <w:rPr>
          <w:rStyle w:val="Strong"/>
          <w:rFonts w:asciiTheme="majorHAnsi" w:hAnsiTheme="majorHAnsi" w:cstheme="majorHAnsi"/>
        </w:rPr>
        <w:t>.</w:t>
      </w:r>
      <w:r w:rsidRPr="004779B6">
        <w:rPr>
          <w:rFonts w:asciiTheme="majorHAnsi" w:hAnsiTheme="majorHAnsi" w:cstheme="majorHAnsi"/>
        </w:rPr>
        <w:t xml:space="preserve"> (1988). Testing for a unit root in time series regression. </w:t>
      </w:r>
      <w:proofErr w:type="spellStart"/>
      <w:r w:rsidRPr="004779B6">
        <w:rPr>
          <w:rStyle w:val="Emphasis"/>
          <w:rFonts w:asciiTheme="majorHAnsi" w:hAnsiTheme="majorHAnsi" w:cstheme="majorHAnsi"/>
        </w:rPr>
        <w:t>Biometrika</w:t>
      </w:r>
      <w:proofErr w:type="spellEnd"/>
      <w:r w:rsidRPr="004779B6">
        <w:rPr>
          <w:rStyle w:val="Emphasis"/>
          <w:rFonts w:asciiTheme="majorHAnsi" w:hAnsiTheme="majorHAnsi" w:cstheme="majorHAnsi"/>
        </w:rPr>
        <w:t>, 75</w:t>
      </w:r>
      <w:r w:rsidRPr="004779B6">
        <w:rPr>
          <w:rFonts w:asciiTheme="majorHAnsi" w:hAnsiTheme="majorHAnsi" w:cstheme="majorHAnsi"/>
        </w:rPr>
        <w:t xml:space="preserve">(2), 335–346. </w:t>
      </w:r>
      <w:hyperlink r:id="rId15" w:history="1">
        <w:r w:rsidRPr="004779B6">
          <w:rPr>
            <w:rStyle w:val="Hyperlink"/>
            <w:rFonts w:asciiTheme="majorHAnsi" w:hAnsiTheme="majorHAnsi" w:cstheme="majorHAnsi"/>
          </w:rPr>
          <w:t>https://doi.org/10.1093/biomet/75.2.335</w:t>
        </w:r>
      </w:hyperlink>
      <w:r w:rsidRPr="004779B6">
        <w:rPr>
          <w:rFonts w:asciiTheme="majorHAnsi" w:hAnsiTheme="majorHAnsi" w:cstheme="majorHAnsi"/>
        </w:rPr>
        <w:tab/>
      </w:r>
    </w:p>
    <w:p w14:paraId="20E1D332" w14:textId="637E4C0B" w:rsidR="00872BE2" w:rsidRPr="004779B6" w:rsidRDefault="00872BE2"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Xuan, D., Jiang, X., &amp; Fang, Y. (2023). Can globalization and the green economy hedge natural resources? Functions of population growth and financial development in BRICS countries. </w:t>
      </w:r>
      <w:r w:rsidRPr="004779B6">
        <w:rPr>
          <w:rFonts w:asciiTheme="majorHAnsi" w:hAnsiTheme="majorHAnsi" w:cstheme="majorHAnsi"/>
          <w:i/>
          <w:iCs/>
          <w:color w:val="222222"/>
          <w:sz w:val="20"/>
          <w:szCs w:val="20"/>
          <w:shd w:val="clear" w:color="auto" w:fill="FFFFFF"/>
        </w:rPr>
        <w:t>Resources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82</w:t>
      </w:r>
      <w:r w:rsidRPr="004779B6">
        <w:rPr>
          <w:rFonts w:asciiTheme="majorHAnsi" w:hAnsiTheme="majorHAnsi" w:cstheme="majorHAnsi"/>
          <w:color w:val="222222"/>
          <w:sz w:val="20"/>
          <w:szCs w:val="20"/>
          <w:shd w:val="clear" w:color="auto" w:fill="FFFFFF"/>
        </w:rPr>
        <w:t>, 103414.</w:t>
      </w:r>
    </w:p>
    <w:p w14:paraId="1A5A2312" w14:textId="459F35CF" w:rsidR="00C1585C" w:rsidRPr="004779B6" w:rsidRDefault="00C1585C"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Obobisa</w:t>
      </w:r>
      <w:proofErr w:type="spellEnd"/>
      <w:r w:rsidRPr="004779B6">
        <w:rPr>
          <w:rFonts w:asciiTheme="majorHAnsi" w:hAnsiTheme="majorHAnsi" w:cstheme="majorHAnsi"/>
          <w:color w:val="222222"/>
          <w:sz w:val="20"/>
          <w:szCs w:val="20"/>
          <w:shd w:val="clear" w:color="auto" w:fill="FFFFFF"/>
        </w:rPr>
        <w:t>, E. S., Chen, H., &amp; Mensah, I. A. (2022). The impact of green technological innovation and institutional quality on CO2 emissions in African countries.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180</w:t>
      </w:r>
      <w:r w:rsidRPr="004779B6">
        <w:rPr>
          <w:rFonts w:asciiTheme="majorHAnsi" w:hAnsiTheme="majorHAnsi" w:cstheme="majorHAnsi"/>
          <w:color w:val="222222"/>
          <w:sz w:val="20"/>
          <w:szCs w:val="20"/>
          <w:shd w:val="clear" w:color="auto" w:fill="FFFFFF"/>
        </w:rPr>
        <w:t>, 121670.</w:t>
      </w:r>
    </w:p>
    <w:p w14:paraId="04F3F460" w14:textId="4647E3B5" w:rsidR="00C1585C" w:rsidRPr="004779B6" w:rsidRDefault="00C1585C"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Shao, X., Zhong, Y., Liu, W., &amp; Li, R. Y. M. (2021). Modeling the effect of green technology innovation and renewable energy on carbon neutrality in N-11 countries? Evidence from advance panel estimations. </w:t>
      </w:r>
      <w:r w:rsidRPr="004779B6">
        <w:rPr>
          <w:rFonts w:asciiTheme="majorHAnsi" w:hAnsiTheme="majorHAnsi" w:cstheme="majorHAnsi"/>
          <w:i/>
          <w:iCs/>
          <w:color w:val="222222"/>
          <w:sz w:val="20"/>
          <w:szCs w:val="20"/>
          <w:shd w:val="clear" w:color="auto" w:fill="FFFFFF"/>
        </w:rPr>
        <w:t>Journal of Environmental Management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296</w:t>
      </w:r>
      <w:r w:rsidRPr="004779B6">
        <w:rPr>
          <w:rFonts w:asciiTheme="majorHAnsi" w:hAnsiTheme="majorHAnsi" w:cstheme="majorHAnsi"/>
          <w:color w:val="222222"/>
          <w:sz w:val="20"/>
          <w:szCs w:val="20"/>
          <w:shd w:val="clear" w:color="auto" w:fill="FFFFFF"/>
        </w:rPr>
        <w:t>, 113189.</w:t>
      </w:r>
    </w:p>
    <w:p w14:paraId="0BFA5901" w14:textId="28ADB0CC" w:rsidR="00C1585C" w:rsidRPr="004779B6" w:rsidRDefault="00C1585C"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Xu, L., Fan, M., Yang, L., &amp; Shao, S. (2021). Heterogeneous green innovations and carbon emission performance: evidence at China's city level. </w:t>
      </w:r>
      <w:r w:rsidRPr="004779B6">
        <w:rPr>
          <w:rFonts w:asciiTheme="majorHAnsi" w:hAnsiTheme="majorHAnsi" w:cstheme="majorHAnsi"/>
          <w:i/>
          <w:iCs/>
          <w:color w:val="222222"/>
          <w:sz w:val="20"/>
          <w:szCs w:val="20"/>
          <w:shd w:val="clear" w:color="auto" w:fill="FFFFFF"/>
        </w:rPr>
        <w:t>Energy Economics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99</w:t>
      </w:r>
      <w:r w:rsidRPr="004779B6">
        <w:rPr>
          <w:rFonts w:asciiTheme="majorHAnsi" w:hAnsiTheme="majorHAnsi" w:cstheme="majorHAnsi"/>
          <w:color w:val="222222"/>
          <w:sz w:val="20"/>
          <w:szCs w:val="20"/>
          <w:shd w:val="clear" w:color="auto" w:fill="FFFFFF"/>
        </w:rPr>
        <w:t>, 105269.</w:t>
      </w:r>
    </w:p>
    <w:p w14:paraId="592134B3" w14:textId="09CABD4B" w:rsidR="00C1585C" w:rsidRPr="004779B6" w:rsidRDefault="00C1585C"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Suki, N. M., Suki, N. M., Afshan, S., Sharif, A., &amp; Meo, M. S. (2022). The paradigms of technological innovation and renewables as a panacea for sustainable development: a pathway of going green. </w:t>
      </w:r>
      <w:r w:rsidRPr="004779B6">
        <w:rPr>
          <w:rFonts w:asciiTheme="majorHAnsi" w:hAnsiTheme="majorHAnsi" w:cstheme="majorHAnsi"/>
          <w:i/>
          <w:iCs/>
          <w:color w:val="222222"/>
          <w:sz w:val="20"/>
          <w:szCs w:val="20"/>
          <w:shd w:val="clear" w:color="auto" w:fill="FFFFFF"/>
        </w:rPr>
        <w:t>Renewable 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181</w:t>
      </w:r>
      <w:r w:rsidRPr="004779B6">
        <w:rPr>
          <w:rFonts w:asciiTheme="majorHAnsi" w:hAnsiTheme="majorHAnsi" w:cstheme="majorHAnsi"/>
          <w:color w:val="222222"/>
          <w:sz w:val="20"/>
          <w:szCs w:val="20"/>
          <w:shd w:val="clear" w:color="auto" w:fill="FFFFFF"/>
        </w:rPr>
        <w:t>, 1431-1439.</w:t>
      </w:r>
    </w:p>
    <w:p w14:paraId="269E1421" w14:textId="3F367D22" w:rsidR="00C1585C" w:rsidRPr="004779B6" w:rsidRDefault="00C1585C"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Paramati</w:t>
      </w:r>
      <w:proofErr w:type="spellEnd"/>
      <w:r w:rsidRPr="004779B6">
        <w:rPr>
          <w:rFonts w:asciiTheme="majorHAnsi" w:hAnsiTheme="majorHAnsi" w:cstheme="majorHAnsi"/>
          <w:color w:val="222222"/>
          <w:sz w:val="20"/>
          <w:szCs w:val="20"/>
          <w:shd w:val="clear" w:color="auto" w:fill="FFFFFF"/>
        </w:rPr>
        <w:t>, S. R., Mo, D., &amp; Huang, R. (2021). The role of financial deepening and green technology on carbon emissions: Evidence from major OECD economies. </w:t>
      </w:r>
      <w:r w:rsidRPr="004779B6">
        <w:rPr>
          <w:rFonts w:asciiTheme="majorHAnsi" w:hAnsiTheme="majorHAnsi" w:cstheme="majorHAnsi"/>
          <w:i/>
          <w:iCs/>
          <w:color w:val="222222"/>
          <w:sz w:val="20"/>
          <w:szCs w:val="20"/>
          <w:shd w:val="clear" w:color="auto" w:fill="FFFFFF"/>
        </w:rPr>
        <w:t>Finance Research Letters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41</w:t>
      </w:r>
      <w:r w:rsidRPr="004779B6">
        <w:rPr>
          <w:rFonts w:asciiTheme="majorHAnsi" w:hAnsiTheme="majorHAnsi" w:cstheme="majorHAnsi"/>
          <w:color w:val="222222"/>
          <w:sz w:val="20"/>
          <w:szCs w:val="20"/>
          <w:shd w:val="clear" w:color="auto" w:fill="FFFFFF"/>
        </w:rPr>
        <w:t>, 101794.</w:t>
      </w:r>
    </w:p>
    <w:p w14:paraId="47BEE5CF" w14:textId="08A12CE0" w:rsidR="00C1585C" w:rsidRPr="004779B6" w:rsidRDefault="00C1585C"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Qin, L., </w:t>
      </w:r>
      <w:proofErr w:type="spellStart"/>
      <w:r w:rsidRPr="004779B6">
        <w:rPr>
          <w:rFonts w:asciiTheme="majorHAnsi" w:hAnsiTheme="majorHAnsi" w:cstheme="majorHAnsi"/>
          <w:color w:val="222222"/>
          <w:sz w:val="20"/>
          <w:szCs w:val="20"/>
          <w:shd w:val="clear" w:color="auto" w:fill="FFFFFF"/>
        </w:rPr>
        <w:t>Kirikkaleli</w:t>
      </w:r>
      <w:proofErr w:type="spellEnd"/>
      <w:r w:rsidRPr="004779B6">
        <w:rPr>
          <w:rFonts w:asciiTheme="majorHAnsi" w:hAnsiTheme="majorHAnsi" w:cstheme="majorHAnsi"/>
          <w:color w:val="222222"/>
          <w:sz w:val="20"/>
          <w:szCs w:val="20"/>
          <w:shd w:val="clear" w:color="auto" w:fill="FFFFFF"/>
        </w:rPr>
        <w:t>, D., Hou, Y., Miao, X., &amp; Tufail, M. (2021). Carbon neutrality target for G7 economies: Examining the role of environmental policy, green innovation and composite risk index. </w:t>
      </w:r>
      <w:r w:rsidRPr="004779B6">
        <w:rPr>
          <w:rFonts w:asciiTheme="majorHAnsi" w:hAnsiTheme="majorHAnsi" w:cstheme="majorHAnsi"/>
          <w:i/>
          <w:iCs/>
          <w:color w:val="222222"/>
          <w:sz w:val="20"/>
          <w:szCs w:val="20"/>
          <w:shd w:val="clear" w:color="auto" w:fill="FFFFFF"/>
        </w:rPr>
        <w:t>Journal of environmental management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295</w:t>
      </w:r>
      <w:r w:rsidRPr="004779B6">
        <w:rPr>
          <w:rFonts w:asciiTheme="majorHAnsi" w:hAnsiTheme="majorHAnsi" w:cstheme="majorHAnsi"/>
          <w:color w:val="222222"/>
          <w:sz w:val="20"/>
          <w:szCs w:val="20"/>
          <w:shd w:val="clear" w:color="auto" w:fill="FFFFFF"/>
        </w:rPr>
        <w:t>, 113119.</w:t>
      </w:r>
    </w:p>
    <w:p w14:paraId="08CFB372" w14:textId="77F789B3" w:rsidR="00907CA7" w:rsidRPr="004779B6" w:rsidRDefault="00907CA7"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Chatti</w:t>
      </w:r>
      <w:proofErr w:type="spellEnd"/>
      <w:r w:rsidRPr="004779B6">
        <w:rPr>
          <w:rFonts w:asciiTheme="majorHAnsi" w:hAnsiTheme="majorHAnsi" w:cstheme="majorHAnsi"/>
          <w:color w:val="222222"/>
          <w:sz w:val="20"/>
          <w:szCs w:val="20"/>
          <w:shd w:val="clear" w:color="auto" w:fill="FFFFFF"/>
        </w:rPr>
        <w:t>, W., &amp; Majeed, M. T. (2023). How does ICT affect the shadow economy towards environmental preservation? Evidence from a panel of developing and developed nations. </w:t>
      </w:r>
      <w:r w:rsidRPr="004779B6">
        <w:rPr>
          <w:rFonts w:asciiTheme="majorHAnsi" w:hAnsiTheme="majorHAnsi" w:cstheme="majorHAnsi"/>
          <w:i/>
          <w:iCs/>
          <w:color w:val="222222"/>
          <w:sz w:val="20"/>
          <w:szCs w:val="20"/>
          <w:shd w:val="clear" w:color="auto" w:fill="FFFFFF"/>
        </w:rPr>
        <w:t>Environmental Science and Pollution Research</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30</w:t>
      </w:r>
      <w:r w:rsidRPr="004779B6">
        <w:rPr>
          <w:rFonts w:asciiTheme="majorHAnsi" w:hAnsiTheme="majorHAnsi" w:cstheme="majorHAnsi"/>
          <w:color w:val="222222"/>
          <w:sz w:val="20"/>
          <w:szCs w:val="20"/>
          <w:shd w:val="clear" w:color="auto" w:fill="FFFFFF"/>
        </w:rPr>
        <w:t>(8), 22046-22062.</w:t>
      </w:r>
    </w:p>
    <w:p w14:paraId="7CA75D25" w14:textId="724A9975" w:rsidR="00907CA7" w:rsidRPr="004779B6" w:rsidRDefault="00907CA7"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Mensah, I. A., Sun, M., Gao, C., Omari-Sasu, A. Y., Zhu, D., </w:t>
      </w:r>
      <w:proofErr w:type="spellStart"/>
      <w:r w:rsidRPr="004779B6">
        <w:rPr>
          <w:rFonts w:asciiTheme="majorHAnsi" w:hAnsiTheme="majorHAnsi" w:cstheme="majorHAnsi"/>
          <w:color w:val="222222"/>
          <w:sz w:val="20"/>
          <w:szCs w:val="20"/>
          <w:shd w:val="clear" w:color="auto" w:fill="FFFFFF"/>
        </w:rPr>
        <w:t>Ampimah</w:t>
      </w:r>
      <w:proofErr w:type="spellEnd"/>
      <w:r w:rsidRPr="004779B6">
        <w:rPr>
          <w:rFonts w:asciiTheme="majorHAnsi" w:hAnsiTheme="majorHAnsi" w:cstheme="majorHAnsi"/>
          <w:color w:val="222222"/>
          <w:sz w:val="20"/>
          <w:szCs w:val="20"/>
          <w:shd w:val="clear" w:color="auto" w:fill="FFFFFF"/>
        </w:rPr>
        <w:t>, B. C., &amp; Quarcoo, A. (2019). Analysis on the nexus of economic growth, fossil fuel energy consumption, CO2 emissions and oil price in Africa based on a PMG panel ARDL approach. </w:t>
      </w:r>
      <w:r w:rsidRPr="004779B6">
        <w:rPr>
          <w:rFonts w:asciiTheme="majorHAnsi" w:hAnsiTheme="majorHAnsi" w:cstheme="majorHAnsi"/>
          <w:i/>
          <w:iCs/>
          <w:color w:val="222222"/>
          <w:sz w:val="20"/>
          <w:szCs w:val="20"/>
          <w:shd w:val="clear" w:color="auto" w:fill="FFFFFF"/>
        </w:rPr>
        <w:t>Journal of Cleaner Production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228</w:t>
      </w:r>
      <w:r w:rsidRPr="004779B6">
        <w:rPr>
          <w:rFonts w:asciiTheme="majorHAnsi" w:hAnsiTheme="majorHAnsi" w:cstheme="majorHAnsi"/>
          <w:color w:val="222222"/>
          <w:sz w:val="20"/>
          <w:szCs w:val="20"/>
          <w:shd w:val="clear" w:color="auto" w:fill="FFFFFF"/>
        </w:rPr>
        <w:t>, 161-174.</w:t>
      </w:r>
    </w:p>
    <w:p w14:paraId="648F4340" w14:textId="79C668E0" w:rsidR="00907CA7" w:rsidRPr="004779B6" w:rsidRDefault="00907CA7"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Li, B., &amp; </w:t>
      </w:r>
      <w:proofErr w:type="spellStart"/>
      <w:r w:rsidRPr="004779B6">
        <w:rPr>
          <w:rFonts w:asciiTheme="majorHAnsi" w:hAnsiTheme="majorHAnsi" w:cstheme="majorHAnsi"/>
          <w:color w:val="222222"/>
          <w:sz w:val="20"/>
          <w:szCs w:val="20"/>
          <w:shd w:val="clear" w:color="auto" w:fill="FFFFFF"/>
        </w:rPr>
        <w:t>Haneklaus</w:t>
      </w:r>
      <w:proofErr w:type="spellEnd"/>
      <w:r w:rsidRPr="004779B6">
        <w:rPr>
          <w:rFonts w:asciiTheme="majorHAnsi" w:hAnsiTheme="majorHAnsi" w:cstheme="majorHAnsi"/>
          <w:color w:val="222222"/>
          <w:sz w:val="20"/>
          <w:szCs w:val="20"/>
          <w:shd w:val="clear" w:color="auto" w:fill="FFFFFF"/>
        </w:rPr>
        <w:t>, N. (2021). The role of renewable energy, fossil fuel consumption, urbanization and economic growth on CO2 emissions in China. </w:t>
      </w:r>
      <w:r w:rsidRPr="004779B6">
        <w:rPr>
          <w:rFonts w:asciiTheme="majorHAnsi" w:hAnsiTheme="majorHAnsi" w:cstheme="majorHAnsi"/>
          <w:i/>
          <w:iCs/>
          <w:color w:val="222222"/>
          <w:sz w:val="20"/>
          <w:szCs w:val="20"/>
          <w:shd w:val="clear" w:color="auto" w:fill="FFFFFF"/>
        </w:rPr>
        <w:t>Energy Reports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w:t>
      </w:r>
      <w:r w:rsidRPr="004779B6">
        <w:rPr>
          <w:rFonts w:asciiTheme="majorHAnsi" w:hAnsiTheme="majorHAnsi" w:cstheme="majorHAnsi"/>
          <w:color w:val="222222"/>
          <w:sz w:val="20"/>
          <w:szCs w:val="20"/>
          <w:shd w:val="clear" w:color="auto" w:fill="FFFFFF"/>
        </w:rPr>
        <w:t>, 783-791.</w:t>
      </w:r>
    </w:p>
    <w:p w14:paraId="73DA83B5" w14:textId="5B179FEF" w:rsidR="001D7A38" w:rsidRPr="004779B6" w:rsidRDefault="001D7A3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lastRenderedPageBreak/>
        <w:t>Zhao, J., Taghizadeh-</w:t>
      </w:r>
      <w:proofErr w:type="spellStart"/>
      <w:r w:rsidRPr="004779B6">
        <w:rPr>
          <w:rFonts w:asciiTheme="majorHAnsi" w:hAnsiTheme="majorHAnsi" w:cstheme="majorHAnsi"/>
          <w:color w:val="222222"/>
          <w:sz w:val="20"/>
          <w:szCs w:val="20"/>
          <w:shd w:val="clear" w:color="auto" w:fill="FFFFFF"/>
        </w:rPr>
        <w:t>Hesary</w:t>
      </w:r>
      <w:proofErr w:type="spellEnd"/>
      <w:r w:rsidRPr="004779B6">
        <w:rPr>
          <w:rFonts w:asciiTheme="majorHAnsi" w:hAnsiTheme="majorHAnsi" w:cstheme="majorHAnsi"/>
          <w:color w:val="222222"/>
          <w:sz w:val="20"/>
          <w:szCs w:val="20"/>
          <w:shd w:val="clear" w:color="auto" w:fill="FFFFFF"/>
        </w:rPr>
        <w:t>, F., Dong, K., &amp; Dong, X. (2023). How green growth affects carbon emissions in China: the role of green finance. </w:t>
      </w:r>
      <w:r w:rsidRPr="004779B6">
        <w:rPr>
          <w:rFonts w:asciiTheme="majorHAnsi" w:hAnsiTheme="majorHAnsi" w:cstheme="majorHAnsi"/>
          <w:i/>
          <w:iCs/>
          <w:color w:val="222222"/>
          <w:sz w:val="20"/>
          <w:szCs w:val="20"/>
          <w:shd w:val="clear" w:color="auto" w:fill="FFFFFF"/>
        </w:rPr>
        <w:t>Economic research-</w:t>
      </w:r>
      <w:proofErr w:type="spellStart"/>
      <w:r w:rsidRPr="004779B6">
        <w:rPr>
          <w:rFonts w:asciiTheme="majorHAnsi" w:hAnsiTheme="majorHAnsi" w:cstheme="majorHAnsi"/>
          <w:i/>
          <w:iCs/>
          <w:color w:val="222222"/>
          <w:sz w:val="20"/>
          <w:szCs w:val="20"/>
          <w:shd w:val="clear" w:color="auto" w:fill="FFFFFF"/>
        </w:rPr>
        <w:t>Ekonomska</w:t>
      </w:r>
      <w:proofErr w:type="spellEnd"/>
      <w:r w:rsidRPr="004779B6">
        <w:rPr>
          <w:rFonts w:asciiTheme="majorHAnsi" w:hAnsiTheme="majorHAnsi" w:cstheme="majorHAnsi"/>
          <w:i/>
          <w:iCs/>
          <w:color w:val="222222"/>
          <w:sz w:val="20"/>
          <w:szCs w:val="20"/>
          <w:shd w:val="clear" w:color="auto" w:fill="FFFFFF"/>
        </w:rPr>
        <w:t xml:space="preserve"> </w:t>
      </w:r>
      <w:proofErr w:type="spellStart"/>
      <w:r w:rsidRPr="004779B6">
        <w:rPr>
          <w:rFonts w:asciiTheme="majorHAnsi" w:hAnsiTheme="majorHAnsi" w:cstheme="majorHAnsi"/>
          <w:i/>
          <w:iCs/>
          <w:color w:val="222222"/>
          <w:sz w:val="20"/>
          <w:szCs w:val="20"/>
          <w:shd w:val="clear" w:color="auto" w:fill="FFFFFF"/>
        </w:rPr>
        <w:t>istraživanja</w:t>
      </w:r>
      <w:proofErr w:type="spell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36</w:t>
      </w:r>
      <w:r w:rsidRPr="004779B6">
        <w:rPr>
          <w:rFonts w:asciiTheme="majorHAnsi" w:hAnsiTheme="majorHAnsi" w:cstheme="majorHAnsi"/>
          <w:color w:val="222222"/>
          <w:sz w:val="20"/>
          <w:szCs w:val="20"/>
          <w:shd w:val="clear" w:color="auto" w:fill="FFFFFF"/>
        </w:rPr>
        <w:t>(1), 2090-2111.</w:t>
      </w:r>
    </w:p>
    <w:p w14:paraId="7AA9C2D2" w14:textId="223E81F5"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Saleem, H., Khan, M. B., &amp; </w:t>
      </w:r>
      <w:proofErr w:type="spellStart"/>
      <w:r w:rsidRPr="004779B6">
        <w:rPr>
          <w:rFonts w:asciiTheme="majorHAnsi" w:hAnsiTheme="majorHAnsi" w:cstheme="majorHAnsi"/>
          <w:color w:val="222222"/>
          <w:sz w:val="20"/>
          <w:szCs w:val="20"/>
          <w:shd w:val="clear" w:color="auto" w:fill="FFFFFF"/>
        </w:rPr>
        <w:t>Mahdavian</w:t>
      </w:r>
      <w:proofErr w:type="spellEnd"/>
      <w:r w:rsidRPr="004779B6">
        <w:rPr>
          <w:rFonts w:asciiTheme="majorHAnsi" w:hAnsiTheme="majorHAnsi" w:cstheme="majorHAnsi"/>
          <w:color w:val="222222"/>
          <w:sz w:val="20"/>
          <w:szCs w:val="20"/>
          <w:shd w:val="clear" w:color="auto" w:fill="FFFFFF"/>
        </w:rPr>
        <w:t>, S. M. (2022). The role of green growth, green financing, and eco-friendly technology in achieving environmental quality: evidence from selected Asian economies. </w:t>
      </w:r>
      <w:r w:rsidRPr="004779B6">
        <w:rPr>
          <w:rFonts w:asciiTheme="majorHAnsi" w:hAnsiTheme="majorHAnsi" w:cstheme="majorHAnsi"/>
          <w:i/>
          <w:iCs/>
          <w:color w:val="222222"/>
          <w:sz w:val="20"/>
          <w:szCs w:val="20"/>
          <w:shd w:val="clear" w:color="auto" w:fill="FFFFFF"/>
        </w:rPr>
        <w:t>Environmental Science and Pollution Research</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29</w:t>
      </w:r>
      <w:r w:rsidRPr="004779B6">
        <w:rPr>
          <w:rFonts w:asciiTheme="majorHAnsi" w:hAnsiTheme="majorHAnsi" w:cstheme="majorHAnsi"/>
          <w:color w:val="222222"/>
          <w:sz w:val="20"/>
          <w:szCs w:val="20"/>
          <w:shd w:val="clear" w:color="auto" w:fill="FFFFFF"/>
        </w:rPr>
        <w:t>(38), 57720-57739.</w:t>
      </w:r>
    </w:p>
    <w:p w14:paraId="3B591494" w14:textId="4686BBC7"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Dogan, E., Hodžić, S., &amp; Fatur Šikić, T. (2022). A way forward in reducing carbon emissions in environmentally friendly countries: The role of green growth and environmental taxes. </w:t>
      </w:r>
      <w:r w:rsidRPr="004779B6">
        <w:rPr>
          <w:rFonts w:asciiTheme="majorHAnsi" w:hAnsiTheme="majorHAnsi" w:cstheme="majorHAnsi"/>
          <w:i/>
          <w:iCs/>
          <w:color w:val="222222"/>
          <w:sz w:val="20"/>
          <w:szCs w:val="20"/>
          <w:shd w:val="clear" w:color="auto" w:fill="FFFFFF"/>
        </w:rPr>
        <w:t>Economic research-</w:t>
      </w:r>
      <w:proofErr w:type="spellStart"/>
      <w:r w:rsidRPr="004779B6">
        <w:rPr>
          <w:rFonts w:asciiTheme="majorHAnsi" w:hAnsiTheme="majorHAnsi" w:cstheme="majorHAnsi"/>
          <w:i/>
          <w:iCs/>
          <w:color w:val="222222"/>
          <w:sz w:val="20"/>
          <w:szCs w:val="20"/>
          <w:shd w:val="clear" w:color="auto" w:fill="FFFFFF"/>
        </w:rPr>
        <w:t>Ekonomska</w:t>
      </w:r>
      <w:proofErr w:type="spellEnd"/>
      <w:r w:rsidRPr="004779B6">
        <w:rPr>
          <w:rFonts w:asciiTheme="majorHAnsi" w:hAnsiTheme="majorHAnsi" w:cstheme="majorHAnsi"/>
          <w:i/>
          <w:iCs/>
          <w:color w:val="222222"/>
          <w:sz w:val="20"/>
          <w:szCs w:val="20"/>
          <w:shd w:val="clear" w:color="auto" w:fill="FFFFFF"/>
        </w:rPr>
        <w:t xml:space="preserve"> </w:t>
      </w:r>
      <w:proofErr w:type="spellStart"/>
      <w:r w:rsidRPr="004779B6">
        <w:rPr>
          <w:rFonts w:asciiTheme="majorHAnsi" w:hAnsiTheme="majorHAnsi" w:cstheme="majorHAnsi"/>
          <w:i/>
          <w:iCs/>
          <w:color w:val="222222"/>
          <w:sz w:val="20"/>
          <w:szCs w:val="20"/>
          <w:shd w:val="clear" w:color="auto" w:fill="FFFFFF"/>
        </w:rPr>
        <w:t>istraživanja</w:t>
      </w:r>
      <w:proofErr w:type="spell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35</w:t>
      </w:r>
      <w:r w:rsidRPr="004779B6">
        <w:rPr>
          <w:rFonts w:asciiTheme="majorHAnsi" w:hAnsiTheme="majorHAnsi" w:cstheme="majorHAnsi"/>
          <w:color w:val="222222"/>
          <w:sz w:val="20"/>
          <w:szCs w:val="20"/>
          <w:shd w:val="clear" w:color="auto" w:fill="FFFFFF"/>
        </w:rPr>
        <w:t>(1), 5879-5894.</w:t>
      </w:r>
    </w:p>
    <w:p w14:paraId="5F148EBF" w14:textId="05971FA4" w:rsidR="00344DC6" w:rsidRPr="004779B6" w:rsidRDefault="00344DC6"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Lotfalipour</w:t>
      </w:r>
      <w:proofErr w:type="spellEnd"/>
      <w:r w:rsidRPr="004779B6">
        <w:rPr>
          <w:rFonts w:asciiTheme="majorHAnsi" w:hAnsiTheme="majorHAnsi" w:cstheme="majorHAnsi"/>
          <w:color w:val="222222"/>
          <w:sz w:val="20"/>
          <w:szCs w:val="20"/>
          <w:shd w:val="clear" w:color="auto" w:fill="FFFFFF"/>
        </w:rPr>
        <w:t xml:space="preserve">, M. R., Falahi, M. A., &amp; </w:t>
      </w:r>
      <w:proofErr w:type="spellStart"/>
      <w:r w:rsidRPr="004779B6">
        <w:rPr>
          <w:rFonts w:asciiTheme="majorHAnsi" w:hAnsiTheme="majorHAnsi" w:cstheme="majorHAnsi"/>
          <w:color w:val="222222"/>
          <w:sz w:val="20"/>
          <w:szCs w:val="20"/>
          <w:shd w:val="clear" w:color="auto" w:fill="FFFFFF"/>
        </w:rPr>
        <w:t>Ashena</w:t>
      </w:r>
      <w:proofErr w:type="spellEnd"/>
      <w:r w:rsidRPr="004779B6">
        <w:rPr>
          <w:rFonts w:asciiTheme="majorHAnsi" w:hAnsiTheme="majorHAnsi" w:cstheme="majorHAnsi"/>
          <w:color w:val="222222"/>
          <w:sz w:val="20"/>
          <w:szCs w:val="20"/>
          <w:shd w:val="clear" w:color="auto" w:fill="FFFFFF"/>
        </w:rPr>
        <w:t>, M. (2010). Economic growth, CO2 emissions, and fossil fuels consumption in Iran. </w:t>
      </w:r>
      <w:r w:rsidRPr="004779B6">
        <w:rPr>
          <w:rFonts w:asciiTheme="majorHAnsi" w:hAnsiTheme="majorHAnsi" w:cstheme="majorHAnsi"/>
          <w:i/>
          <w:iCs/>
          <w:color w:val="222222"/>
          <w:sz w:val="20"/>
          <w:szCs w:val="20"/>
          <w:shd w:val="clear" w:color="auto" w:fill="FFFFFF"/>
        </w:rPr>
        <w:t>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35</w:t>
      </w:r>
      <w:r w:rsidRPr="004779B6">
        <w:rPr>
          <w:rFonts w:asciiTheme="majorHAnsi" w:hAnsiTheme="majorHAnsi" w:cstheme="majorHAnsi"/>
          <w:color w:val="222222"/>
          <w:sz w:val="20"/>
          <w:szCs w:val="20"/>
          <w:shd w:val="clear" w:color="auto" w:fill="FFFFFF"/>
        </w:rPr>
        <w:t>(12), 5115-5120.</w:t>
      </w:r>
    </w:p>
    <w:p w14:paraId="162BDE42" w14:textId="1FFB4933"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Salahuddin, M., Alam, K., &amp; Ozturk, I. (2016). The effects of Internet usage and economic growth on CO2 emissions in OECD countries: A panel investigation. </w:t>
      </w:r>
      <w:r w:rsidRPr="004779B6">
        <w:rPr>
          <w:rFonts w:asciiTheme="majorHAnsi" w:hAnsiTheme="majorHAnsi" w:cstheme="majorHAnsi"/>
          <w:i/>
          <w:iCs/>
          <w:color w:val="222222"/>
          <w:sz w:val="20"/>
          <w:szCs w:val="20"/>
          <w:shd w:val="clear" w:color="auto" w:fill="FFFFFF"/>
        </w:rPr>
        <w:t>Renewable and Sustainable Energy Reviews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62</w:t>
      </w:r>
      <w:r w:rsidRPr="004779B6">
        <w:rPr>
          <w:rFonts w:asciiTheme="majorHAnsi" w:hAnsiTheme="majorHAnsi" w:cstheme="majorHAnsi"/>
          <w:color w:val="222222"/>
          <w:sz w:val="20"/>
          <w:szCs w:val="20"/>
          <w:shd w:val="clear" w:color="auto" w:fill="FFFFFF"/>
        </w:rPr>
        <w:t>, 1226-1235.</w:t>
      </w:r>
    </w:p>
    <w:p w14:paraId="354AF542" w14:textId="04DABC6C" w:rsidR="00344DC6" w:rsidRPr="004779B6" w:rsidRDefault="00344DC6"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Gorus</w:t>
      </w:r>
      <w:proofErr w:type="spellEnd"/>
      <w:r w:rsidRPr="004779B6">
        <w:rPr>
          <w:rFonts w:asciiTheme="majorHAnsi" w:hAnsiTheme="majorHAnsi" w:cstheme="majorHAnsi"/>
          <w:color w:val="222222"/>
          <w:sz w:val="20"/>
          <w:szCs w:val="20"/>
          <w:shd w:val="clear" w:color="auto" w:fill="FFFFFF"/>
        </w:rPr>
        <w:t>, M. S., &amp; Aydin, M. (2019). The relationship between energy consumption, economic growth, and CO2 emission in MENA countries: Causality analysis in the frequency domain. </w:t>
      </w:r>
      <w:r w:rsidRPr="004779B6">
        <w:rPr>
          <w:rFonts w:asciiTheme="majorHAnsi" w:hAnsiTheme="majorHAnsi" w:cstheme="majorHAnsi"/>
          <w:i/>
          <w:iCs/>
          <w:color w:val="222222"/>
          <w:sz w:val="20"/>
          <w:szCs w:val="20"/>
          <w:shd w:val="clear" w:color="auto" w:fill="FFFFFF"/>
        </w:rPr>
        <w:t>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168</w:t>
      </w:r>
      <w:r w:rsidRPr="004779B6">
        <w:rPr>
          <w:rFonts w:asciiTheme="majorHAnsi" w:hAnsiTheme="majorHAnsi" w:cstheme="majorHAnsi"/>
          <w:color w:val="222222"/>
          <w:sz w:val="20"/>
          <w:szCs w:val="20"/>
          <w:shd w:val="clear" w:color="auto" w:fill="FFFFFF"/>
        </w:rPr>
        <w:t>, 815-822.</w:t>
      </w:r>
    </w:p>
    <w:p w14:paraId="661F26DB" w14:textId="76D4D71A"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Mikayilov, J. I., Galeotti, M., &amp; Hasanov, F. J. (2018). The impact of economic growth on CO2 emissions in Azerbaijan. </w:t>
      </w:r>
      <w:r w:rsidRPr="004779B6">
        <w:rPr>
          <w:rFonts w:asciiTheme="majorHAnsi" w:hAnsiTheme="majorHAnsi" w:cstheme="majorHAnsi"/>
          <w:i/>
          <w:iCs/>
          <w:color w:val="222222"/>
          <w:sz w:val="20"/>
          <w:szCs w:val="20"/>
          <w:shd w:val="clear" w:color="auto" w:fill="FFFFFF"/>
        </w:rPr>
        <w:t>Journal of cleaner production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197</w:t>
      </w:r>
      <w:r w:rsidRPr="004779B6">
        <w:rPr>
          <w:rFonts w:asciiTheme="majorHAnsi" w:hAnsiTheme="majorHAnsi" w:cstheme="majorHAnsi"/>
          <w:color w:val="222222"/>
          <w:sz w:val="20"/>
          <w:szCs w:val="20"/>
          <w:shd w:val="clear" w:color="auto" w:fill="FFFFFF"/>
        </w:rPr>
        <w:t>, 1558-1572.</w:t>
      </w:r>
    </w:p>
    <w:p w14:paraId="34D162F6" w14:textId="4B4638AD"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Hanif, I., Raza, F., Gago-De-Santos, S. M., Abbas, P., &amp; Qamar, A.</w:t>
      </w:r>
      <w:r w:rsidRPr="004779B6">
        <w:rPr>
          <w:rFonts w:asciiTheme="majorHAnsi" w:hAnsiTheme="majorHAnsi" w:cstheme="majorHAnsi"/>
        </w:rPr>
        <w:t xml:space="preserve"> (2019). Fossil fuels, foreign direct investment, and economic growth have triggered CO₂ emissions in emerging Asian economies: Some empirical evidence. </w:t>
      </w:r>
      <w:r w:rsidRPr="004779B6">
        <w:rPr>
          <w:rStyle w:val="Emphasis"/>
          <w:rFonts w:asciiTheme="majorHAnsi" w:hAnsiTheme="majorHAnsi" w:cstheme="majorHAnsi"/>
        </w:rPr>
        <w:t>Energy, 171</w:t>
      </w:r>
      <w:r w:rsidRPr="004779B6">
        <w:rPr>
          <w:rFonts w:asciiTheme="majorHAnsi" w:hAnsiTheme="majorHAnsi" w:cstheme="majorHAnsi"/>
        </w:rPr>
        <w:t>, 493–501. https://doi.org/10.1016/j.energy.2019.01.011</w:t>
      </w:r>
    </w:p>
    <w:p w14:paraId="20058816" w14:textId="1A71FE6E" w:rsidR="00344DC6" w:rsidRPr="004779B6" w:rsidRDefault="00344DC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Raza, S. M. F., Gago-de-Santos, P., &amp; Abbas, Q. (2019). Imran Hanif (Corresponding Author). </w:t>
      </w:r>
      <w:r w:rsidRPr="004779B6">
        <w:rPr>
          <w:rFonts w:asciiTheme="majorHAnsi" w:hAnsiTheme="majorHAnsi" w:cstheme="majorHAnsi"/>
          <w:i/>
          <w:iCs/>
          <w:color w:val="222222"/>
          <w:sz w:val="20"/>
          <w:szCs w:val="20"/>
          <w:shd w:val="clear" w:color="auto" w:fill="FFFFFF"/>
        </w:rPr>
        <w:t>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2019</w:t>
      </w:r>
      <w:r w:rsidRPr="004779B6">
        <w:rPr>
          <w:rFonts w:asciiTheme="majorHAnsi" w:hAnsiTheme="majorHAnsi" w:cstheme="majorHAnsi"/>
          <w:color w:val="222222"/>
          <w:sz w:val="20"/>
          <w:szCs w:val="20"/>
          <w:shd w:val="clear" w:color="auto" w:fill="FFFFFF"/>
        </w:rPr>
        <w:t>, 011.</w:t>
      </w:r>
    </w:p>
    <w:p w14:paraId="50BDA09E" w14:textId="319F943F" w:rsidR="005F43DB" w:rsidRPr="004779B6" w:rsidRDefault="005F43DB"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Zafar, M. W., Zaidi, S. A. H., Mansoor, S., Sinha, A., &amp; Qin, Q. (2022). ICT and education as determinants of environmental quality: The role of financial development in selected Asian countries.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177</w:t>
      </w:r>
      <w:r w:rsidRPr="004779B6">
        <w:rPr>
          <w:rFonts w:asciiTheme="majorHAnsi" w:hAnsiTheme="majorHAnsi" w:cstheme="majorHAnsi"/>
          <w:color w:val="222222"/>
          <w:sz w:val="20"/>
          <w:szCs w:val="20"/>
          <w:shd w:val="clear" w:color="auto" w:fill="FFFFFF"/>
        </w:rPr>
        <w:t>, 121547.</w:t>
      </w:r>
    </w:p>
    <w:p w14:paraId="38B0DBDE" w14:textId="010EFE5F" w:rsidR="005F43DB" w:rsidRPr="004779B6" w:rsidRDefault="005F43DB"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Kraemer, K. L., Ganley, D., &amp; Dewan, S. (2005). Across the digital divide: A cross-country multi-technology analysis of the determinants of IT penetration. </w:t>
      </w:r>
      <w:r w:rsidRPr="004779B6">
        <w:rPr>
          <w:rFonts w:asciiTheme="majorHAnsi" w:hAnsiTheme="majorHAnsi" w:cstheme="majorHAnsi"/>
          <w:i/>
          <w:iCs/>
          <w:color w:val="222222"/>
          <w:sz w:val="20"/>
          <w:szCs w:val="20"/>
          <w:shd w:val="clear" w:color="auto" w:fill="FFFFFF"/>
        </w:rPr>
        <w:t>Journal of the Association for Information Systems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6</w:t>
      </w:r>
      <w:r w:rsidRPr="004779B6">
        <w:rPr>
          <w:rFonts w:asciiTheme="majorHAnsi" w:hAnsiTheme="majorHAnsi" w:cstheme="majorHAnsi"/>
          <w:color w:val="222222"/>
          <w:sz w:val="20"/>
          <w:szCs w:val="20"/>
          <w:shd w:val="clear" w:color="auto" w:fill="FFFFFF"/>
        </w:rPr>
        <w:t>(12), 10.</w:t>
      </w:r>
    </w:p>
    <w:p w14:paraId="61B04E3F" w14:textId="356BC199" w:rsidR="005F43DB" w:rsidRPr="004779B6" w:rsidRDefault="005F43DB"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Shahnazi</w:t>
      </w:r>
      <w:proofErr w:type="spellEnd"/>
      <w:r w:rsidRPr="004779B6">
        <w:rPr>
          <w:rFonts w:asciiTheme="majorHAnsi" w:hAnsiTheme="majorHAnsi" w:cstheme="majorHAnsi"/>
          <w:color w:val="222222"/>
          <w:sz w:val="20"/>
          <w:szCs w:val="20"/>
          <w:shd w:val="clear" w:color="auto" w:fill="FFFFFF"/>
        </w:rPr>
        <w:t>, R., &amp; Dehghan Shabani, Z. (2019). The effects of spatial spillover information and communications technology on carbon dioxide emissions in Iran. </w:t>
      </w:r>
      <w:r w:rsidRPr="004779B6">
        <w:rPr>
          <w:rFonts w:asciiTheme="majorHAnsi" w:hAnsiTheme="majorHAnsi" w:cstheme="majorHAnsi"/>
          <w:i/>
          <w:iCs/>
          <w:color w:val="222222"/>
          <w:sz w:val="20"/>
          <w:szCs w:val="20"/>
          <w:shd w:val="clear" w:color="auto" w:fill="FFFFFF"/>
        </w:rPr>
        <w:t>Environmental Science and Pollution Research</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26</w:t>
      </w:r>
      <w:r w:rsidRPr="004779B6">
        <w:rPr>
          <w:rFonts w:asciiTheme="majorHAnsi" w:hAnsiTheme="majorHAnsi" w:cstheme="majorHAnsi"/>
          <w:color w:val="222222"/>
          <w:sz w:val="20"/>
          <w:szCs w:val="20"/>
          <w:shd w:val="clear" w:color="auto" w:fill="FFFFFF"/>
        </w:rPr>
        <w:t>, 24198-24212.</w:t>
      </w:r>
    </w:p>
    <w:p w14:paraId="74C5A432" w14:textId="412A20D9" w:rsidR="005F43DB" w:rsidRPr="004779B6" w:rsidRDefault="005F43DB"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Sun, H. (2022). What are the roles of green technology innovation and ICT employment in lowering carbon intensity in China? A city-level analysis of the spatial effects. </w:t>
      </w:r>
      <w:r w:rsidRPr="004779B6">
        <w:rPr>
          <w:rFonts w:asciiTheme="majorHAnsi" w:hAnsiTheme="majorHAnsi" w:cstheme="majorHAnsi"/>
          <w:i/>
          <w:iCs/>
          <w:color w:val="222222"/>
          <w:sz w:val="20"/>
          <w:szCs w:val="20"/>
          <w:shd w:val="clear" w:color="auto" w:fill="FFFFFF"/>
        </w:rPr>
        <w:t>Resources, Conservation and Recycling</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186</w:t>
      </w:r>
      <w:r w:rsidRPr="004779B6">
        <w:rPr>
          <w:rFonts w:asciiTheme="majorHAnsi" w:hAnsiTheme="majorHAnsi" w:cstheme="majorHAnsi"/>
          <w:color w:val="222222"/>
          <w:sz w:val="20"/>
          <w:szCs w:val="20"/>
          <w:shd w:val="clear" w:color="auto" w:fill="FFFFFF"/>
        </w:rPr>
        <w:t>, 106550.</w:t>
      </w:r>
    </w:p>
    <w:p w14:paraId="18DB8796" w14:textId="1A531327"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Sarkodie, S. A., &amp; Owusu, P. A. (2021). Escalation effect of fossil-based CO2 emissions improves green energy innovation. </w:t>
      </w:r>
      <w:r w:rsidRPr="004779B6">
        <w:rPr>
          <w:rFonts w:asciiTheme="majorHAnsi" w:hAnsiTheme="majorHAnsi" w:cstheme="majorHAnsi"/>
          <w:i/>
          <w:iCs/>
          <w:color w:val="222222"/>
          <w:sz w:val="20"/>
          <w:szCs w:val="20"/>
          <w:shd w:val="clear" w:color="auto" w:fill="FFFFFF"/>
        </w:rPr>
        <w:t>Science of the Total Environment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785</w:t>
      </w:r>
      <w:r w:rsidRPr="004779B6">
        <w:rPr>
          <w:rFonts w:asciiTheme="majorHAnsi" w:hAnsiTheme="majorHAnsi" w:cstheme="majorHAnsi"/>
          <w:color w:val="222222"/>
          <w:sz w:val="20"/>
          <w:szCs w:val="20"/>
          <w:shd w:val="clear" w:color="auto" w:fill="FFFFFF"/>
        </w:rPr>
        <w:t>, 147257.</w:t>
      </w:r>
    </w:p>
    <w:p w14:paraId="2AE87BFE" w14:textId="752EDC0F" w:rsidR="002B1C87" w:rsidRPr="004779B6" w:rsidRDefault="002B1C87"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Khan, Y., </w:t>
      </w:r>
      <w:proofErr w:type="spellStart"/>
      <w:r w:rsidRPr="004779B6">
        <w:rPr>
          <w:rFonts w:asciiTheme="majorHAnsi" w:hAnsiTheme="majorHAnsi" w:cstheme="majorHAnsi"/>
          <w:color w:val="222222"/>
          <w:sz w:val="20"/>
          <w:szCs w:val="20"/>
          <w:shd w:val="clear" w:color="auto" w:fill="FFFFFF"/>
        </w:rPr>
        <w:t>Oubaih</w:t>
      </w:r>
      <w:proofErr w:type="spellEnd"/>
      <w:r w:rsidRPr="004779B6">
        <w:rPr>
          <w:rFonts w:asciiTheme="majorHAnsi" w:hAnsiTheme="majorHAnsi" w:cstheme="majorHAnsi"/>
          <w:color w:val="222222"/>
          <w:sz w:val="20"/>
          <w:szCs w:val="20"/>
          <w:shd w:val="clear" w:color="auto" w:fill="FFFFFF"/>
        </w:rPr>
        <w:t xml:space="preserve">, H., &amp; </w:t>
      </w:r>
      <w:proofErr w:type="spellStart"/>
      <w:r w:rsidRPr="004779B6">
        <w:rPr>
          <w:rFonts w:asciiTheme="majorHAnsi" w:hAnsiTheme="majorHAnsi" w:cstheme="majorHAnsi"/>
          <w:color w:val="222222"/>
          <w:sz w:val="20"/>
          <w:szCs w:val="20"/>
          <w:shd w:val="clear" w:color="auto" w:fill="FFFFFF"/>
        </w:rPr>
        <w:t>Elgourrami</w:t>
      </w:r>
      <w:proofErr w:type="spellEnd"/>
      <w:r w:rsidRPr="004779B6">
        <w:rPr>
          <w:rFonts w:asciiTheme="majorHAnsi" w:hAnsiTheme="majorHAnsi" w:cstheme="majorHAnsi"/>
          <w:color w:val="222222"/>
          <w:sz w:val="20"/>
          <w:szCs w:val="20"/>
          <w:shd w:val="clear" w:color="auto" w:fill="FFFFFF"/>
        </w:rPr>
        <w:t>, F. Z. (2022). The effect of renewable energy sources on carbon dioxide emissions: Evaluating the role of governance, and ICT in Morocco. </w:t>
      </w:r>
      <w:r w:rsidRPr="004779B6">
        <w:rPr>
          <w:rFonts w:asciiTheme="majorHAnsi" w:hAnsiTheme="majorHAnsi" w:cstheme="majorHAnsi"/>
          <w:i/>
          <w:iCs/>
          <w:color w:val="222222"/>
          <w:sz w:val="20"/>
          <w:szCs w:val="20"/>
          <w:shd w:val="clear" w:color="auto" w:fill="FFFFFF"/>
        </w:rPr>
        <w:t>Renewable 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190</w:t>
      </w:r>
      <w:r w:rsidRPr="004779B6">
        <w:rPr>
          <w:rFonts w:asciiTheme="majorHAnsi" w:hAnsiTheme="majorHAnsi" w:cstheme="majorHAnsi"/>
          <w:color w:val="222222"/>
          <w:sz w:val="20"/>
          <w:szCs w:val="20"/>
          <w:shd w:val="clear" w:color="auto" w:fill="FFFFFF"/>
        </w:rPr>
        <w:t>, 752-763.</w:t>
      </w:r>
    </w:p>
    <w:p w14:paraId="2CB7611F" w14:textId="4B7CCC39" w:rsidR="007E2E7F" w:rsidRPr="004779B6" w:rsidRDefault="007E2E7F"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Lahouel, B. B., Taleb, L., Zaied, Y. B., &amp; Managi, S. (2021). Does ICT change the relationship between total factor productivity and CO2 emissions? Evidence based on a nonlinear model. </w:t>
      </w:r>
      <w:r w:rsidRPr="004779B6">
        <w:rPr>
          <w:rFonts w:asciiTheme="majorHAnsi" w:hAnsiTheme="majorHAnsi" w:cstheme="majorHAnsi"/>
          <w:i/>
          <w:iCs/>
          <w:color w:val="222222"/>
          <w:sz w:val="20"/>
          <w:szCs w:val="20"/>
          <w:shd w:val="clear" w:color="auto" w:fill="FFFFFF"/>
        </w:rPr>
        <w:t>Energy Economics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101</w:t>
      </w:r>
      <w:r w:rsidRPr="004779B6">
        <w:rPr>
          <w:rFonts w:asciiTheme="majorHAnsi" w:hAnsiTheme="majorHAnsi" w:cstheme="majorHAnsi"/>
          <w:color w:val="222222"/>
          <w:sz w:val="20"/>
          <w:szCs w:val="20"/>
          <w:shd w:val="clear" w:color="auto" w:fill="FFFFFF"/>
        </w:rPr>
        <w:t>, 105406.</w:t>
      </w:r>
    </w:p>
    <w:p w14:paraId="6327BEDE" w14:textId="1B020549" w:rsidR="007E2E7F" w:rsidRPr="004779B6" w:rsidRDefault="007E2E7F"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lastRenderedPageBreak/>
        <w:t>Azam, A., Rafiq, M., Shafique, M., &amp; Yuan, J. (2021). An empirical analysis of the non-linear effects of natural gas, nuclear energy, renewable energy and ICT-Trade in leading CO2 emitter countries: Policy towards CO2 mitigation and economic sustainability. </w:t>
      </w:r>
      <w:r w:rsidRPr="004779B6">
        <w:rPr>
          <w:rFonts w:asciiTheme="majorHAnsi" w:hAnsiTheme="majorHAnsi" w:cstheme="majorHAnsi"/>
          <w:i/>
          <w:iCs/>
          <w:color w:val="222222"/>
          <w:sz w:val="20"/>
          <w:szCs w:val="20"/>
          <w:shd w:val="clear" w:color="auto" w:fill="FFFFFF"/>
        </w:rPr>
        <w:t>Journal of Environmental Management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286</w:t>
      </w:r>
      <w:r w:rsidRPr="004779B6">
        <w:rPr>
          <w:rFonts w:asciiTheme="majorHAnsi" w:hAnsiTheme="majorHAnsi" w:cstheme="majorHAnsi"/>
          <w:color w:val="222222"/>
          <w:sz w:val="20"/>
          <w:szCs w:val="20"/>
          <w:shd w:val="clear" w:color="auto" w:fill="FFFFFF"/>
        </w:rPr>
        <w:t>, 112232.</w:t>
      </w:r>
    </w:p>
    <w:p w14:paraId="65FA8EE0" w14:textId="24CE5595" w:rsidR="005F43DB" w:rsidRPr="004779B6" w:rsidRDefault="005F43DB"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Asongu, S. A., Le Roux, S., &amp; </w:t>
      </w:r>
      <w:proofErr w:type="spellStart"/>
      <w:r w:rsidRPr="004779B6">
        <w:rPr>
          <w:rFonts w:asciiTheme="majorHAnsi" w:hAnsiTheme="majorHAnsi" w:cstheme="majorHAnsi"/>
          <w:color w:val="222222"/>
          <w:sz w:val="20"/>
          <w:szCs w:val="20"/>
          <w:shd w:val="clear" w:color="auto" w:fill="FFFFFF"/>
        </w:rPr>
        <w:t>Biekpe</w:t>
      </w:r>
      <w:proofErr w:type="spellEnd"/>
      <w:r w:rsidRPr="004779B6">
        <w:rPr>
          <w:rFonts w:asciiTheme="majorHAnsi" w:hAnsiTheme="majorHAnsi" w:cstheme="majorHAnsi"/>
          <w:color w:val="222222"/>
          <w:sz w:val="20"/>
          <w:szCs w:val="20"/>
          <w:shd w:val="clear" w:color="auto" w:fill="FFFFFF"/>
        </w:rPr>
        <w:t>, N. (2017). Environmental degradation, ICT and inclusive development in Sub-Saharan Africa. </w:t>
      </w:r>
      <w:r w:rsidRPr="004779B6">
        <w:rPr>
          <w:rFonts w:asciiTheme="majorHAnsi" w:hAnsiTheme="majorHAnsi" w:cstheme="majorHAnsi"/>
          <w:i/>
          <w:iCs/>
          <w:color w:val="222222"/>
          <w:sz w:val="20"/>
          <w:szCs w:val="20"/>
          <w:shd w:val="clear" w:color="auto" w:fill="FFFFFF"/>
        </w:rPr>
        <w:t>Energy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111</w:t>
      </w:r>
      <w:r w:rsidRPr="004779B6">
        <w:rPr>
          <w:rFonts w:asciiTheme="majorHAnsi" w:hAnsiTheme="majorHAnsi" w:cstheme="majorHAnsi"/>
          <w:color w:val="222222"/>
          <w:sz w:val="20"/>
          <w:szCs w:val="20"/>
          <w:shd w:val="clear" w:color="auto" w:fill="FFFFFF"/>
        </w:rPr>
        <w:t>, 353-361.</w:t>
      </w:r>
    </w:p>
    <w:p w14:paraId="547C43F8" w14:textId="7CBF1D50" w:rsidR="007E2E7F" w:rsidRPr="004779B6" w:rsidRDefault="007E2E7F"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Wang, J., Jiang, Q., Dong, X., &amp; Dong, K. (2021). Decoupling and decomposition analysis of investments and CO2 emissions in information and communication technology sector. </w:t>
      </w:r>
      <w:r w:rsidRPr="004779B6">
        <w:rPr>
          <w:rFonts w:asciiTheme="majorHAnsi" w:hAnsiTheme="majorHAnsi" w:cstheme="majorHAnsi"/>
          <w:i/>
          <w:iCs/>
          <w:color w:val="222222"/>
          <w:sz w:val="20"/>
          <w:szCs w:val="20"/>
          <w:shd w:val="clear" w:color="auto" w:fill="FFFFFF"/>
        </w:rPr>
        <w:t>Applied 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302</w:t>
      </w:r>
      <w:r w:rsidRPr="004779B6">
        <w:rPr>
          <w:rFonts w:asciiTheme="majorHAnsi" w:hAnsiTheme="majorHAnsi" w:cstheme="majorHAnsi"/>
          <w:color w:val="222222"/>
          <w:sz w:val="20"/>
          <w:szCs w:val="20"/>
          <w:shd w:val="clear" w:color="auto" w:fill="FFFFFF"/>
        </w:rPr>
        <w:t>, 117618.</w:t>
      </w:r>
    </w:p>
    <w:p w14:paraId="6FE5A95D" w14:textId="78D99FF1" w:rsidR="007E2E7F" w:rsidRPr="004779B6" w:rsidRDefault="007E2E7F"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Chatti</w:t>
      </w:r>
      <w:proofErr w:type="spellEnd"/>
      <w:r w:rsidRPr="004779B6">
        <w:rPr>
          <w:rFonts w:asciiTheme="majorHAnsi" w:hAnsiTheme="majorHAnsi" w:cstheme="majorHAnsi"/>
          <w:color w:val="222222"/>
          <w:sz w:val="20"/>
          <w:szCs w:val="20"/>
          <w:shd w:val="clear" w:color="auto" w:fill="FFFFFF"/>
        </w:rPr>
        <w:t>, W. (2021). Moving towards environmental sustainability: information and communication technology (ICT), freight transport, and CO2 emissions. </w:t>
      </w:r>
      <w:proofErr w:type="spellStart"/>
      <w:r w:rsidRPr="004779B6">
        <w:rPr>
          <w:rFonts w:asciiTheme="majorHAnsi" w:hAnsiTheme="majorHAnsi" w:cstheme="majorHAnsi"/>
          <w:i/>
          <w:iCs/>
          <w:color w:val="222222"/>
          <w:sz w:val="20"/>
          <w:szCs w:val="20"/>
          <w:shd w:val="clear" w:color="auto" w:fill="FFFFFF"/>
        </w:rPr>
        <w:t>Heliyon</w:t>
      </w:r>
      <w:proofErr w:type="spell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w:t>
      </w:r>
      <w:r w:rsidRPr="004779B6">
        <w:rPr>
          <w:rFonts w:asciiTheme="majorHAnsi" w:hAnsiTheme="majorHAnsi" w:cstheme="majorHAnsi"/>
          <w:color w:val="222222"/>
          <w:sz w:val="20"/>
          <w:szCs w:val="20"/>
          <w:shd w:val="clear" w:color="auto" w:fill="FFFFFF"/>
        </w:rPr>
        <w:t>(10).</w:t>
      </w:r>
    </w:p>
    <w:p w14:paraId="0B5E2E3B" w14:textId="60896EEE" w:rsidR="007E2E7F" w:rsidRPr="004779B6" w:rsidRDefault="007E2E7F"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Zhang, C., &amp; Liu, C. (2015). The impact of ICT industry on CO2 emissions: a regional analysis in China. </w:t>
      </w:r>
      <w:r w:rsidRPr="004779B6">
        <w:rPr>
          <w:rFonts w:asciiTheme="majorHAnsi" w:hAnsiTheme="majorHAnsi" w:cstheme="majorHAnsi"/>
          <w:i/>
          <w:iCs/>
          <w:color w:val="222222"/>
          <w:sz w:val="20"/>
          <w:szCs w:val="20"/>
          <w:shd w:val="clear" w:color="auto" w:fill="FFFFFF"/>
        </w:rPr>
        <w:t>Renewable and Sustainable Energy Reviews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44</w:t>
      </w:r>
      <w:r w:rsidRPr="004779B6">
        <w:rPr>
          <w:rFonts w:asciiTheme="majorHAnsi" w:hAnsiTheme="majorHAnsi" w:cstheme="majorHAnsi"/>
          <w:color w:val="222222"/>
          <w:sz w:val="20"/>
          <w:szCs w:val="20"/>
          <w:shd w:val="clear" w:color="auto" w:fill="FFFFFF"/>
        </w:rPr>
        <w:t>, 12-19.</w:t>
      </w:r>
    </w:p>
    <w:p w14:paraId="434CB1CF" w14:textId="53870341"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Shahzad, K., </w:t>
      </w:r>
      <w:proofErr w:type="spellStart"/>
      <w:r w:rsidRPr="004779B6">
        <w:rPr>
          <w:rFonts w:asciiTheme="majorHAnsi" w:hAnsiTheme="majorHAnsi" w:cstheme="majorHAnsi"/>
          <w:color w:val="222222"/>
          <w:sz w:val="20"/>
          <w:szCs w:val="20"/>
          <w:shd w:val="clear" w:color="auto" w:fill="FFFFFF"/>
        </w:rPr>
        <w:t>Jianqiu</w:t>
      </w:r>
      <w:proofErr w:type="spellEnd"/>
      <w:r w:rsidRPr="004779B6">
        <w:rPr>
          <w:rFonts w:asciiTheme="majorHAnsi" w:hAnsiTheme="majorHAnsi" w:cstheme="majorHAnsi"/>
          <w:color w:val="222222"/>
          <w:sz w:val="20"/>
          <w:szCs w:val="20"/>
          <w:shd w:val="clear" w:color="auto" w:fill="FFFFFF"/>
        </w:rPr>
        <w:t>, Z., Hashim, M., Nazam, M., &amp; Wang, L. (2020). Impact of using information and communication technology and renewable energy on health expenditure: a case study from Pakistan. </w:t>
      </w:r>
      <w:r w:rsidRPr="004779B6">
        <w:rPr>
          <w:rFonts w:asciiTheme="majorHAnsi" w:hAnsiTheme="majorHAnsi" w:cstheme="majorHAnsi"/>
          <w:i/>
          <w:iCs/>
          <w:color w:val="222222"/>
          <w:sz w:val="20"/>
          <w:szCs w:val="20"/>
          <w:shd w:val="clear" w:color="auto" w:fill="FFFFFF"/>
        </w:rPr>
        <w:t>Energy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204</w:t>
      </w:r>
      <w:r w:rsidRPr="004779B6">
        <w:rPr>
          <w:rFonts w:asciiTheme="majorHAnsi" w:hAnsiTheme="majorHAnsi" w:cstheme="majorHAnsi"/>
          <w:color w:val="222222"/>
          <w:sz w:val="20"/>
          <w:szCs w:val="20"/>
          <w:shd w:val="clear" w:color="auto" w:fill="FFFFFF"/>
        </w:rPr>
        <w:t>, 117956.</w:t>
      </w:r>
    </w:p>
    <w:p w14:paraId="0EDBE07A" w14:textId="3C2ECCB5" w:rsidR="006C69E8" w:rsidRPr="004779B6" w:rsidRDefault="006C69E8"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Balsalobre</w:t>
      </w:r>
      <w:proofErr w:type="spellEnd"/>
      <w:r w:rsidRPr="004779B6">
        <w:rPr>
          <w:rFonts w:asciiTheme="majorHAnsi" w:hAnsiTheme="majorHAnsi" w:cstheme="majorHAnsi"/>
          <w:color w:val="222222"/>
          <w:sz w:val="20"/>
          <w:szCs w:val="20"/>
          <w:shd w:val="clear" w:color="auto" w:fill="FFFFFF"/>
        </w:rPr>
        <w:t>-Lorente, D., Abbas, J., He, C., Pilař, L., &amp; Shah, S. A. R. (2023). Tourism, urbanization and natural resources rents matter for environmental sustainability: The leading role of AI and ICT on sustainable development goals in the digital era. </w:t>
      </w:r>
      <w:r w:rsidRPr="004779B6">
        <w:rPr>
          <w:rFonts w:asciiTheme="majorHAnsi" w:hAnsiTheme="majorHAnsi" w:cstheme="majorHAnsi"/>
          <w:i/>
          <w:iCs/>
          <w:color w:val="222222"/>
          <w:sz w:val="20"/>
          <w:szCs w:val="20"/>
          <w:shd w:val="clear" w:color="auto" w:fill="FFFFFF"/>
        </w:rPr>
        <w:t>Resources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82</w:t>
      </w:r>
      <w:r w:rsidRPr="004779B6">
        <w:rPr>
          <w:rFonts w:asciiTheme="majorHAnsi" w:hAnsiTheme="majorHAnsi" w:cstheme="majorHAnsi"/>
          <w:color w:val="222222"/>
          <w:sz w:val="20"/>
          <w:szCs w:val="20"/>
          <w:shd w:val="clear" w:color="auto" w:fill="FFFFFF"/>
        </w:rPr>
        <w:t>, 103445.</w:t>
      </w:r>
    </w:p>
    <w:p w14:paraId="4FEBC13A" w14:textId="3AE572F3"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Khan, M. K., Teng, J. Z., Khan, M. I., &amp; Khan, M. O. (2019). Impact of globalization, economic factors and energy consumption on CO2 emissions in Pakistan. </w:t>
      </w:r>
      <w:r w:rsidRPr="004779B6">
        <w:rPr>
          <w:rFonts w:asciiTheme="majorHAnsi" w:hAnsiTheme="majorHAnsi" w:cstheme="majorHAnsi"/>
          <w:i/>
          <w:iCs/>
          <w:color w:val="222222"/>
          <w:sz w:val="20"/>
          <w:szCs w:val="20"/>
          <w:shd w:val="clear" w:color="auto" w:fill="FFFFFF"/>
        </w:rPr>
        <w:t>Science of the total environment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688</w:t>
      </w:r>
      <w:r w:rsidRPr="004779B6">
        <w:rPr>
          <w:rFonts w:asciiTheme="majorHAnsi" w:hAnsiTheme="majorHAnsi" w:cstheme="majorHAnsi"/>
          <w:color w:val="222222"/>
          <w:sz w:val="20"/>
          <w:szCs w:val="20"/>
          <w:shd w:val="clear" w:color="auto" w:fill="FFFFFF"/>
        </w:rPr>
        <w:t>, 424-436.</w:t>
      </w:r>
    </w:p>
    <w:p w14:paraId="6FB81D3F" w14:textId="2ABD157E"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Lau, C. K., </w:t>
      </w:r>
      <w:proofErr w:type="spellStart"/>
      <w:r w:rsidRPr="004779B6">
        <w:rPr>
          <w:rFonts w:asciiTheme="majorHAnsi" w:hAnsiTheme="majorHAnsi" w:cstheme="majorHAnsi"/>
          <w:color w:val="222222"/>
          <w:sz w:val="20"/>
          <w:szCs w:val="20"/>
          <w:shd w:val="clear" w:color="auto" w:fill="FFFFFF"/>
        </w:rPr>
        <w:t>Gozgor</w:t>
      </w:r>
      <w:proofErr w:type="spellEnd"/>
      <w:r w:rsidRPr="004779B6">
        <w:rPr>
          <w:rFonts w:asciiTheme="majorHAnsi" w:hAnsiTheme="majorHAnsi" w:cstheme="majorHAnsi"/>
          <w:color w:val="222222"/>
          <w:sz w:val="20"/>
          <w:szCs w:val="20"/>
          <w:shd w:val="clear" w:color="auto" w:fill="FFFFFF"/>
        </w:rPr>
        <w:t>, G., Mahalik, M. K., Patel, G., &amp; Li, J. (2023). Introducing a new measure of energy transition: green quality of energy mix and its impact on CO2 emissions. </w:t>
      </w:r>
      <w:r w:rsidRPr="004779B6">
        <w:rPr>
          <w:rFonts w:asciiTheme="majorHAnsi" w:hAnsiTheme="majorHAnsi" w:cstheme="majorHAnsi"/>
          <w:i/>
          <w:iCs/>
          <w:color w:val="222222"/>
          <w:sz w:val="20"/>
          <w:szCs w:val="20"/>
          <w:shd w:val="clear" w:color="auto" w:fill="FFFFFF"/>
        </w:rPr>
        <w:t>Energy Economics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122</w:t>
      </w:r>
      <w:r w:rsidRPr="004779B6">
        <w:rPr>
          <w:rFonts w:asciiTheme="majorHAnsi" w:hAnsiTheme="majorHAnsi" w:cstheme="majorHAnsi"/>
          <w:color w:val="222222"/>
          <w:sz w:val="20"/>
          <w:szCs w:val="20"/>
          <w:shd w:val="clear" w:color="auto" w:fill="FFFFFF"/>
        </w:rPr>
        <w:t>, 106702.</w:t>
      </w:r>
    </w:p>
    <w:p w14:paraId="353759D7" w14:textId="1BDA7815"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Raza, M. Y., &amp; Lin, B. (2022). Analysis of Pakistan's electricity generation and CO2 emissions: Based on decomposition and decoupling approach. </w:t>
      </w:r>
      <w:r w:rsidRPr="004779B6">
        <w:rPr>
          <w:rFonts w:asciiTheme="majorHAnsi" w:hAnsiTheme="majorHAnsi" w:cstheme="majorHAnsi"/>
          <w:i/>
          <w:iCs/>
          <w:color w:val="222222"/>
          <w:sz w:val="20"/>
          <w:szCs w:val="20"/>
          <w:shd w:val="clear" w:color="auto" w:fill="FFFFFF"/>
        </w:rPr>
        <w:t>Journal of Cleaner Production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359</w:t>
      </w:r>
      <w:r w:rsidRPr="004779B6">
        <w:rPr>
          <w:rFonts w:asciiTheme="majorHAnsi" w:hAnsiTheme="majorHAnsi" w:cstheme="majorHAnsi"/>
          <w:color w:val="222222"/>
          <w:sz w:val="20"/>
          <w:szCs w:val="20"/>
          <w:shd w:val="clear" w:color="auto" w:fill="FFFFFF"/>
        </w:rPr>
        <w:t>, 132074.</w:t>
      </w:r>
    </w:p>
    <w:p w14:paraId="16D12445" w14:textId="5CFECC48" w:rsidR="00E13DD1" w:rsidRPr="004779B6" w:rsidRDefault="00E13DD1"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Obobisa</w:t>
      </w:r>
      <w:proofErr w:type="spellEnd"/>
      <w:r w:rsidRPr="004779B6">
        <w:rPr>
          <w:rFonts w:asciiTheme="majorHAnsi" w:hAnsiTheme="majorHAnsi" w:cstheme="majorHAnsi"/>
          <w:color w:val="222222"/>
          <w:sz w:val="20"/>
          <w:szCs w:val="20"/>
          <w:shd w:val="clear" w:color="auto" w:fill="FFFFFF"/>
        </w:rPr>
        <w:t>, E. S., Chen, H., &amp; Mensah, I. A. (2022). The impact of green technological innovation and institutional quality on CO2 emissions in African countries.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180</w:t>
      </w:r>
      <w:r w:rsidRPr="004779B6">
        <w:rPr>
          <w:rFonts w:asciiTheme="majorHAnsi" w:hAnsiTheme="majorHAnsi" w:cstheme="majorHAnsi"/>
          <w:color w:val="222222"/>
          <w:sz w:val="20"/>
          <w:szCs w:val="20"/>
          <w:shd w:val="clear" w:color="auto" w:fill="FFFFFF"/>
        </w:rPr>
        <w:t>, 121670.</w:t>
      </w:r>
    </w:p>
    <w:p w14:paraId="5A388275" w14:textId="1C000C28" w:rsidR="00E13DD1" w:rsidRPr="004779B6" w:rsidRDefault="00E13DD1"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Lin, B., &amp; Ma, R. (2022). Green technology innovations, urban innovation environment and CO2 emission reduction in China: Fresh evidence from a partially linear functional-coefficient panel model.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176</w:t>
      </w:r>
      <w:r w:rsidRPr="004779B6">
        <w:rPr>
          <w:rFonts w:asciiTheme="majorHAnsi" w:hAnsiTheme="majorHAnsi" w:cstheme="majorHAnsi"/>
          <w:color w:val="222222"/>
          <w:sz w:val="20"/>
          <w:szCs w:val="20"/>
          <w:shd w:val="clear" w:color="auto" w:fill="FFFFFF"/>
        </w:rPr>
        <w:t>, 121434.</w:t>
      </w:r>
    </w:p>
    <w:p w14:paraId="20838365" w14:textId="64A50524" w:rsidR="006C69E8" w:rsidRPr="004779B6" w:rsidRDefault="006C69E8"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Jiang, Q., Rahman, Z. U., Zhang, X., &amp; Islam, M. S. (2022). An assessment of the effect of green innovation, income, and energy use on consumption-based CO2 emissions: Empirical evidence from emerging nations BRICS. </w:t>
      </w:r>
      <w:r w:rsidRPr="004779B6">
        <w:rPr>
          <w:rFonts w:asciiTheme="majorHAnsi" w:hAnsiTheme="majorHAnsi" w:cstheme="majorHAnsi"/>
          <w:i/>
          <w:iCs/>
          <w:color w:val="222222"/>
          <w:sz w:val="20"/>
          <w:szCs w:val="20"/>
          <w:shd w:val="clear" w:color="auto" w:fill="FFFFFF"/>
        </w:rPr>
        <w:t>Journal of Cleaner Production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365</w:t>
      </w:r>
      <w:r w:rsidRPr="004779B6">
        <w:rPr>
          <w:rFonts w:asciiTheme="majorHAnsi" w:hAnsiTheme="majorHAnsi" w:cstheme="majorHAnsi"/>
          <w:color w:val="222222"/>
          <w:sz w:val="20"/>
          <w:szCs w:val="20"/>
          <w:shd w:val="clear" w:color="auto" w:fill="FFFFFF"/>
        </w:rPr>
        <w:t>, 132636.</w:t>
      </w:r>
    </w:p>
    <w:p w14:paraId="3C3A9452" w14:textId="5C2E783F" w:rsidR="00E87747" w:rsidRPr="004779B6" w:rsidRDefault="00E87747"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Ben Lahouel, B., Taleb, L., Managi, S., &amp; Abaoub, N. (2023). Inclusive green growth in OECD countries: what are the impacts of stringent environmental and employment </w:t>
      </w:r>
      <w:proofErr w:type="gramStart"/>
      <w:r w:rsidRPr="004779B6">
        <w:rPr>
          <w:rFonts w:asciiTheme="majorHAnsi" w:hAnsiTheme="majorHAnsi" w:cstheme="majorHAnsi"/>
          <w:color w:val="222222"/>
          <w:sz w:val="20"/>
          <w:szCs w:val="20"/>
          <w:shd w:val="clear" w:color="auto" w:fill="FFFFFF"/>
        </w:rPr>
        <w:t>regulations?.</w:t>
      </w:r>
      <w:proofErr w:type="gram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Environmental Economics and Policy Studies</w:t>
      </w:r>
      <w:r w:rsidRPr="004779B6">
        <w:rPr>
          <w:rFonts w:asciiTheme="majorHAnsi" w:hAnsiTheme="majorHAnsi" w:cstheme="majorHAnsi"/>
          <w:color w:val="222222"/>
          <w:sz w:val="20"/>
          <w:szCs w:val="20"/>
          <w:shd w:val="clear" w:color="auto" w:fill="FFFFFF"/>
        </w:rPr>
        <w:t>, 1-29.</w:t>
      </w:r>
    </w:p>
    <w:p w14:paraId="395B6234" w14:textId="209E2498" w:rsidR="00E13DD1" w:rsidRPr="004779B6" w:rsidRDefault="00E13DD1"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Ramzan, M., Abbasi, K. R., Salman, A., Dagar, V., Alvarado, R., &amp; </w:t>
      </w:r>
      <w:proofErr w:type="spellStart"/>
      <w:r w:rsidRPr="004779B6">
        <w:rPr>
          <w:rFonts w:asciiTheme="majorHAnsi" w:hAnsiTheme="majorHAnsi" w:cstheme="majorHAnsi"/>
          <w:color w:val="222222"/>
          <w:sz w:val="20"/>
          <w:szCs w:val="20"/>
          <w:shd w:val="clear" w:color="auto" w:fill="FFFFFF"/>
        </w:rPr>
        <w:t>Kagzi</w:t>
      </w:r>
      <w:proofErr w:type="spellEnd"/>
      <w:r w:rsidRPr="004779B6">
        <w:rPr>
          <w:rFonts w:asciiTheme="majorHAnsi" w:hAnsiTheme="majorHAnsi" w:cstheme="majorHAnsi"/>
          <w:color w:val="222222"/>
          <w:sz w:val="20"/>
          <w:szCs w:val="20"/>
          <w:shd w:val="clear" w:color="auto" w:fill="FFFFFF"/>
        </w:rPr>
        <w:t>, M. (2023). Towards the dream of go green: An empirical importance of green innovation and financial depth for environmental neutrality in world's top 10 greenest economies.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189</w:t>
      </w:r>
      <w:r w:rsidRPr="004779B6">
        <w:rPr>
          <w:rFonts w:asciiTheme="majorHAnsi" w:hAnsiTheme="majorHAnsi" w:cstheme="majorHAnsi"/>
          <w:color w:val="222222"/>
          <w:sz w:val="20"/>
          <w:szCs w:val="20"/>
          <w:shd w:val="clear" w:color="auto" w:fill="FFFFFF"/>
        </w:rPr>
        <w:t>, 122370.</w:t>
      </w:r>
    </w:p>
    <w:p w14:paraId="1CE3F0AC" w14:textId="006B7259" w:rsidR="00645E61" w:rsidRPr="004779B6" w:rsidRDefault="00645E61" w:rsidP="004779B6">
      <w:pPr>
        <w:ind w:hanging="720"/>
        <w:jc w:val="both"/>
        <w:rPr>
          <w:rFonts w:asciiTheme="majorHAnsi" w:hAnsiTheme="majorHAnsi" w:cstheme="majorHAnsi"/>
        </w:rPr>
      </w:pPr>
      <w:r w:rsidRPr="004779B6">
        <w:rPr>
          <w:rFonts w:asciiTheme="majorHAnsi" w:hAnsiTheme="majorHAnsi" w:cstheme="majorHAnsi"/>
        </w:rPr>
        <w:t xml:space="preserve">United Nations Development </w:t>
      </w:r>
      <w:proofErr w:type="spellStart"/>
      <w:r w:rsidRPr="004779B6">
        <w:rPr>
          <w:rFonts w:asciiTheme="majorHAnsi" w:hAnsiTheme="majorHAnsi" w:cstheme="majorHAnsi"/>
        </w:rPr>
        <w:t>Programme</w:t>
      </w:r>
      <w:proofErr w:type="spellEnd"/>
      <w:r w:rsidRPr="004779B6">
        <w:rPr>
          <w:rFonts w:asciiTheme="majorHAnsi" w:hAnsiTheme="majorHAnsi" w:cstheme="majorHAnsi"/>
        </w:rPr>
        <w:t xml:space="preserve">. (2021, October 21). </w:t>
      </w:r>
      <w:r w:rsidRPr="004779B6">
        <w:rPr>
          <w:rStyle w:val="Emphasis"/>
          <w:rFonts w:asciiTheme="majorHAnsi" w:hAnsiTheme="majorHAnsi" w:cstheme="majorHAnsi"/>
        </w:rPr>
        <w:t>State of Climate Ambition</w:t>
      </w:r>
      <w:r w:rsidRPr="004779B6">
        <w:rPr>
          <w:rFonts w:asciiTheme="majorHAnsi" w:hAnsiTheme="majorHAnsi" w:cstheme="majorHAnsi"/>
        </w:rPr>
        <w:t xml:space="preserve"> [PDF]. Climate Promise. Retrieved June 12, 2025, from </w:t>
      </w:r>
      <w:hyperlink r:id="rId16" w:tgtFrame="_new" w:history="1">
        <w:r w:rsidRPr="004779B6">
          <w:rPr>
            <w:rStyle w:val="Hyperlink"/>
            <w:rFonts w:asciiTheme="majorHAnsi" w:hAnsiTheme="majorHAnsi" w:cstheme="majorHAnsi"/>
          </w:rPr>
          <w:t>https://climatepromise.undp.org/sites/default/files/research_report_document/State%20of%20Climate%20Ambition.pdf</w:t>
        </w:r>
      </w:hyperlink>
    </w:p>
    <w:p w14:paraId="61DF2537" w14:textId="6647C3A5" w:rsidR="00645E61" w:rsidRPr="004779B6" w:rsidRDefault="00645E61" w:rsidP="004779B6">
      <w:pPr>
        <w:ind w:hanging="720"/>
        <w:jc w:val="both"/>
        <w:rPr>
          <w:rFonts w:asciiTheme="majorHAnsi" w:hAnsiTheme="majorHAnsi" w:cstheme="majorHAnsi"/>
        </w:rPr>
      </w:pPr>
      <w:r w:rsidRPr="004779B6">
        <w:rPr>
          <w:rFonts w:asciiTheme="majorHAnsi" w:hAnsiTheme="majorHAnsi" w:cstheme="majorHAnsi"/>
        </w:rPr>
        <w:t xml:space="preserve">United Nations Development </w:t>
      </w:r>
      <w:proofErr w:type="spellStart"/>
      <w:r w:rsidRPr="004779B6">
        <w:rPr>
          <w:rFonts w:asciiTheme="majorHAnsi" w:hAnsiTheme="majorHAnsi" w:cstheme="majorHAnsi"/>
        </w:rPr>
        <w:t>Programme</w:t>
      </w:r>
      <w:proofErr w:type="spellEnd"/>
      <w:r w:rsidRPr="004779B6">
        <w:rPr>
          <w:rFonts w:asciiTheme="majorHAnsi" w:hAnsiTheme="majorHAnsi" w:cstheme="majorHAnsi"/>
        </w:rPr>
        <w:t xml:space="preserve">. (2021). </w:t>
      </w:r>
      <w:r w:rsidRPr="004779B6">
        <w:rPr>
          <w:rStyle w:val="Emphasis"/>
          <w:rFonts w:asciiTheme="majorHAnsi" w:hAnsiTheme="majorHAnsi" w:cstheme="majorHAnsi"/>
        </w:rPr>
        <w:t>State of Climate Ambition</w:t>
      </w:r>
      <w:r w:rsidRPr="004779B6">
        <w:rPr>
          <w:rFonts w:asciiTheme="majorHAnsi" w:hAnsiTheme="majorHAnsi" w:cstheme="majorHAnsi"/>
        </w:rPr>
        <w:t xml:space="preserve">. Climate Promise. Retrieved June 12, 2025, from </w:t>
      </w:r>
      <w:hyperlink r:id="rId17" w:tgtFrame="_new" w:history="1">
        <w:r w:rsidRPr="004779B6">
          <w:rPr>
            <w:rStyle w:val="Hyperlink"/>
            <w:rFonts w:asciiTheme="majorHAnsi" w:hAnsiTheme="majorHAnsi" w:cstheme="majorHAnsi"/>
          </w:rPr>
          <w:t>https://climatepromise.undp.org/state-of-climate-ambition</w:t>
        </w:r>
      </w:hyperlink>
    </w:p>
    <w:p w14:paraId="42C7FDC9" w14:textId="23BA7ACD" w:rsidR="00A81AD6" w:rsidRPr="004779B6" w:rsidRDefault="00A81AD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Khan, A., Chenggang, Y., Khan, G., &amp; Muhammad, F. (2020). The dilemma of natural disasters: Impact on economy, fiscal position, and foreign direct investment alongside Belt and Road Initiative countries. </w:t>
      </w:r>
      <w:r w:rsidRPr="004779B6">
        <w:rPr>
          <w:rFonts w:asciiTheme="majorHAnsi" w:hAnsiTheme="majorHAnsi" w:cstheme="majorHAnsi"/>
          <w:i/>
          <w:iCs/>
          <w:color w:val="222222"/>
          <w:sz w:val="20"/>
          <w:szCs w:val="20"/>
          <w:shd w:val="clear" w:color="auto" w:fill="FFFFFF"/>
        </w:rPr>
        <w:t>Science of the Total Environment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743</w:t>
      </w:r>
      <w:r w:rsidRPr="004779B6">
        <w:rPr>
          <w:rFonts w:asciiTheme="majorHAnsi" w:hAnsiTheme="majorHAnsi" w:cstheme="majorHAnsi"/>
          <w:color w:val="222222"/>
          <w:sz w:val="20"/>
          <w:szCs w:val="20"/>
          <w:shd w:val="clear" w:color="auto" w:fill="FFFFFF"/>
        </w:rPr>
        <w:t>, 140578.</w:t>
      </w:r>
    </w:p>
    <w:p w14:paraId="0563754F" w14:textId="22C6B047" w:rsidR="00CB5317" w:rsidRPr="004779B6" w:rsidRDefault="00CB5317" w:rsidP="004779B6">
      <w:pPr>
        <w:ind w:hanging="720"/>
        <w:jc w:val="both"/>
        <w:rPr>
          <w:rFonts w:asciiTheme="majorHAnsi" w:hAnsiTheme="majorHAnsi" w:cstheme="majorHAnsi"/>
        </w:rPr>
      </w:pPr>
      <w:r w:rsidRPr="004779B6">
        <w:rPr>
          <w:rFonts w:asciiTheme="majorHAnsi" w:hAnsiTheme="majorHAnsi" w:cstheme="majorHAnsi"/>
        </w:rPr>
        <w:t xml:space="preserve">United Nations Development </w:t>
      </w:r>
      <w:proofErr w:type="spellStart"/>
      <w:r w:rsidRPr="004779B6">
        <w:rPr>
          <w:rFonts w:asciiTheme="majorHAnsi" w:hAnsiTheme="majorHAnsi" w:cstheme="majorHAnsi"/>
        </w:rPr>
        <w:t>Programme</w:t>
      </w:r>
      <w:proofErr w:type="spellEnd"/>
      <w:r w:rsidRPr="004779B6">
        <w:rPr>
          <w:rFonts w:asciiTheme="majorHAnsi" w:hAnsiTheme="majorHAnsi" w:cstheme="majorHAnsi"/>
        </w:rPr>
        <w:t xml:space="preserve">. (n.d.). </w:t>
      </w:r>
      <w:r w:rsidRPr="004779B6">
        <w:rPr>
          <w:rStyle w:val="Emphasis"/>
          <w:rFonts w:asciiTheme="majorHAnsi" w:hAnsiTheme="majorHAnsi" w:cstheme="majorHAnsi"/>
        </w:rPr>
        <w:t xml:space="preserve">Home | United Nations Development </w:t>
      </w:r>
      <w:proofErr w:type="spellStart"/>
      <w:r w:rsidRPr="004779B6">
        <w:rPr>
          <w:rStyle w:val="Emphasis"/>
          <w:rFonts w:asciiTheme="majorHAnsi" w:hAnsiTheme="majorHAnsi" w:cstheme="majorHAnsi"/>
        </w:rPr>
        <w:t>Programme</w:t>
      </w:r>
      <w:proofErr w:type="spellEnd"/>
      <w:r w:rsidRPr="004779B6">
        <w:rPr>
          <w:rFonts w:asciiTheme="majorHAnsi" w:hAnsiTheme="majorHAnsi" w:cstheme="majorHAnsi"/>
        </w:rPr>
        <w:t xml:space="preserve">. Retrieved June 12, 2025, from </w:t>
      </w:r>
      <w:hyperlink r:id="rId18" w:tgtFrame="_new" w:history="1">
        <w:r w:rsidRPr="004779B6">
          <w:rPr>
            <w:rStyle w:val="Hyperlink"/>
            <w:rFonts w:asciiTheme="majorHAnsi" w:hAnsiTheme="majorHAnsi" w:cstheme="majorHAnsi"/>
          </w:rPr>
          <w:t>https://www.undp.org/</w:t>
        </w:r>
      </w:hyperlink>
    </w:p>
    <w:p w14:paraId="0C4F16F6" w14:textId="6066193E" w:rsidR="00CE2F9F" w:rsidRPr="004779B6" w:rsidRDefault="00CE2F9F" w:rsidP="004779B6">
      <w:pPr>
        <w:ind w:hanging="720"/>
        <w:jc w:val="both"/>
        <w:rPr>
          <w:rFonts w:asciiTheme="majorHAnsi" w:hAnsiTheme="majorHAnsi" w:cstheme="majorHAnsi"/>
        </w:rPr>
      </w:pPr>
      <w:proofErr w:type="spellStart"/>
      <w:r w:rsidRPr="004779B6">
        <w:rPr>
          <w:rFonts w:asciiTheme="majorHAnsi" w:hAnsiTheme="majorHAnsi" w:cstheme="majorHAnsi"/>
        </w:rPr>
        <w:t>Organisation</w:t>
      </w:r>
      <w:proofErr w:type="spellEnd"/>
      <w:r w:rsidRPr="004779B6">
        <w:rPr>
          <w:rFonts w:asciiTheme="majorHAnsi" w:hAnsiTheme="majorHAnsi" w:cstheme="majorHAnsi"/>
        </w:rPr>
        <w:t xml:space="preserve"> for Economic Co</w:t>
      </w:r>
      <w:r w:rsidRPr="004779B6">
        <w:rPr>
          <w:rFonts w:asciiTheme="majorHAnsi" w:hAnsiTheme="majorHAnsi" w:cstheme="majorHAnsi"/>
        </w:rPr>
        <w:noBreakHyphen/>
        <w:t xml:space="preserve">operation and Development. (2025). </w:t>
      </w:r>
      <w:r w:rsidRPr="004779B6">
        <w:rPr>
          <w:rStyle w:val="Emphasis"/>
          <w:rFonts w:asciiTheme="majorHAnsi" w:hAnsiTheme="majorHAnsi" w:cstheme="majorHAnsi"/>
        </w:rPr>
        <w:t xml:space="preserve">Home | </w:t>
      </w:r>
      <w:proofErr w:type="spellStart"/>
      <w:r w:rsidRPr="004779B6">
        <w:rPr>
          <w:rStyle w:val="Emphasis"/>
          <w:rFonts w:asciiTheme="majorHAnsi" w:hAnsiTheme="majorHAnsi" w:cstheme="majorHAnsi"/>
        </w:rPr>
        <w:t>Organisation</w:t>
      </w:r>
      <w:proofErr w:type="spellEnd"/>
      <w:r w:rsidRPr="004779B6">
        <w:rPr>
          <w:rStyle w:val="Emphasis"/>
          <w:rFonts w:asciiTheme="majorHAnsi" w:hAnsiTheme="majorHAnsi" w:cstheme="majorHAnsi"/>
        </w:rPr>
        <w:t xml:space="preserve"> for Economic Co</w:t>
      </w:r>
      <w:r w:rsidRPr="004779B6">
        <w:rPr>
          <w:rStyle w:val="Emphasis"/>
          <w:rFonts w:asciiTheme="majorHAnsi" w:hAnsiTheme="majorHAnsi" w:cstheme="majorHAnsi"/>
        </w:rPr>
        <w:noBreakHyphen/>
        <w:t>operation and Development</w:t>
      </w:r>
      <w:r w:rsidRPr="004779B6">
        <w:rPr>
          <w:rFonts w:asciiTheme="majorHAnsi" w:hAnsiTheme="majorHAnsi" w:cstheme="majorHAnsi"/>
        </w:rPr>
        <w:t xml:space="preserve">. Retrieved June 12, 2025, from </w:t>
      </w:r>
      <w:hyperlink r:id="rId19" w:tgtFrame="_new" w:history="1">
        <w:r w:rsidRPr="004779B6">
          <w:rPr>
            <w:rStyle w:val="Hyperlink"/>
            <w:rFonts w:asciiTheme="majorHAnsi" w:hAnsiTheme="majorHAnsi" w:cstheme="majorHAnsi"/>
          </w:rPr>
          <w:t>https://www.oecd.org/</w:t>
        </w:r>
      </w:hyperlink>
    </w:p>
    <w:p w14:paraId="3D1664C4" w14:textId="531DC53A" w:rsidR="00BC35ED" w:rsidRPr="004779B6" w:rsidRDefault="00BC35ED"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Lin, B., &amp; Ma, R. (2022). Green technology innovations, urban innovation environment and CO2 emission reduction in China: Fresh evidence from a partially linear functional-coefficient panel model.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176</w:t>
      </w:r>
      <w:r w:rsidRPr="004779B6">
        <w:rPr>
          <w:rFonts w:asciiTheme="majorHAnsi" w:hAnsiTheme="majorHAnsi" w:cstheme="majorHAnsi"/>
          <w:color w:val="222222"/>
          <w:sz w:val="20"/>
          <w:szCs w:val="20"/>
          <w:shd w:val="clear" w:color="auto" w:fill="FFFFFF"/>
        </w:rPr>
        <w:t>, 121434.</w:t>
      </w:r>
    </w:p>
    <w:p w14:paraId="5E9C01BA" w14:textId="1F067AD2" w:rsidR="00BC35ED" w:rsidRPr="004779B6" w:rsidRDefault="00BC35ED"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Du, K., Li, P., &amp; Yan, Z. (2019). Do green technology innovations contribute to carbon dioxide emission reduction? Empirical evidence from patent data.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146</w:t>
      </w:r>
      <w:r w:rsidRPr="004779B6">
        <w:rPr>
          <w:rFonts w:asciiTheme="majorHAnsi" w:hAnsiTheme="majorHAnsi" w:cstheme="majorHAnsi"/>
          <w:color w:val="222222"/>
          <w:sz w:val="20"/>
          <w:szCs w:val="20"/>
          <w:shd w:val="clear" w:color="auto" w:fill="FFFFFF"/>
        </w:rPr>
        <w:t>, 297-303.</w:t>
      </w:r>
    </w:p>
    <w:p w14:paraId="1776443E" w14:textId="362ABBB1" w:rsidR="00AD5CB0" w:rsidRPr="004779B6" w:rsidRDefault="00AD5C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Irawan, T. (2014). ICT and economic development: comparing ASEAN member states. </w:t>
      </w:r>
      <w:r w:rsidRPr="004779B6">
        <w:rPr>
          <w:rFonts w:asciiTheme="majorHAnsi" w:hAnsiTheme="majorHAnsi" w:cstheme="majorHAnsi"/>
          <w:i/>
          <w:iCs/>
          <w:color w:val="222222"/>
          <w:sz w:val="20"/>
          <w:szCs w:val="20"/>
          <w:shd w:val="clear" w:color="auto" w:fill="FFFFFF"/>
        </w:rPr>
        <w:t>International Economics and Economic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11</w:t>
      </w:r>
      <w:r w:rsidRPr="004779B6">
        <w:rPr>
          <w:rFonts w:asciiTheme="majorHAnsi" w:hAnsiTheme="majorHAnsi" w:cstheme="majorHAnsi"/>
          <w:color w:val="222222"/>
          <w:sz w:val="20"/>
          <w:szCs w:val="20"/>
          <w:shd w:val="clear" w:color="auto" w:fill="FFFFFF"/>
        </w:rPr>
        <w:t>, 97-114.</w:t>
      </w:r>
    </w:p>
    <w:p w14:paraId="0AD71187" w14:textId="1134220A" w:rsidR="008F72B0" w:rsidRPr="004779B6" w:rsidRDefault="008F72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Usman, A., Ozturk, I., Hassan, A., Zafar, S. M., &amp; Ullah, S. (2021). The effect of ICT on energy consumption and economic growth in South Asian economies: an empirical analysis. </w:t>
      </w:r>
      <w:r w:rsidRPr="004779B6">
        <w:rPr>
          <w:rFonts w:asciiTheme="majorHAnsi" w:hAnsiTheme="majorHAnsi" w:cstheme="majorHAnsi"/>
          <w:i/>
          <w:iCs/>
          <w:color w:val="222222"/>
          <w:sz w:val="20"/>
          <w:szCs w:val="20"/>
          <w:shd w:val="clear" w:color="auto" w:fill="FFFFFF"/>
        </w:rPr>
        <w:t>Telematics and Informatics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58</w:t>
      </w:r>
      <w:r w:rsidRPr="004779B6">
        <w:rPr>
          <w:rFonts w:asciiTheme="majorHAnsi" w:hAnsiTheme="majorHAnsi" w:cstheme="majorHAnsi"/>
          <w:color w:val="222222"/>
          <w:sz w:val="20"/>
          <w:szCs w:val="20"/>
          <w:shd w:val="clear" w:color="auto" w:fill="FFFFFF"/>
        </w:rPr>
        <w:t>, 101537.</w:t>
      </w:r>
    </w:p>
    <w:p w14:paraId="073977BB" w14:textId="5E6795CD" w:rsidR="008F72B0" w:rsidRPr="004779B6" w:rsidRDefault="008F72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Naseem, S., Hu, X., Shi, J., Mohsin, M., &amp; Jamil, K. (2023). Exploring the optical impact of information communication technology and economic growth on CO2 emission in BRICS countries. </w:t>
      </w:r>
      <w:r w:rsidRPr="004779B6">
        <w:rPr>
          <w:rFonts w:asciiTheme="majorHAnsi" w:hAnsiTheme="majorHAnsi" w:cstheme="majorHAnsi"/>
          <w:i/>
          <w:iCs/>
          <w:color w:val="222222"/>
          <w:sz w:val="20"/>
          <w:szCs w:val="20"/>
          <w:shd w:val="clear" w:color="auto" w:fill="FFFFFF"/>
        </w:rPr>
        <w:t>Optik</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273</w:t>
      </w:r>
      <w:r w:rsidRPr="004779B6">
        <w:rPr>
          <w:rFonts w:asciiTheme="majorHAnsi" w:hAnsiTheme="majorHAnsi" w:cstheme="majorHAnsi"/>
          <w:color w:val="222222"/>
          <w:sz w:val="20"/>
          <w:szCs w:val="20"/>
          <w:shd w:val="clear" w:color="auto" w:fill="FFFFFF"/>
        </w:rPr>
        <w:t>, 170339.</w:t>
      </w:r>
    </w:p>
    <w:p w14:paraId="3E1F328A" w14:textId="3F48B22C" w:rsidR="008F72B0" w:rsidRPr="004779B6" w:rsidRDefault="008F72B0"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Li, X., Zhang, C., &amp; Zhu, H. (2023). Effect of information and communication technology on CO2 emissions: an analysis based on country heterogeneity perspective. </w:t>
      </w:r>
      <w:r w:rsidRPr="004779B6">
        <w:rPr>
          <w:rFonts w:asciiTheme="majorHAnsi" w:hAnsiTheme="majorHAnsi" w:cstheme="majorHAnsi"/>
          <w:i/>
          <w:iCs/>
          <w:color w:val="222222"/>
          <w:sz w:val="20"/>
          <w:szCs w:val="20"/>
          <w:shd w:val="clear" w:color="auto" w:fill="FFFFFF"/>
        </w:rPr>
        <w:t>Technological Forecasting and Social Change</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192</w:t>
      </w:r>
      <w:r w:rsidRPr="004779B6">
        <w:rPr>
          <w:rFonts w:asciiTheme="majorHAnsi" w:hAnsiTheme="majorHAnsi" w:cstheme="majorHAnsi"/>
          <w:color w:val="222222"/>
          <w:sz w:val="20"/>
          <w:szCs w:val="20"/>
          <w:shd w:val="clear" w:color="auto" w:fill="FFFFFF"/>
        </w:rPr>
        <w:t>, 122599.</w:t>
      </w:r>
    </w:p>
    <w:p w14:paraId="08147BE6" w14:textId="64AD50B4" w:rsidR="008F72B0" w:rsidRPr="004779B6" w:rsidRDefault="008F72B0" w:rsidP="004779B6">
      <w:pPr>
        <w:ind w:hanging="720"/>
        <w:jc w:val="both"/>
        <w:rPr>
          <w:rFonts w:asciiTheme="majorHAnsi" w:hAnsiTheme="majorHAnsi" w:cstheme="majorHAnsi"/>
          <w:color w:val="222222"/>
          <w:sz w:val="20"/>
          <w:szCs w:val="20"/>
          <w:shd w:val="clear" w:color="auto" w:fill="FFFFFF"/>
        </w:rPr>
      </w:pPr>
      <w:proofErr w:type="spellStart"/>
      <w:r w:rsidRPr="004779B6">
        <w:rPr>
          <w:rFonts w:asciiTheme="majorHAnsi" w:hAnsiTheme="majorHAnsi" w:cstheme="majorHAnsi"/>
          <w:color w:val="222222"/>
          <w:sz w:val="20"/>
          <w:szCs w:val="20"/>
          <w:shd w:val="clear" w:color="auto" w:fill="FFFFFF"/>
        </w:rPr>
        <w:t>Weina</w:t>
      </w:r>
      <w:proofErr w:type="spellEnd"/>
      <w:r w:rsidRPr="004779B6">
        <w:rPr>
          <w:rFonts w:asciiTheme="majorHAnsi" w:hAnsiTheme="majorHAnsi" w:cstheme="majorHAnsi"/>
          <w:color w:val="222222"/>
          <w:sz w:val="20"/>
          <w:szCs w:val="20"/>
          <w:shd w:val="clear" w:color="auto" w:fill="FFFFFF"/>
        </w:rPr>
        <w:t>, D., Gilli, M., Mazzanti, M., &amp; Nicolli, F. (2016). Green inventions and greenhouse gas emission dynamics: a close examination of provincial Italian data. </w:t>
      </w:r>
      <w:r w:rsidRPr="004779B6">
        <w:rPr>
          <w:rFonts w:asciiTheme="majorHAnsi" w:hAnsiTheme="majorHAnsi" w:cstheme="majorHAnsi"/>
          <w:i/>
          <w:iCs/>
          <w:color w:val="222222"/>
          <w:sz w:val="20"/>
          <w:szCs w:val="20"/>
          <w:shd w:val="clear" w:color="auto" w:fill="FFFFFF"/>
        </w:rPr>
        <w:t>Environmental Economics and Policy Studies</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18</w:t>
      </w:r>
      <w:r w:rsidRPr="004779B6">
        <w:rPr>
          <w:rFonts w:asciiTheme="majorHAnsi" w:hAnsiTheme="majorHAnsi" w:cstheme="majorHAnsi"/>
          <w:color w:val="222222"/>
          <w:sz w:val="20"/>
          <w:szCs w:val="20"/>
          <w:shd w:val="clear" w:color="auto" w:fill="FFFFFF"/>
        </w:rPr>
        <w:t>, 247-263.</w:t>
      </w:r>
    </w:p>
    <w:p w14:paraId="1D111B03" w14:textId="2625C2E0" w:rsidR="00BC35ED" w:rsidRPr="004779B6" w:rsidRDefault="00BC35ED" w:rsidP="004779B6">
      <w:pPr>
        <w:ind w:hanging="720"/>
        <w:jc w:val="both"/>
        <w:rPr>
          <w:rFonts w:asciiTheme="majorHAnsi" w:hAnsiTheme="majorHAnsi" w:cstheme="majorHAnsi"/>
        </w:rPr>
      </w:pPr>
      <w:proofErr w:type="spellStart"/>
      <w:r w:rsidRPr="004779B6">
        <w:rPr>
          <w:rFonts w:asciiTheme="majorHAnsi" w:hAnsiTheme="majorHAnsi" w:cstheme="majorHAnsi"/>
          <w:color w:val="222222"/>
          <w:sz w:val="20"/>
          <w:szCs w:val="20"/>
          <w:shd w:val="clear" w:color="auto" w:fill="FFFFFF"/>
        </w:rPr>
        <w:t>Shobande</w:t>
      </w:r>
      <w:proofErr w:type="spellEnd"/>
      <w:r w:rsidRPr="004779B6">
        <w:rPr>
          <w:rFonts w:asciiTheme="majorHAnsi" w:hAnsiTheme="majorHAnsi" w:cstheme="majorHAnsi"/>
          <w:color w:val="222222"/>
          <w:sz w:val="20"/>
          <w:szCs w:val="20"/>
          <w:shd w:val="clear" w:color="auto" w:fill="FFFFFF"/>
        </w:rPr>
        <w:t xml:space="preserve">, O. A., </w:t>
      </w:r>
      <w:proofErr w:type="spellStart"/>
      <w:r w:rsidRPr="004779B6">
        <w:rPr>
          <w:rFonts w:asciiTheme="majorHAnsi" w:hAnsiTheme="majorHAnsi" w:cstheme="majorHAnsi"/>
          <w:color w:val="222222"/>
          <w:sz w:val="20"/>
          <w:szCs w:val="20"/>
          <w:shd w:val="clear" w:color="auto" w:fill="FFFFFF"/>
        </w:rPr>
        <w:t>Ogbeifun</w:t>
      </w:r>
      <w:proofErr w:type="spellEnd"/>
      <w:r w:rsidRPr="004779B6">
        <w:rPr>
          <w:rFonts w:asciiTheme="majorHAnsi" w:hAnsiTheme="majorHAnsi" w:cstheme="majorHAnsi"/>
          <w:color w:val="222222"/>
          <w:sz w:val="20"/>
          <w:szCs w:val="20"/>
          <w:shd w:val="clear" w:color="auto" w:fill="FFFFFF"/>
        </w:rPr>
        <w:t xml:space="preserve">, L., &amp; Tiwari, A. K. (2023). Re-evaluating the impacts of green innovations and renewable energy on carbon neutrality: does social inclusiveness really </w:t>
      </w:r>
      <w:proofErr w:type="gramStart"/>
      <w:r w:rsidRPr="004779B6">
        <w:rPr>
          <w:rFonts w:asciiTheme="majorHAnsi" w:hAnsiTheme="majorHAnsi" w:cstheme="majorHAnsi"/>
          <w:color w:val="222222"/>
          <w:sz w:val="20"/>
          <w:szCs w:val="20"/>
          <w:shd w:val="clear" w:color="auto" w:fill="FFFFFF"/>
        </w:rPr>
        <w:t>matters?.</w:t>
      </w:r>
      <w:proofErr w:type="gramEnd"/>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Journal of Environmental Management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336</w:t>
      </w:r>
      <w:r w:rsidRPr="004779B6">
        <w:rPr>
          <w:rFonts w:asciiTheme="majorHAnsi" w:hAnsiTheme="majorHAnsi" w:cstheme="majorHAnsi"/>
          <w:color w:val="222222"/>
          <w:sz w:val="20"/>
          <w:szCs w:val="20"/>
          <w:shd w:val="clear" w:color="auto" w:fill="FFFFFF"/>
        </w:rPr>
        <w:t>, 117670.</w:t>
      </w:r>
    </w:p>
    <w:p w14:paraId="79C31C20" w14:textId="5E57486F" w:rsidR="00BC35ED" w:rsidRPr="004779B6" w:rsidRDefault="00BC35ED" w:rsidP="004779B6">
      <w:pPr>
        <w:ind w:hanging="720"/>
        <w:jc w:val="both"/>
        <w:rPr>
          <w:rFonts w:asciiTheme="majorHAnsi" w:hAnsiTheme="majorHAnsi" w:cstheme="majorHAnsi"/>
        </w:rPr>
      </w:pPr>
      <w:r w:rsidRPr="004779B6">
        <w:rPr>
          <w:rFonts w:asciiTheme="majorHAnsi" w:hAnsiTheme="majorHAnsi" w:cstheme="majorHAnsi"/>
          <w:color w:val="222222"/>
          <w:sz w:val="20"/>
          <w:szCs w:val="20"/>
          <w:shd w:val="clear" w:color="auto" w:fill="FFFFFF"/>
        </w:rPr>
        <w:t>Yang, M., &amp; Chen, X. (2022). Green technology investment strategies under cap-and-trade policy. </w:t>
      </w:r>
      <w:r w:rsidRPr="004779B6">
        <w:rPr>
          <w:rFonts w:asciiTheme="majorHAnsi" w:hAnsiTheme="majorHAnsi" w:cstheme="majorHAnsi"/>
          <w:i/>
          <w:iCs/>
          <w:color w:val="222222"/>
          <w:sz w:val="20"/>
          <w:szCs w:val="20"/>
          <w:shd w:val="clear" w:color="auto" w:fill="FFFFFF"/>
        </w:rPr>
        <w:t>IEEE Transactions on Engineering Management</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71</w:t>
      </w:r>
      <w:r w:rsidRPr="004779B6">
        <w:rPr>
          <w:rFonts w:asciiTheme="majorHAnsi" w:hAnsiTheme="majorHAnsi" w:cstheme="majorHAnsi"/>
          <w:color w:val="222222"/>
          <w:sz w:val="20"/>
          <w:szCs w:val="20"/>
          <w:shd w:val="clear" w:color="auto" w:fill="FFFFFF"/>
        </w:rPr>
        <w:t>, 3867-3880.</w:t>
      </w:r>
    </w:p>
    <w:p w14:paraId="3192D0C8" w14:textId="0334CE84" w:rsidR="00BC35ED" w:rsidRPr="004779B6" w:rsidRDefault="00BC35ED" w:rsidP="004779B6">
      <w:pPr>
        <w:ind w:hanging="720"/>
        <w:jc w:val="both"/>
        <w:rPr>
          <w:rFonts w:asciiTheme="majorHAnsi" w:hAnsiTheme="majorHAnsi" w:cstheme="majorHAnsi"/>
        </w:rPr>
      </w:pPr>
      <w:r w:rsidRPr="004779B6">
        <w:rPr>
          <w:rFonts w:asciiTheme="majorHAnsi" w:hAnsiTheme="majorHAnsi" w:cstheme="majorHAnsi"/>
        </w:rPr>
        <w:t xml:space="preserve">Santoshi, G. (2025, May 16). </w:t>
      </w:r>
      <w:r w:rsidRPr="004779B6">
        <w:rPr>
          <w:rStyle w:val="Emphasis"/>
          <w:rFonts w:asciiTheme="majorHAnsi" w:hAnsiTheme="majorHAnsi" w:cstheme="majorHAnsi"/>
        </w:rPr>
        <w:t>Kenya 2025 &amp; beyond: Strategic investment and emerging business frontiers</w:t>
      </w:r>
      <w:r w:rsidRPr="004779B6">
        <w:rPr>
          <w:rFonts w:asciiTheme="majorHAnsi" w:hAnsiTheme="majorHAnsi" w:cstheme="majorHAnsi"/>
        </w:rPr>
        <w:t xml:space="preserve">. LinkedIn. Retrieved June 12, 2025, from </w:t>
      </w:r>
      <w:hyperlink r:id="rId20" w:tgtFrame="_new" w:history="1">
        <w:r w:rsidRPr="004779B6">
          <w:rPr>
            <w:rStyle w:val="Hyperlink"/>
            <w:rFonts w:asciiTheme="majorHAnsi" w:hAnsiTheme="majorHAnsi" w:cstheme="majorHAnsi"/>
          </w:rPr>
          <w:t>https://www.linkedin.com/pulse/kenya-2025-beyond-strategic-investment-emerging-business-santosh-g-koiqc/</w:t>
        </w:r>
      </w:hyperlink>
    </w:p>
    <w:p w14:paraId="0B828C8F" w14:textId="2378B905" w:rsidR="00167F07" w:rsidRPr="004779B6" w:rsidRDefault="00167F07" w:rsidP="004779B6">
      <w:pPr>
        <w:ind w:hanging="720"/>
        <w:jc w:val="both"/>
        <w:rPr>
          <w:rFonts w:asciiTheme="majorHAnsi" w:hAnsiTheme="majorHAnsi" w:cstheme="majorHAnsi"/>
        </w:rPr>
      </w:pPr>
      <w:r w:rsidRPr="004779B6">
        <w:rPr>
          <w:rStyle w:val="Strong"/>
          <w:rFonts w:asciiTheme="majorHAnsi" w:hAnsiTheme="majorHAnsi" w:cstheme="majorHAnsi"/>
          <w:b w:val="0"/>
          <w:bCs w:val="0"/>
        </w:rPr>
        <w:lastRenderedPageBreak/>
        <w:t>Thomasson, E.</w:t>
      </w:r>
      <w:r w:rsidRPr="004779B6">
        <w:rPr>
          <w:rFonts w:asciiTheme="majorHAnsi" w:hAnsiTheme="majorHAnsi" w:cstheme="majorHAnsi"/>
        </w:rPr>
        <w:t xml:space="preserve"> (2025, April 9). </w:t>
      </w:r>
      <w:r w:rsidRPr="004779B6">
        <w:rPr>
          <w:rStyle w:val="Emphasis"/>
          <w:rFonts w:asciiTheme="majorHAnsi" w:hAnsiTheme="majorHAnsi" w:cstheme="majorHAnsi"/>
        </w:rPr>
        <w:t>Kenya launches green finance tools to promote sustainable economy</w:t>
      </w:r>
      <w:r w:rsidRPr="004779B6">
        <w:rPr>
          <w:rFonts w:asciiTheme="majorHAnsi" w:hAnsiTheme="majorHAnsi" w:cstheme="majorHAnsi"/>
        </w:rPr>
        <w:t xml:space="preserve">. </w:t>
      </w:r>
      <w:r w:rsidRPr="004779B6">
        <w:rPr>
          <w:rStyle w:val="Emphasis"/>
          <w:rFonts w:asciiTheme="majorHAnsi" w:hAnsiTheme="majorHAnsi" w:cstheme="majorHAnsi"/>
        </w:rPr>
        <w:t>Green Central Banking</w:t>
      </w:r>
      <w:r w:rsidRPr="004779B6">
        <w:rPr>
          <w:rFonts w:asciiTheme="majorHAnsi" w:hAnsiTheme="majorHAnsi" w:cstheme="majorHAnsi"/>
        </w:rPr>
        <w:t xml:space="preserve">. Retrieved June 12, 2025, from </w:t>
      </w:r>
      <w:hyperlink r:id="rId21" w:tgtFrame="_new" w:history="1">
        <w:r w:rsidRPr="004779B6">
          <w:rPr>
            <w:rStyle w:val="Hyperlink"/>
            <w:rFonts w:asciiTheme="majorHAnsi" w:hAnsiTheme="majorHAnsi" w:cstheme="majorHAnsi"/>
          </w:rPr>
          <w:t>https://greencentralbanking.com/2025/04/09/kenya-launches-green-finance-tools-to-promote-sustainable-economy/</w:t>
        </w:r>
      </w:hyperlink>
    </w:p>
    <w:p w14:paraId="77DE9868" w14:textId="01231872" w:rsidR="00167F07" w:rsidRPr="004779B6" w:rsidRDefault="00167F07" w:rsidP="004779B6">
      <w:pPr>
        <w:ind w:hanging="720"/>
        <w:jc w:val="both"/>
        <w:rPr>
          <w:rFonts w:asciiTheme="majorHAnsi" w:hAnsiTheme="majorHAnsi" w:cstheme="majorHAnsi"/>
        </w:rPr>
      </w:pPr>
      <w:r w:rsidRPr="004779B6">
        <w:rPr>
          <w:rFonts w:asciiTheme="majorHAnsi" w:hAnsiTheme="majorHAnsi" w:cstheme="majorHAnsi"/>
        </w:rPr>
        <w:t xml:space="preserve">Africa Enterprise Challenge Fund. (2025, April). </w:t>
      </w:r>
      <w:r w:rsidRPr="004779B6">
        <w:rPr>
          <w:rStyle w:val="Emphasis"/>
          <w:rFonts w:asciiTheme="majorHAnsi" w:hAnsiTheme="majorHAnsi" w:cstheme="majorHAnsi"/>
        </w:rPr>
        <w:t>Energy for Green Growth and Sustainability in Kenya: Milestone</w:t>
      </w:r>
      <w:r w:rsidRPr="004779B6">
        <w:rPr>
          <w:rStyle w:val="Emphasis"/>
          <w:rFonts w:asciiTheme="majorHAnsi" w:hAnsiTheme="majorHAnsi" w:cstheme="majorHAnsi"/>
        </w:rPr>
        <w:noBreakHyphen/>
        <w:t>Based Grants Term Sheet</w:t>
      </w:r>
      <w:r w:rsidRPr="004779B6">
        <w:rPr>
          <w:rFonts w:asciiTheme="majorHAnsi" w:hAnsiTheme="majorHAnsi" w:cstheme="majorHAnsi"/>
        </w:rPr>
        <w:t xml:space="preserve"> [PDF]. AECF. Retrieved June 12, 2025, from </w:t>
      </w:r>
      <w:hyperlink r:id="rId22" w:tgtFrame="_new" w:history="1">
        <w:r w:rsidRPr="004779B6">
          <w:rPr>
            <w:rStyle w:val="Hyperlink"/>
            <w:rFonts w:asciiTheme="majorHAnsi" w:hAnsiTheme="majorHAnsi" w:cstheme="majorHAnsi"/>
          </w:rPr>
          <w:t>https://www.aecfafrica.org/wp-content/uploads/2025/04/REACT-Kenya-MBG-Termsheeet.pdf</w:t>
        </w:r>
      </w:hyperlink>
    </w:p>
    <w:p w14:paraId="75531AC5" w14:textId="03FA486E" w:rsidR="00167F07" w:rsidRPr="004779B6" w:rsidRDefault="00167F07" w:rsidP="004779B6">
      <w:pPr>
        <w:ind w:hanging="720"/>
        <w:jc w:val="both"/>
        <w:rPr>
          <w:rFonts w:asciiTheme="majorHAnsi" w:hAnsiTheme="majorHAnsi" w:cstheme="majorHAnsi"/>
        </w:rPr>
      </w:pPr>
      <w:r w:rsidRPr="004779B6">
        <w:rPr>
          <w:rStyle w:val="Strong"/>
          <w:rFonts w:asciiTheme="majorHAnsi" w:hAnsiTheme="majorHAnsi" w:cstheme="majorHAnsi"/>
          <w:b w:val="0"/>
          <w:bCs w:val="0"/>
        </w:rPr>
        <w:t>Santoshi, G.</w:t>
      </w:r>
      <w:r w:rsidRPr="004779B6">
        <w:rPr>
          <w:rFonts w:asciiTheme="majorHAnsi" w:hAnsiTheme="majorHAnsi" w:cstheme="majorHAnsi"/>
        </w:rPr>
        <w:t xml:space="preserve"> (2025, May 16). </w:t>
      </w:r>
      <w:r w:rsidRPr="004779B6">
        <w:rPr>
          <w:rStyle w:val="Emphasis"/>
          <w:rFonts w:asciiTheme="majorHAnsi" w:hAnsiTheme="majorHAnsi" w:cstheme="majorHAnsi"/>
        </w:rPr>
        <w:t>Kenya 2025 &amp; beyond: Strategic investment and emerging business frontiers</w:t>
      </w:r>
      <w:r w:rsidRPr="004779B6">
        <w:rPr>
          <w:rFonts w:asciiTheme="majorHAnsi" w:hAnsiTheme="majorHAnsi" w:cstheme="majorHAnsi"/>
        </w:rPr>
        <w:t xml:space="preserve">. LinkedIn. Retrieved June 12, 2025, from </w:t>
      </w:r>
      <w:hyperlink r:id="rId23" w:tgtFrame="_new" w:history="1">
        <w:r w:rsidRPr="004779B6">
          <w:rPr>
            <w:rStyle w:val="Hyperlink"/>
            <w:rFonts w:asciiTheme="majorHAnsi" w:hAnsiTheme="majorHAnsi" w:cstheme="majorHAnsi"/>
          </w:rPr>
          <w:t>https://www.linkedin.com/pulse/kenya-2025-beyond-strategic-investment-emerging-business-santosh-g-koiqc/</w:t>
        </w:r>
      </w:hyperlink>
    </w:p>
    <w:p w14:paraId="6DB5BECD" w14:textId="3B551834" w:rsidR="00167F07" w:rsidRPr="004779B6" w:rsidRDefault="00167F07" w:rsidP="004779B6">
      <w:pPr>
        <w:ind w:hanging="720"/>
        <w:jc w:val="both"/>
        <w:rPr>
          <w:rFonts w:asciiTheme="majorHAnsi" w:hAnsiTheme="majorHAnsi" w:cstheme="majorHAnsi"/>
        </w:rPr>
      </w:pPr>
      <w:r w:rsidRPr="004779B6">
        <w:rPr>
          <w:rFonts w:asciiTheme="majorHAnsi" w:hAnsiTheme="majorHAnsi" w:cstheme="majorHAnsi"/>
        </w:rPr>
        <w:t xml:space="preserve">Traction School of Governance and Business. (2025). </w:t>
      </w:r>
      <w:r w:rsidRPr="004779B6">
        <w:rPr>
          <w:rStyle w:val="Emphasis"/>
          <w:rFonts w:asciiTheme="majorHAnsi" w:hAnsiTheme="majorHAnsi" w:cstheme="majorHAnsi"/>
        </w:rPr>
        <w:t>Certified Secretaries – Traction School of Governance and Business</w:t>
      </w:r>
      <w:r w:rsidRPr="004779B6">
        <w:rPr>
          <w:rFonts w:asciiTheme="majorHAnsi" w:hAnsiTheme="majorHAnsi" w:cstheme="majorHAnsi"/>
        </w:rPr>
        <w:t xml:space="preserve">. Retrieved June 12, 2025, from </w:t>
      </w:r>
      <w:hyperlink r:id="rId24" w:tgtFrame="_new" w:history="1">
        <w:r w:rsidRPr="004779B6">
          <w:rPr>
            <w:rStyle w:val="Hyperlink"/>
            <w:rFonts w:asciiTheme="majorHAnsi" w:hAnsiTheme="majorHAnsi" w:cstheme="majorHAnsi"/>
          </w:rPr>
          <w:t>https://sgb.ac.ke/41429-2/</w:t>
        </w:r>
      </w:hyperlink>
    </w:p>
    <w:p w14:paraId="777FBB6F" w14:textId="6E009856" w:rsidR="00911566" w:rsidRPr="004779B6" w:rsidRDefault="0091156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Raza, M. Y., &amp; Lin, B. (2022). Renewable energy substitution and energy technology impact in a transitional economy: a perspective from Pakistan. </w:t>
      </w:r>
      <w:r w:rsidRPr="004779B6">
        <w:rPr>
          <w:rFonts w:asciiTheme="majorHAnsi" w:hAnsiTheme="majorHAnsi" w:cstheme="majorHAnsi"/>
          <w:i/>
          <w:iCs/>
          <w:color w:val="222222"/>
          <w:sz w:val="20"/>
          <w:szCs w:val="20"/>
          <w:shd w:val="clear" w:color="auto" w:fill="FFFFFF"/>
        </w:rPr>
        <w:t>Journal of Cleaner Production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360</w:t>
      </w:r>
      <w:r w:rsidRPr="004779B6">
        <w:rPr>
          <w:rFonts w:asciiTheme="majorHAnsi" w:hAnsiTheme="majorHAnsi" w:cstheme="majorHAnsi"/>
          <w:color w:val="222222"/>
          <w:sz w:val="20"/>
          <w:szCs w:val="20"/>
          <w:shd w:val="clear" w:color="auto" w:fill="FFFFFF"/>
        </w:rPr>
        <w:t>, 132163.</w:t>
      </w:r>
    </w:p>
    <w:p w14:paraId="761BF3ED" w14:textId="7990FBEE" w:rsidR="00CE2F9F" w:rsidRPr="004779B6" w:rsidRDefault="00CE2F9F"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 xml:space="preserve">Chen, H., Yi, J., Chen, A., Peng, D., &amp; Yang, J. (2023). Green technology innovation and CO2 emission in China: Evidence from a spatial-temporal analysis and a nonlinear spatial </w:t>
      </w:r>
      <w:proofErr w:type="spellStart"/>
      <w:r w:rsidRPr="004779B6">
        <w:rPr>
          <w:rFonts w:asciiTheme="majorHAnsi" w:hAnsiTheme="majorHAnsi" w:cstheme="majorHAnsi"/>
          <w:color w:val="222222"/>
          <w:sz w:val="20"/>
          <w:szCs w:val="20"/>
          <w:shd w:val="clear" w:color="auto" w:fill="FFFFFF"/>
        </w:rPr>
        <w:t>durbin</w:t>
      </w:r>
      <w:proofErr w:type="spellEnd"/>
      <w:r w:rsidRPr="004779B6">
        <w:rPr>
          <w:rFonts w:asciiTheme="majorHAnsi" w:hAnsiTheme="majorHAnsi" w:cstheme="majorHAnsi"/>
          <w:color w:val="222222"/>
          <w:sz w:val="20"/>
          <w:szCs w:val="20"/>
          <w:shd w:val="clear" w:color="auto" w:fill="FFFFFF"/>
        </w:rPr>
        <w:t xml:space="preserve"> model. </w:t>
      </w:r>
      <w:r w:rsidRPr="004779B6">
        <w:rPr>
          <w:rFonts w:asciiTheme="majorHAnsi" w:hAnsiTheme="majorHAnsi" w:cstheme="majorHAnsi"/>
          <w:i/>
          <w:iCs/>
          <w:color w:val="222222"/>
          <w:sz w:val="20"/>
          <w:szCs w:val="20"/>
          <w:shd w:val="clear" w:color="auto" w:fill="FFFFFF"/>
        </w:rPr>
        <w:t>Energy Policy</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172</w:t>
      </w:r>
      <w:r w:rsidRPr="004779B6">
        <w:rPr>
          <w:rFonts w:asciiTheme="majorHAnsi" w:hAnsiTheme="majorHAnsi" w:cstheme="majorHAnsi"/>
          <w:color w:val="222222"/>
          <w:sz w:val="20"/>
          <w:szCs w:val="20"/>
          <w:shd w:val="clear" w:color="auto" w:fill="FFFFFF"/>
        </w:rPr>
        <w:t>, 113338.</w:t>
      </w:r>
    </w:p>
    <w:p w14:paraId="67751CC8" w14:textId="25B32CD5" w:rsidR="00CE2F9F" w:rsidRPr="004779B6" w:rsidRDefault="00CE2F9F" w:rsidP="004779B6">
      <w:pPr>
        <w:ind w:hanging="720"/>
        <w:jc w:val="both"/>
        <w:rPr>
          <w:rFonts w:asciiTheme="majorHAnsi" w:hAnsiTheme="majorHAnsi" w:cstheme="majorHAnsi"/>
          <w:color w:val="222222"/>
          <w:sz w:val="20"/>
          <w:szCs w:val="20"/>
          <w:shd w:val="clear" w:color="auto" w:fill="FFFFFF"/>
        </w:rPr>
      </w:pPr>
      <w:r w:rsidRPr="004779B6">
        <w:rPr>
          <w:rStyle w:val="Strong"/>
          <w:rFonts w:asciiTheme="majorHAnsi" w:hAnsiTheme="majorHAnsi" w:cstheme="majorHAnsi"/>
          <w:b w:val="0"/>
          <w:bCs w:val="0"/>
        </w:rPr>
        <w:t>Fernandes, C. I., Veiga, P. M., Ferreira, J. J. M., &amp; Hughes, M.</w:t>
      </w:r>
      <w:r w:rsidRPr="004779B6">
        <w:rPr>
          <w:rFonts w:asciiTheme="majorHAnsi" w:hAnsiTheme="majorHAnsi" w:cstheme="majorHAnsi"/>
        </w:rPr>
        <w:t xml:space="preserve"> (2021). Green growth versus economic growth: Do sustainable technology transfer and innovations lead to an imperfect choice? </w:t>
      </w:r>
      <w:r w:rsidRPr="004779B6">
        <w:rPr>
          <w:rStyle w:val="Emphasis"/>
          <w:rFonts w:asciiTheme="majorHAnsi" w:hAnsiTheme="majorHAnsi" w:cstheme="majorHAnsi"/>
        </w:rPr>
        <w:t>Business Strategy and the Environment, 30</w:t>
      </w:r>
      <w:r w:rsidRPr="004779B6">
        <w:rPr>
          <w:rFonts w:asciiTheme="majorHAnsi" w:hAnsiTheme="majorHAnsi" w:cstheme="majorHAnsi"/>
        </w:rPr>
        <w:t>(4), 2021–2037.</w:t>
      </w:r>
    </w:p>
    <w:p w14:paraId="1622A7C6" w14:textId="7B9D22F0" w:rsidR="0017464E" w:rsidRPr="004779B6" w:rsidRDefault="0017464E"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color w:val="222222"/>
          <w:sz w:val="20"/>
          <w:szCs w:val="20"/>
          <w:shd w:val="clear" w:color="auto" w:fill="FFFFFF"/>
        </w:rPr>
        <w:t>Amin, S., Khan, M. A., &amp; Mehmood, W. (2022). Probing environmental sustainability through the diversity-pollution nexus—a global perspective via PM2. 5 and NO2. </w:t>
      </w:r>
      <w:r w:rsidRPr="004779B6">
        <w:rPr>
          <w:rFonts w:asciiTheme="majorHAnsi" w:hAnsiTheme="majorHAnsi" w:cstheme="majorHAnsi"/>
          <w:i/>
          <w:iCs/>
          <w:color w:val="222222"/>
          <w:sz w:val="20"/>
          <w:szCs w:val="20"/>
          <w:shd w:val="clear" w:color="auto" w:fill="FFFFFF"/>
        </w:rPr>
        <w:t>Water, Air, &amp; Soil Pollution</w:t>
      </w:r>
      <w:r w:rsidRPr="004779B6">
        <w:rPr>
          <w:rFonts w:asciiTheme="majorHAnsi" w:hAnsiTheme="majorHAnsi" w:cstheme="majorHAnsi"/>
          <w:color w:val="222222"/>
          <w:sz w:val="20"/>
          <w:szCs w:val="20"/>
          <w:shd w:val="clear" w:color="auto" w:fill="FFFFFF"/>
        </w:rPr>
        <w:t>, </w:t>
      </w:r>
      <w:r w:rsidRPr="004779B6">
        <w:rPr>
          <w:rFonts w:asciiTheme="majorHAnsi" w:hAnsiTheme="majorHAnsi" w:cstheme="majorHAnsi"/>
          <w:i/>
          <w:iCs/>
          <w:color w:val="222222"/>
          <w:sz w:val="20"/>
          <w:szCs w:val="20"/>
          <w:shd w:val="clear" w:color="auto" w:fill="FFFFFF"/>
        </w:rPr>
        <w:t>233</w:t>
      </w:r>
      <w:r w:rsidRPr="004779B6">
        <w:rPr>
          <w:rFonts w:asciiTheme="majorHAnsi" w:hAnsiTheme="majorHAnsi" w:cstheme="majorHAnsi"/>
          <w:color w:val="222222"/>
          <w:sz w:val="20"/>
          <w:szCs w:val="20"/>
          <w:shd w:val="clear" w:color="auto" w:fill="FFFFFF"/>
        </w:rPr>
        <w:t>(2), 58.</w:t>
      </w:r>
    </w:p>
    <w:p w14:paraId="48E2824A" w14:textId="455D3731" w:rsidR="00515220" w:rsidRPr="004779B6" w:rsidRDefault="00515220" w:rsidP="004779B6">
      <w:pPr>
        <w:ind w:hanging="720"/>
        <w:jc w:val="both"/>
        <w:rPr>
          <w:rFonts w:asciiTheme="majorHAnsi" w:hAnsiTheme="majorHAnsi" w:cstheme="majorHAnsi"/>
        </w:rPr>
      </w:pPr>
      <w:r w:rsidRPr="004779B6">
        <w:rPr>
          <w:rFonts w:asciiTheme="majorHAnsi" w:hAnsiTheme="majorHAnsi" w:cstheme="majorHAnsi"/>
        </w:rPr>
        <w:t xml:space="preserve">Republic of Kenya, Ministry of Environment, Climate Change and Forestry. (2025, April). </w:t>
      </w:r>
      <w:r w:rsidRPr="004779B6">
        <w:rPr>
          <w:rStyle w:val="Emphasis"/>
          <w:rFonts w:asciiTheme="majorHAnsi" w:hAnsiTheme="majorHAnsi" w:cstheme="majorHAnsi"/>
        </w:rPr>
        <w:t>Kenya’s Second Nationally Determined Contribution (2031–2035)</w:t>
      </w:r>
      <w:r w:rsidRPr="004779B6">
        <w:rPr>
          <w:rFonts w:asciiTheme="majorHAnsi" w:hAnsiTheme="majorHAnsi" w:cstheme="majorHAnsi"/>
        </w:rPr>
        <w:t xml:space="preserve"> [PDF]. UNFCCC. Retrieved June 12, 2025, from </w:t>
      </w:r>
      <w:hyperlink r:id="rId25" w:tgtFrame="_new" w:history="1">
        <w:r w:rsidRPr="004779B6">
          <w:rPr>
            <w:rStyle w:val="Hyperlink"/>
            <w:rFonts w:asciiTheme="majorHAnsi" w:hAnsiTheme="majorHAnsi" w:cstheme="majorHAnsi"/>
          </w:rPr>
          <w:t>https://unfccc.int/sites/default/files/2025-05/KENYAS%20SECOND%20NATIONALLY%20DETERMINED%20CONTRIBUTION%202031_2035.pdf</w:t>
        </w:r>
      </w:hyperlink>
    </w:p>
    <w:p w14:paraId="1783B1C4" w14:textId="063CE114" w:rsidR="002B0346" w:rsidRPr="004779B6" w:rsidRDefault="002B0346" w:rsidP="004779B6">
      <w:pPr>
        <w:ind w:hanging="720"/>
        <w:jc w:val="both"/>
        <w:rPr>
          <w:rFonts w:asciiTheme="majorHAnsi" w:hAnsiTheme="majorHAnsi" w:cstheme="majorHAnsi"/>
        </w:rPr>
      </w:pPr>
      <w:r w:rsidRPr="004779B6">
        <w:rPr>
          <w:rFonts w:asciiTheme="majorHAnsi" w:hAnsiTheme="majorHAnsi" w:cstheme="majorHAnsi"/>
        </w:rPr>
        <w:t xml:space="preserve">Xinhua News Agency. (2025, May 1). </w:t>
      </w:r>
      <w:r w:rsidRPr="004779B6">
        <w:rPr>
          <w:rStyle w:val="Emphasis"/>
          <w:rFonts w:asciiTheme="majorHAnsi" w:hAnsiTheme="majorHAnsi" w:cstheme="majorHAnsi"/>
        </w:rPr>
        <w:t>Kenya files climate plan with UN, aiming to slash emissions by 35 pct</w:t>
      </w:r>
      <w:r w:rsidRPr="004779B6">
        <w:rPr>
          <w:rFonts w:asciiTheme="majorHAnsi" w:hAnsiTheme="majorHAnsi" w:cstheme="majorHAnsi"/>
        </w:rPr>
        <w:t xml:space="preserve">. Xinhua. Retrieved June 12, 2025, from </w:t>
      </w:r>
      <w:hyperlink r:id="rId26" w:tgtFrame="_new" w:history="1">
        <w:r w:rsidRPr="004779B6">
          <w:rPr>
            <w:rStyle w:val="Hyperlink"/>
            <w:rFonts w:asciiTheme="majorHAnsi" w:hAnsiTheme="majorHAnsi" w:cstheme="majorHAnsi"/>
          </w:rPr>
          <w:t>https://english.news.cn/africa/20250501/4a92f50c8d2443a197e7cacac43c6e2a/c.html</w:t>
        </w:r>
      </w:hyperlink>
    </w:p>
    <w:p w14:paraId="6A133306" w14:textId="76F57B21" w:rsidR="002D6EDB" w:rsidRPr="004779B6" w:rsidRDefault="002D6EDB" w:rsidP="004779B6">
      <w:pPr>
        <w:ind w:hanging="720"/>
        <w:jc w:val="both"/>
        <w:rPr>
          <w:rFonts w:asciiTheme="majorHAnsi" w:hAnsiTheme="majorHAnsi" w:cstheme="majorHAnsi"/>
        </w:rPr>
      </w:pPr>
      <w:r w:rsidRPr="004779B6">
        <w:rPr>
          <w:rFonts w:asciiTheme="majorHAnsi" w:hAnsiTheme="majorHAnsi" w:cstheme="majorHAnsi"/>
        </w:rPr>
        <w:t xml:space="preserve">International Energy Agency. (n.d.). </w:t>
      </w:r>
      <w:r w:rsidRPr="004779B6">
        <w:rPr>
          <w:rStyle w:val="Emphasis"/>
          <w:rFonts w:asciiTheme="majorHAnsi" w:hAnsiTheme="majorHAnsi" w:cstheme="majorHAnsi"/>
        </w:rPr>
        <w:t>Kenya: Emissions</w:t>
      </w:r>
      <w:r w:rsidRPr="004779B6">
        <w:rPr>
          <w:rFonts w:asciiTheme="majorHAnsi" w:hAnsiTheme="majorHAnsi" w:cstheme="majorHAnsi"/>
        </w:rPr>
        <w:t xml:space="preserve">. Retrieved June 12, 2025, from </w:t>
      </w:r>
      <w:hyperlink r:id="rId27" w:tgtFrame="_new" w:history="1">
        <w:r w:rsidRPr="004779B6">
          <w:rPr>
            <w:rStyle w:val="Hyperlink"/>
            <w:rFonts w:asciiTheme="majorHAnsi" w:hAnsiTheme="majorHAnsi" w:cstheme="majorHAnsi"/>
          </w:rPr>
          <w:t>https://www.iea.org/countries/kenya/emissions/</w:t>
        </w:r>
      </w:hyperlink>
    </w:p>
    <w:p w14:paraId="1FBE3ACA" w14:textId="5083E4D9" w:rsidR="002D6EDB" w:rsidRPr="004779B6" w:rsidRDefault="002D6EDB" w:rsidP="004779B6">
      <w:pPr>
        <w:ind w:hanging="720"/>
        <w:jc w:val="both"/>
        <w:rPr>
          <w:rFonts w:asciiTheme="majorHAnsi" w:hAnsiTheme="majorHAnsi" w:cstheme="majorHAnsi"/>
        </w:rPr>
      </w:pPr>
      <w:r w:rsidRPr="004779B6">
        <w:rPr>
          <w:rFonts w:asciiTheme="majorHAnsi" w:hAnsiTheme="majorHAnsi" w:cstheme="majorHAnsi"/>
        </w:rPr>
        <w:t xml:space="preserve">Climate Action Tracker. (n.d.). </w:t>
      </w:r>
      <w:r w:rsidRPr="004779B6">
        <w:rPr>
          <w:rStyle w:val="Emphasis"/>
          <w:rFonts w:asciiTheme="majorHAnsi" w:hAnsiTheme="majorHAnsi" w:cstheme="majorHAnsi"/>
        </w:rPr>
        <w:t>Kenya: Policies &amp; action</w:t>
      </w:r>
      <w:r w:rsidRPr="004779B6">
        <w:rPr>
          <w:rFonts w:asciiTheme="majorHAnsi" w:hAnsiTheme="majorHAnsi" w:cstheme="majorHAnsi"/>
        </w:rPr>
        <w:t xml:space="preserve">. Retrieved June 12, 2025, from </w:t>
      </w:r>
      <w:hyperlink r:id="rId28" w:tgtFrame="_new" w:history="1">
        <w:r w:rsidRPr="004779B6">
          <w:rPr>
            <w:rStyle w:val="Hyperlink"/>
            <w:rFonts w:asciiTheme="majorHAnsi" w:hAnsiTheme="majorHAnsi" w:cstheme="majorHAnsi"/>
          </w:rPr>
          <w:t>https://climateactiontracker.org/countries/kenya/policies-action/</w:t>
        </w:r>
      </w:hyperlink>
    </w:p>
    <w:p w14:paraId="7C6F35AF" w14:textId="7CE40EDC" w:rsidR="002D6EDB" w:rsidRPr="004779B6" w:rsidRDefault="002D6EDB" w:rsidP="004779B6">
      <w:pPr>
        <w:ind w:hanging="720"/>
        <w:jc w:val="both"/>
        <w:rPr>
          <w:rFonts w:asciiTheme="majorHAnsi" w:hAnsiTheme="majorHAnsi" w:cstheme="majorHAnsi"/>
        </w:rPr>
      </w:pPr>
      <w:r w:rsidRPr="004779B6">
        <w:rPr>
          <w:rFonts w:asciiTheme="majorHAnsi" w:hAnsiTheme="majorHAnsi" w:cstheme="majorHAnsi"/>
        </w:rPr>
        <w:lastRenderedPageBreak/>
        <w:t xml:space="preserve">Nordahl, J. (2025, April 14). </w:t>
      </w:r>
      <w:r w:rsidRPr="004779B6">
        <w:rPr>
          <w:rStyle w:val="Emphasis"/>
          <w:rFonts w:asciiTheme="majorHAnsi" w:hAnsiTheme="majorHAnsi" w:cstheme="majorHAnsi"/>
        </w:rPr>
        <w:t>Kenya: Financing Development Through Carbon Markets</w:t>
      </w:r>
      <w:r w:rsidRPr="004779B6">
        <w:rPr>
          <w:rFonts w:asciiTheme="majorHAnsi" w:hAnsiTheme="majorHAnsi" w:cstheme="majorHAnsi"/>
        </w:rPr>
        <w:t xml:space="preserve">. </w:t>
      </w:r>
      <w:proofErr w:type="spellStart"/>
      <w:r w:rsidRPr="004779B6">
        <w:rPr>
          <w:rFonts w:asciiTheme="majorHAnsi" w:hAnsiTheme="majorHAnsi" w:cstheme="majorHAnsi"/>
        </w:rPr>
        <w:t>AlliedOffsets</w:t>
      </w:r>
      <w:proofErr w:type="spellEnd"/>
      <w:r w:rsidRPr="004779B6">
        <w:rPr>
          <w:rFonts w:asciiTheme="majorHAnsi" w:hAnsiTheme="majorHAnsi" w:cstheme="majorHAnsi"/>
        </w:rPr>
        <w:t xml:space="preserve">. Retrieved June 12, 2025, from </w:t>
      </w:r>
      <w:hyperlink r:id="rId29" w:tgtFrame="_new" w:history="1">
        <w:r w:rsidRPr="004779B6">
          <w:rPr>
            <w:rStyle w:val="Hyperlink"/>
            <w:rFonts w:asciiTheme="majorHAnsi" w:hAnsiTheme="majorHAnsi" w:cstheme="majorHAnsi"/>
          </w:rPr>
          <w:t>https://blog.alliedoffsets.com/kenya-financing-development-through-carbon-markets</w:t>
        </w:r>
      </w:hyperlink>
    </w:p>
    <w:p w14:paraId="52140D2D" w14:textId="0A44521F" w:rsidR="002B0346" w:rsidRPr="004779B6" w:rsidRDefault="002B0346" w:rsidP="004779B6">
      <w:pPr>
        <w:ind w:hanging="720"/>
        <w:jc w:val="both"/>
        <w:rPr>
          <w:rFonts w:asciiTheme="majorHAnsi" w:hAnsiTheme="majorHAnsi" w:cstheme="majorHAnsi"/>
        </w:rPr>
      </w:pPr>
      <w:r w:rsidRPr="004779B6">
        <w:rPr>
          <w:rFonts w:asciiTheme="majorHAnsi" w:hAnsiTheme="majorHAnsi" w:cstheme="majorHAnsi"/>
        </w:rPr>
        <w:t xml:space="preserve">Climate Action Tracker. (n.d.). </w:t>
      </w:r>
      <w:r w:rsidRPr="004779B6">
        <w:rPr>
          <w:rStyle w:val="Emphasis"/>
          <w:rFonts w:asciiTheme="majorHAnsi" w:hAnsiTheme="majorHAnsi" w:cstheme="majorHAnsi"/>
        </w:rPr>
        <w:t>Kenya: Policies &amp; action</w:t>
      </w:r>
      <w:r w:rsidRPr="004779B6">
        <w:rPr>
          <w:rFonts w:asciiTheme="majorHAnsi" w:hAnsiTheme="majorHAnsi" w:cstheme="majorHAnsi"/>
        </w:rPr>
        <w:t xml:space="preserve">. Retrieved June 12, 2025, from </w:t>
      </w:r>
      <w:hyperlink r:id="rId30" w:tgtFrame="_new" w:history="1">
        <w:r w:rsidRPr="004779B6">
          <w:rPr>
            <w:rStyle w:val="Hyperlink"/>
            <w:rFonts w:asciiTheme="majorHAnsi" w:hAnsiTheme="majorHAnsi" w:cstheme="majorHAnsi"/>
          </w:rPr>
          <w:t>https://climateactiontracker.org/countries/kenya/policies-action/</w:t>
        </w:r>
      </w:hyperlink>
    </w:p>
    <w:p w14:paraId="02E5046B" w14:textId="7DA272C3" w:rsidR="002B0346" w:rsidRPr="004779B6" w:rsidRDefault="002B0346" w:rsidP="004779B6">
      <w:pPr>
        <w:ind w:hanging="720"/>
        <w:jc w:val="both"/>
        <w:rPr>
          <w:rFonts w:asciiTheme="majorHAnsi" w:hAnsiTheme="majorHAnsi" w:cstheme="majorHAnsi"/>
        </w:rPr>
      </w:pPr>
      <w:r w:rsidRPr="004779B6">
        <w:rPr>
          <w:rStyle w:val="Strong"/>
          <w:rFonts w:asciiTheme="majorHAnsi" w:hAnsiTheme="majorHAnsi" w:cstheme="majorHAnsi"/>
          <w:b w:val="0"/>
          <w:bCs w:val="0"/>
        </w:rPr>
        <w:t>Tete, J.</w:t>
      </w:r>
      <w:r w:rsidRPr="004779B6">
        <w:rPr>
          <w:rFonts w:asciiTheme="majorHAnsi" w:hAnsiTheme="majorHAnsi" w:cstheme="majorHAnsi"/>
        </w:rPr>
        <w:t xml:space="preserve"> (2025, May 2). </w:t>
      </w:r>
      <w:r w:rsidRPr="004779B6">
        <w:rPr>
          <w:rStyle w:val="Emphasis"/>
          <w:rFonts w:asciiTheme="majorHAnsi" w:hAnsiTheme="majorHAnsi" w:cstheme="majorHAnsi"/>
        </w:rPr>
        <w:t>Kenya’s climate commitment: A look at the second nationally determined contribution</w:t>
      </w:r>
      <w:r w:rsidRPr="004779B6">
        <w:rPr>
          <w:rFonts w:asciiTheme="majorHAnsi" w:hAnsiTheme="majorHAnsi" w:cstheme="majorHAnsi"/>
        </w:rPr>
        <w:t xml:space="preserve">. Vellum Kenya. Retrieved June 12, 2025, from </w:t>
      </w:r>
      <w:hyperlink r:id="rId31" w:tgtFrame="_new" w:history="1">
        <w:r w:rsidRPr="004779B6">
          <w:rPr>
            <w:rStyle w:val="Hyperlink"/>
            <w:rFonts w:asciiTheme="majorHAnsi" w:hAnsiTheme="majorHAnsi" w:cstheme="majorHAnsi"/>
          </w:rPr>
          <w:t>https://vellum.co.ke/kenyas-climate-commitment-a-look-at-the-second-nationally-determined-contribution/</w:t>
        </w:r>
      </w:hyperlink>
    </w:p>
    <w:p w14:paraId="40452C5D" w14:textId="5F40A053" w:rsidR="002B0346" w:rsidRPr="004779B6" w:rsidRDefault="002B0346" w:rsidP="004779B6">
      <w:pPr>
        <w:ind w:hanging="720"/>
        <w:jc w:val="both"/>
        <w:rPr>
          <w:rFonts w:asciiTheme="majorHAnsi" w:hAnsiTheme="majorHAnsi" w:cstheme="majorHAnsi"/>
          <w:color w:val="222222"/>
          <w:sz w:val="20"/>
          <w:szCs w:val="20"/>
          <w:shd w:val="clear" w:color="auto" w:fill="FFFFFF"/>
        </w:rPr>
      </w:pPr>
      <w:r w:rsidRPr="004779B6">
        <w:rPr>
          <w:rFonts w:asciiTheme="majorHAnsi" w:hAnsiTheme="majorHAnsi" w:cstheme="majorHAnsi"/>
        </w:rPr>
        <w:t xml:space="preserve">Strathmore University Energy Research Centre. (2025, June 3). </w:t>
      </w:r>
      <w:r w:rsidRPr="004779B6">
        <w:rPr>
          <w:rStyle w:val="Emphasis"/>
          <w:rFonts w:asciiTheme="majorHAnsi" w:hAnsiTheme="majorHAnsi" w:cstheme="majorHAnsi"/>
        </w:rPr>
        <w:t>Kenya’s practical steps to net zero carbon emissions take shape</w:t>
      </w:r>
      <w:r w:rsidRPr="004779B6">
        <w:rPr>
          <w:rFonts w:asciiTheme="majorHAnsi" w:hAnsiTheme="majorHAnsi" w:cstheme="majorHAnsi"/>
        </w:rPr>
        <w:t xml:space="preserve">. Strathmore University Energy Research Centre. Retrieved June 12, 2025, from </w:t>
      </w:r>
      <w:hyperlink r:id="rId32" w:history="1">
        <w:r w:rsidRPr="004779B6">
          <w:rPr>
            <w:rStyle w:val="Hyperlink"/>
            <w:rFonts w:asciiTheme="majorHAnsi" w:hAnsiTheme="majorHAnsi" w:cstheme="majorHAnsi"/>
          </w:rPr>
          <w:t>https://serc.strathmore.edu/kenyas-practical-steps-to-net-zero-carbon-emissions-take-shape/</w:t>
        </w:r>
      </w:hyperlink>
      <w:r w:rsidRPr="004779B6">
        <w:rPr>
          <w:rFonts w:asciiTheme="majorHAnsi" w:hAnsiTheme="majorHAnsi" w:cstheme="majorHAnsi"/>
        </w:rPr>
        <w:tab/>
      </w:r>
    </w:p>
    <w:p w14:paraId="10F94C4C" w14:textId="67B73E2B" w:rsidR="0017464E" w:rsidRPr="004779B6" w:rsidRDefault="0017464E" w:rsidP="004779B6">
      <w:pPr>
        <w:ind w:hanging="720"/>
        <w:jc w:val="both"/>
        <w:rPr>
          <w:rFonts w:asciiTheme="majorHAnsi" w:hAnsiTheme="majorHAnsi" w:cstheme="majorHAnsi"/>
        </w:rPr>
      </w:pPr>
      <w:r w:rsidRPr="004779B6">
        <w:rPr>
          <w:rStyle w:val="Strong"/>
          <w:rFonts w:asciiTheme="majorHAnsi" w:hAnsiTheme="majorHAnsi" w:cstheme="majorHAnsi"/>
          <w:b w:val="0"/>
          <w:bCs w:val="0"/>
        </w:rPr>
        <w:t xml:space="preserve">Germanwatch </w:t>
      </w:r>
      <w:proofErr w:type="spellStart"/>
      <w:r w:rsidRPr="004779B6">
        <w:rPr>
          <w:rStyle w:val="Strong"/>
          <w:rFonts w:asciiTheme="majorHAnsi" w:hAnsiTheme="majorHAnsi" w:cstheme="majorHAnsi"/>
          <w:b w:val="0"/>
          <w:bCs w:val="0"/>
        </w:rPr>
        <w:t>e.</w:t>
      </w:r>
      <w:r w:rsidR="00515220" w:rsidRPr="004779B6">
        <w:rPr>
          <w:rStyle w:val="Strong"/>
          <w:rFonts w:asciiTheme="majorHAnsi" w:hAnsiTheme="majorHAnsi" w:cstheme="majorHAnsi"/>
          <w:b w:val="0"/>
          <w:bCs w:val="0"/>
        </w:rPr>
        <w:t>v</w:t>
      </w:r>
      <w:r w:rsidRPr="004779B6">
        <w:rPr>
          <w:rStyle w:val="Strong"/>
          <w:rFonts w:asciiTheme="majorHAnsi" w:hAnsiTheme="majorHAnsi" w:cstheme="majorHAnsi"/>
          <w:b w:val="0"/>
          <w:bCs w:val="0"/>
        </w:rPr>
        <w:t>.</w:t>
      </w:r>
      <w:proofErr w:type="spellEnd"/>
      <w:r w:rsidRPr="004779B6">
        <w:rPr>
          <w:rFonts w:asciiTheme="majorHAnsi" w:hAnsiTheme="majorHAnsi" w:cstheme="majorHAnsi"/>
          <w:b/>
          <w:bCs/>
        </w:rPr>
        <w:t xml:space="preserve"> </w:t>
      </w:r>
      <w:r w:rsidRPr="004779B6">
        <w:rPr>
          <w:rFonts w:asciiTheme="majorHAnsi" w:hAnsiTheme="majorHAnsi" w:cstheme="majorHAnsi"/>
        </w:rPr>
        <w:t>(</w:t>
      </w:r>
      <w:r w:rsidR="00515220" w:rsidRPr="004779B6">
        <w:rPr>
          <w:rFonts w:asciiTheme="majorHAnsi" w:hAnsiTheme="majorHAnsi" w:cstheme="majorHAnsi"/>
        </w:rPr>
        <w:t>2025</w:t>
      </w:r>
      <w:r w:rsidRPr="004779B6">
        <w:rPr>
          <w:rFonts w:asciiTheme="majorHAnsi" w:hAnsiTheme="majorHAnsi" w:cstheme="majorHAnsi"/>
        </w:rPr>
        <w:t>).</w:t>
      </w:r>
      <w:r w:rsidRPr="004779B6">
        <w:rPr>
          <w:rStyle w:val="Emphasis"/>
          <w:rFonts w:asciiTheme="majorHAnsi" w:hAnsiTheme="majorHAnsi" w:cstheme="majorHAnsi"/>
        </w:rPr>
        <w:t xml:space="preserve"> Germanwatch</w:t>
      </w:r>
      <w:r w:rsidRPr="004779B6">
        <w:rPr>
          <w:rFonts w:asciiTheme="majorHAnsi" w:hAnsiTheme="majorHAnsi" w:cstheme="majorHAnsi"/>
        </w:rPr>
        <w:t xml:space="preserve">. Retrieved June 12, 2025, from </w:t>
      </w:r>
      <w:hyperlink r:id="rId33" w:tgtFrame="_new" w:history="1">
        <w:r w:rsidRPr="004779B6">
          <w:rPr>
            <w:rStyle w:val="Hyperlink"/>
            <w:rFonts w:asciiTheme="majorHAnsi" w:hAnsiTheme="majorHAnsi" w:cstheme="majorHAnsi"/>
          </w:rPr>
          <w:t>https://www.germanwatch.org/en/</w:t>
        </w:r>
      </w:hyperlink>
    </w:p>
    <w:sectPr w:rsidR="0017464E" w:rsidRPr="00477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D07"/>
    <w:multiLevelType w:val="multilevel"/>
    <w:tmpl w:val="8346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B19BE"/>
    <w:multiLevelType w:val="hybridMultilevel"/>
    <w:tmpl w:val="8E609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ACA"/>
    <w:multiLevelType w:val="hybridMultilevel"/>
    <w:tmpl w:val="A3569D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D06C5"/>
    <w:multiLevelType w:val="hybridMultilevel"/>
    <w:tmpl w:val="D4D47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16849"/>
    <w:multiLevelType w:val="hybridMultilevel"/>
    <w:tmpl w:val="0EF2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D32EA"/>
    <w:multiLevelType w:val="hybridMultilevel"/>
    <w:tmpl w:val="FE6AB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45226"/>
    <w:multiLevelType w:val="hybridMultilevel"/>
    <w:tmpl w:val="BEC4E4F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0B079B"/>
    <w:multiLevelType w:val="multilevel"/>
    <w:tmpl w:val="E91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B388A"/>
    <w:multiLevelType w:val="hybridMultilevel"/>
    <w:tmpl w:val="6602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C07D1"/>
    <w:multiLevelType w:val="multilevel"/>
    <w:tmpl w:val="181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153AA"/>
    <w:multiLevelType w:val="hybridMultilevel"/>
    <w:tmpl w:val="F2C2A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1520">
    <w:abstractNumId w:val="4"/>
  </w:num>
  <w:num w:numId="2" w16cid:durableId="1378579708">
    <w:abstractNumId w:val="3"/>
  </w:num>
  <w:num w:numId="3" w16cid:durableId="687870699">
    <w:abstractNumId w:val="7"/>
  </w:num>
  <w:num w:numId="4" w16cid:durableId="1145704243">
    <w:abstractNumId w:val="9"/>
  </w:num>
  <w:num w:numId="5" w16cid:durableId="31729379">
    <w:abstractNumId w:val="0"/>
  </w:num>
  <w:num w:numId="6" w16cid:durableId="276914297">
    <w:abstractNumId w:val="8"/>
  </w:num>
  <w:num w:numId="7" w16cid:durableId="1373770848">
    <w:abstractNumId w:val="6"/>
  </w:num>
  <w:num w:numId="8" w16cid:durableId="1475413106">
    <w:abstractNumId w:val="5"/>
  </w:num>
  <w:num w:numId="9" w16cid:durableId="1431462822">
    <w:abstractNumId w:val="2"/>
  </w:num>
  <w:num w:numId="10" w16cid:durableId="72094411">
    <w:abstractNumId w:val="1"/>
  </w:num>
  <w:num w:numId="11" w16cid:durableId="178278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4A"/>
    <w:rsid w:val="00034402"/>
    <w:rsid w:val="000649E3"/>
    <w:rsid w:val="000C3720"/>
    <w:rsid w:val="000D6527"/>
    <w:rsid w:val="000D7BED"/>
    <w:rsid w:val="00103AA1"/>
    <w:rsid w:val="00132FD5"/>
    <w:rsid w:val="00162873"/>
    <w:rsid w:val="00167F07"/>
    <w:rsid w:val="0017289F"/>
    <w:rsid w:val="0017464E"/>
    <w:rsid w:val="00186E1C"/>
    <w:rsid w:val="001A4505"/>
    <w:rsid w:val="001B185C"/>
    <w:rsid w:val="001B7F22"/>
    <w:rsid w:val="001D7A38"/>
    <w:rsid w:val="00217186"/>
    <w:rsid w:val="002B0346"/>
    <w:rsid w:val="002B1C87"/>
    <w:rsid w:val="002B2DED"/>
    <w:rsid w:val="002C111A"/>
    <w:rsid w:val="002C712A"/>
    <w:rsid w:val="002D6EDB"/>
    <w:rsid w:val="002D7293"/>
    <w:rsid w:val="002F1622"/>
    <w:rsid w:val="003219D0"/>
    <w:rsid w:val="00344DC6"/>
    <w:rsid w:val="00347399"/>
    <w:rsid w:val="00367D7B"/>
    <w:rsid w:val="003C2996"/>
    <w:rsid w:val="00404334"/>
    <w:rsid w:val="00420983"/>
    <w:rsid w:val="00437305"/>
    <w:rsid w:val="00461353"/>
    <w:rsid w:val="00471B3D"/>
    <w:rsid w:val="004779B6"/>
    <w:rsid w:val="004908F7"/>
    <w:rsid w:val="004D2DF8"/>
    <w:rsid w:val="00515220"/>
    <w:rsid w:val="005172ED"/>
    <w:rsid w:val="00544A4A"/>
    <w:rsid w:val="00550C1B"/>
    <w:rsid w:val="005562B3"/>
    <w:rsid w:val="00592B78"/>
    <w:rsid w:val="005B22BE"/>
    <w:rsid w:val="005C4C30"/>
    <w:rsid w:val="005C4CF8"/>
    <w:rsid w:val="005F43DB"/>
    <w:rsid w:val="00603188"/>
    <w:rsid w:val="00644997"/>
    <w:rsid w:val="00645E61"/>
    <w:rsid w:val="006612A9"/>
    <w:rsid w:val="006666EF"/>
    <w:rsid w:val="006772DD"/>
    <w:rsid w:val="006907FE"/>
    <w:rsid w:val="006932B2"/>
    <w:rsid w:val="006A539D"/>
    <w:rsid w:val="006B090F"/>
    <w:rsid w:val="006C69E8"/>
    <w:rsid w:val="007506AE"/>
    <w:rsid w:val="00793CFA"/>
    <w:rsid w:val="007A3C12"/>
    <w:rsid w:val="007B4DC5"/>
    <w:rsid w:val="007C1CA9"/>
    <w:rsid w:val="007C2CB1"/>
    <w:rsid w:val="007E2E7F"/>
    <w:rsid w:val="007E32D1"/>
    <w:rsid w:val="007E41BE"/>
    <w:rsid w:val="008560AC"/>
    <w:rsid w:val="00870D7A"/>
    <w:rsid w:val="00872BE2"/>
    <w:rsid w:val="008B5D7B"/>
    <w:rsid w:val="008E2D64"/>
    <w:rsid w:val="008F72B0"/>
    <w:rsid w:val="0090659A"/>
    <w:rsid w:val="00907CA7"/>
    <w:rsid w:val="00911566"/>
    <w:rsid w:val="00945DE6"/>
    <w:rsid w:val="00955B4D"/>
    <w:rsid w:val="0097051A"/>
    <w:rsid w:val="00974E5D"/>
    <w:rsid w:val="009976E6"/>
    <w:rsid w:val="009B5ED2"/>
    <w:rsid w:val="009D1CF9"/>
    <w:rsid w:val="00A545CE"/>
    <w:rsid w:val="00A74AA0"/>
    <w:rsid w:val="00A81AD6"/>
    <w:rsid w:val="00A85948"/>
    <w:rsid w:val="00AA3240"/>
    <w:rsid w:val="00AC3785"/>
    <w:rsid w:val="00AD5CB0"/>
    <w:rsid w:val="00AD7314"/>
    <w:rsid w:val="00AF48E5"/>
    <w:rsid w:val="00B22837"/>
    <w:rsid w:val="00B252C8"/>
    <w:rsid w:val="00B266B9"/>
    <w:rsid w:val="00B5200B"/>
    <w:rsid w:val="00B576D4"/>
    <w:rsid w:val="00BC35ED"/>
    <w:rsid w:val="00BE5508"/>
    <w:rsid w:val="00BF5F84"/>
    <w:rsid w:val="00C01D9D"/>
    <w:rsid w:val="00C1585C"/>
    <w:rsid w:val="00C5790B"/>
    <w:rsid w:val="00C95B51"/>
    <w:rsid w:val="00CA6FB1"/>
    <w:rsid w:val="00CB5317"/>
    <w:rsid w:val="00CD6AD8"/>
    <w:rsid w:val="00CE02E6"/>
    <w:rsid w:val="00CE2F9F"/>
    <w:rsid w:val="00CF2A1F"/>
    <w:rsid w:val="00D55C97"/>
    <w:rsid w:val="00D565FF"/>
    <w:rsid w:val="00D60C63"/>
    <w:rsid w:val="00D6706E"/>
    <w:rsid w:val="00DB0FCC"/>
    <w:rsid w:val="00DC08DD"/>
    <w:rsid w:val="00DE42A7"/>
    <w:rsid w:val="00E13DD1"/>
    <w:rsid w:val="00E43434"/>
    <w:rsid w:val="00E465AA"/>
    <w:rsid w:val="00E475A2"/>
    <w:rsid w:val="00E573E2"/>
    <w:rsid w:val="00E852E2"/>
    <w:rsid w:val="00E87747"/>
    <w:rsid w:val="00EC4C93"/>
    <w:rsid w:val="00F27760"/>
    <w:rsid w:val="00F97A7E"/>
    <w:rsid w:val="00FB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9822"/>
  <w15:chartTrackingRefBased/>
  <w15:docId w15:val="{5349D037-C1C9-42F0-BBB6-07E3E6F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A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4A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A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A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4A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4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A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4A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A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A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4A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4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A4A"/>
    <w:rPr>
      <w:rFonts w:eastAsiaTheme="majorEastAsia" w:cstheme="majorBidi"/>
      <w:color w:val="272727" w:themeColor="text1" w:themeTint="D8"/>
    </w:rPr>
  </w:style>
  <w:style w:type="paragraph" w:styleId="Title">
    <w:name w:val="Title"/>
    <w:basedOn w:val="Normal"/>
    <w:next w:val="Normal"/>
    <w:link w:val="TitleChar"/>
    <w:uiPriority w:val="10"/>
    <w:qFormat/>
    <w:rsid w:val="00544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A4A"/>
    <w:pPr>
      <w:spacing w:before="160"/>
      <w:jc w:val="center"/>
    </w:pPr>
    <w:rPr>
      <w:i/>
      <w:iCs/>
      <w:color w:val="404040" w:themeColor="text1" w:themeTint="BF"/>
    </w:rPr>
  </w:style>
  <w:style w:type="character" w:customStyle="1" w:styleId="QuoteChar">
    <w:name w:val="Quote Char"/>
    <w:basedOn w:val="DefaultParagraphFont"/>
    <w:link w:val="Quote"/>
    <w:uiPriority w:val="29"/>
    <w:rsid w:val="00544A4A"/>
    <w:rPr>
      <w:i/>
      <w:iCs/>
      <w:color w:val="404040" w:themeColor="text1" w:themeTint="BF"/>
    </w:rPr>
  </w:style>
  <w:style w:type="paragraph" w:styleId="ListParagraph">
    <w:name w:val="List Paragraph"/>
    <w:basedOn w:val="Normal"/>
    <w:uiPriority w:val="34"/>
    <w:qFormat/>
    <w:rsid w:val="00544A4A"/>
    <w:pPr>
      <w:ind w:left="720"/>
      <w:contextualSpacing/>
    </w:pPr>
  </w:style>
  <w:style w:type="character" w:styleId="IntenseEmphasis">
    <w:name w:val="Intense Emphasis"/>
    <w:basedOn w:val="DefaultParagraphFont"/>
    <w:uiPriority w:val="21"/>
    <w:qFormat/>
    <w:rsid w:val="00544A4A"/>
    <w:rPr>
      <w:i/>
      <w:iCs/>
      <w:color w:val="2F5496" w:themeColor="accent1" w:themeShade="BF"/>
    </w:rPr>
  </w:style>
  <w:style w:type="paragraph" w:styleId="IntenseQuote">
    <w:name w:val="Intense Quote"/>
    <w:basedOn w:val="Normal"/>
    <w:next w:val="Normal"/>
    <w:link w:val="IntenseQuoteChar"/>
    <w:uiPriority w:val="30"/>
    <w:qFormat/>
    <w:rsid w:val="00544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4A4A"/>
    <w:rPr>
      <w:i/>
      <w:iCs/>
      <w:color w:val="2F5496" w:themeColor="accent1" w:themeShade="BF"/>
    </w:rPr>
  </w:style>
  <w:style w:type="character" w:styleId="IntenseReference">
    <w:name w:val="Intense Reference"/>
    <w:basedOn w:val="DefaultParagraphFont"/>
    <w:uiPriority w:val="32"/>
    <w:qFormat/>
    <w:rsid w:val="00544A4A"/>
    <w:rPr>
      <w:b/>
      <w:bCs/>
      <w:smallCaps/>
      <w:color w:val="2F5496" w:themeColor="accent1" w:themeShade="BF"/>
      <w:spacing w:val="5"/>
    </w:rPr>
  </w:style>
  <w:style w:type="character" w:styleId="Emphasis">
    <w:name w:val="Emphasis"/>
    <w:basedOn w:val="DefaultParagraphFont"/>
    <w:uiPriority w:val="20"/>
    <w:qFormat/>
    <w:rsid w:val="00645E61"/>
    <w:rPr>
      <w:i/>
      <w:iCs/>
    </w:rPr>
  </w:style>
  <w:style w:type="character" w:styleId="Hyperlink">
    <w:name w:val="Hyperlink"/>
    <w:basedOn w:val="DefaultParagraphFont"/>
    <w:uiPriority w:val="99"/>
    <w:unhideWhenUsed/>
    <w:rsid w:val="00645E61"/>
    <w:rPr>
      <w:color w:val="0000FF"/>
      <w:u w:val="single"/>
    </w:rPr>
  </w:style>
  <w:style w:type="character" w:styleId="Strong">
    <w:name w:val="Strong"/>
    <w:basedOn w:val="DefaultParagraphFont"/>
    <w:uiPriority w:val="22"/>
    <w:qFormat/>
    <w:rsid w:val="0017464E"/>
    <w:rPr>
      <w:b/>
      <w:bCs/>
    </w:rPr>
  </w:style>
  <w:style w:type="character" w:styleId="UnresolvedMention">
    <w:name w:val="Unresolved Mention"/>
    <w:basedOn w:val="DefaultParagraphFont"/>
    <w:uiPriority w:val="99"/>
    <w:semiHidden/>
    <w:unhideWhenUsed/>
    <w:rsid w:val="002B0346"/>
    <w:rPr>
      <w:color w:val="605E5C"/>
      <w:shd w:val="clear" w:color="auto" w:fill="E1DFDD"/>
    </w:rPr>
  </w:style>
  <w:style w:type="table" w:styleId="TableGrid">
    <w:name w:val="Table Grid"/>
    <w:basedOn w:val="TableNormal"/>
    <w:uiPriority w:val="39"/>
    <w:rsid w:val="0016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39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802">
      <w:bodyDiv w:val="1"/>
      <w:marLeft w:val="0"/>
      <w:marRight w:val="0"/>
      <w:marTop w:val="0"/>
      <w:marBottom w:val="0"/>
      <w:divBdr>
        <w:top w:val="none" w:sz="0" w:space="0" w:color="auto"/>
        <w:left w:val="none" w:sz="0" w:space="0" w:color="auto"/>
        <w:bottom w:val="none" w:sz="0" w:space="0" w:color="auto"/>
        <w:right w:val="none" w:sz="0" w:space="0" w:color="auto"/>
      </w:divBdr>
    </w:div>
    <w:div w:id="28339088">
      <w:bodyDiv w:val="1"/>
      <w:marLeft w:val="0"/>
      <w:marRight w:val="0"/>
      <w:marTop w:val="0"/>
      <w:marBottom w:val="0"/>
      <w:divBdr>
        <w:top w:val="none" w:sz="0" w:space="0" w:color="auto"/>
        <w:left w:val="none" w:sz="0" w:space="0" w:color="auto"/>
        <w:bottom w:val="none" w:sz="0" w:space="0" w:color="auto"/>
        <w:right w:val="none" w:sz="0" w:space="0" w:color="auto"/>
      </w:divBdr>
    </w:div>
    <w:div w:id="104230091">
      <w:bodyDiv w:val="1"/>
      <w:marLeft w:val="0"/>
      <w:marRight w:val="0"/>
      <w:marTop w:val="0"/>
      <w:marBottom w:val="0"/>
      <w:divBdr>
        <w:top w:val="none" w:sz="0" w:space="0" w:color="auto"/>
        <w:left w:val="none" w:sz="0" w:space="0" w:color="auto"/>
        <w:bottom w:val="none" w:sz="0" w:space="0" w:color="auto"/>
        <w:right w:val="none" w:sz="0" w:space="0" w:color="auto"/>
      </w:divBdr>
    </w:div>
    <w:div w:id="200292229">
      <w:bodyDiv w:val="1"/>
      <w:marLeft w:val="0"/>
      <w:marRight w:val="0"/>
      <w:marTop w:val="0"/>
      <w:marBottom w:val="0"/>
      <w:divBdr>
        <w:top w:val="none" w:sz="0" w:space="0" w:color="auto"/>
        <w:left w:val="none" w:sz="0" w:space="0" w:color="auto"/>
        <w:bottom w:val="none" w:sz="0" w:space="0" w:color="auto"/>
        <w:right w:val="none" w:sz="0" w:space="0" w:color="auto"/>
      </w:divBdr>
    </w:div>
    <w:div w:id="201483104">
      <w:bodyDiv w:val="1"/>
      <w:marLeft w:val="0"/>
      <w:marRight w:val="0"/>
      <w:marTop w:val="0"/>
      <w:marBottom w:val="0"/>
      <w:divBdr>
        <w:top w:val="none" w:sz="0" w:space="0" w:color="auto"/>
        <w:left w:val="none" w:sz="0" w:space="0" w:color="auto"/>
        <w:bottom w:val="none" w:sz="0" w:space="0" w:color="auto"/>
        <w:right w:val="none" w:sz="0" w:space="0" w:color="auto"/>
      </w:divBdr>
    </w:div>
    <w:div w:id="231622013">
      <w:bodyDiv w:val="1"/>
      <w:marLeft w:val="0"/>
      <w:marRight w:val="0"/>
      <w:marTop w:val="0"/>
      <w:marBottom w:val="0"/>
      <w:divBdr>
        <w:top w:val="none" w:sz="0" w:space="0" w:color="auto"/>
        <w:left w:val="none" w:sz="0" w:space="0" w:color="auto"/>
        <w:bottom w:val="none" w:sz="0" w:space="0" w:color="auto"/>
        <w:right w:val="none" w:sz="0" w:space="0" w:color="auto"/>
      </w:divBdr>
    </w:div>
    <w:div w:id="315452195">
      <w:bodyDiv w:val="1"/>
      <w:marLeft w:val="0"/>
      <w:marRight w:val="0"/>
      <w:marTop w:val="0"/>
      <w:marBottom w:val="0"/>
      <w:divBdr>
        <w:top w:val="none" w:sz="0" w:space="0" w:color="auto"/>
        <w:left w:val="none" w:sz="0" w:space="0" w:color="auto"/>
        <w:bottom w:val="none" w:sz="0" w:space="0" w:color="auto"/>
        <w:right w:val="none" w:sz="0" w:space="0" w:color="auto"/>
      </w:divBdr>
    </w:div>
    <w:div w:id="342245951">
      <w:bodyDiv w:val="1"/>
      <w:marLeft w:val="0"/>
      <w:marRight w:val="0"/>
      <w:marTop w:val="0"/>
      <w:marBottom w:val="0"/>
      <w:divBdr>
        <w:top w:val="none" w:sz="0" w:space="0" w:color="auto"/>
        <w:left w:val="none" w:sz="0" w:space="0" w:color="auto"/>
        <w:bottom w:val="none" w:sz="0" w:space="0" w:color="auto"/>
        <w:right w:val="none" w:sz="0" w:space="0" w:color="auto"/>
      </w:divBdr>
    </w:div>
    <w:div w:id="355278345">
      <w:bodyDiv w:val="1"/>
      <w:marLeft w:val="0"/>
      <w:marRight w:val="0"/>
      <w:marTop w:val="0"/>
      <w:marBottom w:val="0"/>
      <w:divBdr>
        <w:top w:val="none" w:sz="0" w:space="0" w:color="auto"/>
        <w:left w:val="none" w:sz="0" w:space="0" w:color="auto"/>
        <w:bottom w:val="none" w:sz="0" w:space="0" w:color="auto"/>
        <w:right w:val="none" w:sz="0" w:space="0" w:color="auto"/>
      </w:divBdr>
    </w:div>
    <w:div w:id="407970025">
      <w:bodyDiv w:val="1"/>
      <w:marLeft w:val="0"/>
      <w:marRight w:val="0"/>
      <w:marTop w:val="0"/>
      <w:marBottom w:val="0"/>
      <w:divBdr>
        <w:top w:val="none" w:sz="0" w:space="0" w:color="auto"/>
        <w:left w:val="none" w:sz="0" w:space="0" w:color="auto"/>
        <w:bottom w:val="none" w:sz="0" w:space="0" w:color="auto"/>
        <w:right w:val="none" w:sz="0" w:space="0" w:color="auto"/>
      </w:divBdr>
    </w:div>
    <w:div w:id="693578102">
      <w:bodyDiv w:val="1"/>
      <w:marLeft w:val="0"/>
      <w:marRight w:val="0"/>
      <w:marTop w:val="0"/>
      <w:marBottom w:val="0"/>
      <w:divBdr>
        <w:top w:val="none" w:sz="0" w:space="0" w:color="auto"/>
        <w:left w:val="none" w:sz="0" w:space="0" w:color="auto"/>
        <w:bottom w:val="none" w:sz="0" w:space="0" w:color="auto"/>
        <w:right w:val="none" w:sz="0" w:space="0" w:color="auto"/>
      </w:divBdr>
    </w:div>
    <w:div w:id="810637135">
      <w:bodyDiv w:val="1"/>
      <w:marLeft w:val="0"/>
      <w:marRight w:val="0"/>
      <w:marTop w:val="0"/>
      <w:marBottom w:val="0"/>
      <w:divBdr>
        <w:top w:val="none" w:sz="0" w:space="0" w:color="auto"/>
        <w:left w:val="none" w:sz="0" w:space="0" w:color="auto"/>
        <w:bottom w:val="none" w:sz="0" w:space="0" w:color="auto"/>
        <w:right w:val="none" w:sz="0" w:space="0" w:color="auto"/>
      </w:divBdr>
    </w:div>
    <w:div w:id="878276095">
      <w:bodyDiv w:val="1"/>
      <w:marLeft w:val="0"/>
      <w:marRight w:val="0"/>
      <w:marTop w:val="0"/>
      <w:marBottom w:val="0"/>
      <w:divBdr>
        <w:top w:val="none" w:sz="0" w:space="0" w:color="auto"/>
        <w:left w:val="none" w:sz="0" w:space="0" w:color="auto"/>
        <w:bottom w:val="none" w:sz="0" w:space="0" w:color="auto"/>
        <w:right w:val="none" w:sz="0" w:space="0" w:color="auto"/>
      </w:divBdr>
    </w:div>
    <w:div w:id="973485865">
      <w:bodyDiv w:val="1"/>
      <w:marLeft w:val="0"/>
      <w:marRight w:val="0"/>
      <w:marTop w:val="0"/>
      <w:marBottom w:val="0"/>
      <w:divBdr>
        <w:top w:val="none" w:sz="0" w:space="0" w:color="auto"/>
        <w:left w:val="none" w:sz="0" w:space="0" w:color="auto"/>
        <w:bottom w:val="none" w:sz="0" w:space="0" w:color="auto"/>
        <w:right w:val="none" w:sz="0" w:space="0" w:color="auto"/>
      </w:divBdr>
    </w:div>
    <w:div w:id="982659128">
      <w:bodyDiv w:val="1"/>
      <w:marLeft w:val="0"/>
      <w:marRight w:val="0"/>
      <w:marTop w:val="0"/>
      <w:marBottom w:val="0"/>
      <w:divBdr>
        <w:top w:val="none" w:sz="0" w:space="0" w:color="auto"/>
        <w:left w:val="none" w:sz="0" w:space="0" w:color="auto"/>
        <w:bottom w:val="none" w:sz="0" w:space="0" w:color="auto"/>
        <w:right w:val="none" w:sz="0" w:space="0" w:color="auto"/>
      </w:divBdr>
      <w:divsChild>
        <w:div w:id="996106358">
          <w:marLeft w:val="0"/>
          <w:marRight w:val="0"/>
          <w:marTop w:val="0"/>
          <w:marBottom w:val="0"/>
          <w:divBdr>
            <w:top w:val="none" w:sz="0" w:space="0" w:color="auto"/>
            <w:left w:val="none" w:sz="0" w:space="0" w:color="auto"/>
            <w:bottom w:val="none" w:sz="0" w:space="0" w:color="auto"/>
            <w:right w:val="none" w:sz="0" w:space="0" w:color="auto"/>
          </w:divBdr>
          <w:divsChild>
            <w:div w:id="482502384">
              <w:marLeft w:val="0"/>
              <w:marRight w:val="0"/>
              <w:marTop w:val="0"/>
              <w:marBottom w:val="0"/>
              <w:divBdr>
                <w:top w:val="none" w:sz="0" w:space="0" w:color="auto"/>
                <w:left w:val="none" w:sz="0" w:space="0" w:color="auto"/>
                <w:bottom w:val="none" w:sz="0" w:space="0" w:color="auto"/>
                <w:right w:val="none" w:sz="0" w:space="0" w:color="auto"/>
              </w:divBdr>
              <w:divsChild>
                <w:div w:id="1956323878">
                  <w:marLeft w:val="0"/>
                  <w:marRight w:val="0"/>
                  <w:marTop w:val="0"/>
                  <w:marBottom w:val="0"/>
                  <w:divBdr>
                    <w:top w:val="none" w:sz="0" w:space="0" w:color="auto"/>
                    <w:left w:val="none" w:sz="0" w:space="0" w:color="auto"/>
                    <w:bottom w:val="none" w:sz="0" w:space="0" w:color="auto"/>
                    <w:right w:val="none" w:sz="0" w:space="0" w:color="auto"/>
                  </w:divBdr>
                  <w:divsChild>
                    <w:div w:id="1286816268">
                      <w:marLeft w:val="0"/>
                      <w:marRight w:val="0"/>
                      <w:marTop w:val="0"/>
                      <w:marBottom w:val="0"/>
                      <w:divBdr>
                        <w:top w:val="none" w:sz="0" w:space="0" w:color="auto"/>
                        <w:left w:val="none" w:sz="0" w:space="0" w:color="auto"/>
                        <w:bottom w:val="none" w:sz="0" w:space="0" w:color="auto"/>
                        <w:right w:val="none" w:sz="0" w:space="0" w:color="auto"/>
                      </w:divBdr>
                      <w:divsChild>
                        <w:div w:id="653878534">
                          <w:marLeft w:val="0"/>
                          <w:marRight w:val="0"/>
                          <w:marTop w:val="0"/>
                          <w:marBottom w:val="0"/>
                          <w:divBdr>
                            <w:top w:val="none" w:sz="0" w:space="0" w:color="auto"/>
                            <w:left w:val="none" w:sz="0" w:space="0" w:color="auto"/>
                            <w:bottom w:val="none" w:sz="0" w:space="0" w:color="auto"/>
                            <w:right w:val="none" w:sz="0" w:space="0" w:color="auto"/>
                          </w:divBdr>
                          <w:divsChild>
                            <w:div w:id="1888831354">
                              <w:marLeft w:val="0"/>
                              <w:marRight w:val="0"/>
                              <w:marTop w:val="0"/>
                              <w:marBottom w:val="0"/>
                              <w:divBdr>
                                <w:top w:val="none" w:sz="0" w:space="0" w:color="auto"/>
                                <w:left w:val="none" w:sz="0" w:space="0" w:color="auto"/>
                                <w:bottom w:val="none" w:sz="0" w:space="0" w:color="auto"/>
                                <w:right w:val="none" w:sz="0" w:space="0" w:color="auto"/>
                              </w:divBdr>
                              <w:divsChild>
                                <w:div w:id="1124466731">
                                  <w:marLeft w:val="0"/>
                                  <w:marRight w:val="0"/>
                                  <w:marTop w:val="0"/>
                                  <w:marBottom w:val="0"/>
                                  <w:divBdr>
                                    <w:top w:val="none" w:sz="0" w:space="0" w:color="auto"/>
                                    <w:left w:val="none" w:sz="0" w:space="0" w:color="auto"/>
                                    <w:bottom w:val="none" w:sz="0" w:space="0" w:color="auto"/>
                                    <w:right w:val="none" w:sz="0" w:space="0" w:color="auto"/>
                                  </w:divBdr>
                                  <w:divsChild>
                                    <w:div w:id="790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27936">
      <w:bodyDiv w:val="1"/>
      <w:marLeft w:val="0"/>
      <w:marRight w:val="0"/>
      <w:marTop w:val="0"/>
      <w:marBottom w:val="0"/>
      <w:divBdr>
        <w:top w:val="none" w:sz="0" w:space="0" w:color="auto"/>
        <w:left w:val="none" w:sz="0" w:space="0" w:color="auto"/>
        <w:bottom w:val="none" w:sz="0" w:space="0" w:color="auto"/>
        <w:right w:val="none" w:sz="0" w:space="0" w:color="auto"/>
      </w:divBdr>
    </w:div>
    <w:div w:id="1087849799">
      <w:bodyDiv w:val="1"/>
      <w:marLeft w:val="0"/>
      <w:marRight w:val="0"/>
      <w:marTop w:val="0"/>
      <w:marBottom w:val="0"/>
      <w:divBdr>
        <w:top w:val="none" w:sz="0" w:space="0" w:color="auto"/>
        <w:left w:val="none" w:sz="0" w:space="0" w:color="auto"/>
        <w:bottom w:val="none" w:sz="0" w:space="0" w:color="auto"/>
        <w:right w:val="none" w:sz="0" w:space="0" w:color="auto"/>
      </w:divBdr>
    </w:div>
    <w:div w:id="1627195274">
      <w:bodyDiv w:val="1"/>
      <w:marLeft w:val="0"/>
      <w:marRight w:val="0"/>
      <w:marTop w:val="0"/>
      <w:marBottom w:val="0"/>
      <w:divBdr>
        <w:top w:val="none" w:sz="0" w:space="0" w:color="auto"/>
        <w:left w:val="none" w:sz="0" w:space="0" w:color="auto"/>
        <w:bottom w:val="none" w:sz="0" w:space="0" w:color="auto"/>
        <w:right w:val="none" w:sz="0" w:space="0" w:color="auto"/>
      </w:divBdr>
    </w:div>
    <w:div w:id="1641685821">
      <w:bodyDiv w:val="1"/>
      <w:marLeft w:val="0"/>
      <w:marRight w:val="0"/>
      <w:marTop w:val="0"/>
      <w:marBottom w:val="0"/>
      <w:divBdr>
        <w:top w:val="none" w:sz="0" w:space="0" w:color="auto"/>
        <w:left w:val="none" w:sz="0" w:space="0" w:color="auto"/>
        <w:bottom w:val="none" w:sz="0" w:space="0" w:color="auto"/>
        <w:right w:val="none" w:sz="0" w:space="0" w:color="auto"/>
      </w:divBdr>
    </w:div>
    <w:div w:id="1666199681">
      <w:bodyDiv w:val="1"/>
      <w:marLeft w:val="0"/>
      <w:marRight w:val="0"/>
      <w:marTop w:val="0"/>
      <w:marBottom w:val="0"/>
      <w:divBdr>
        <w:top w:val="none" w:sz="0" w:space="0" w:color="auto"/>
        <w:left w:val="none" w:sz="0" w:space="0" w:color="auto"/>
        <w:bottom w:val="none" w:sz="0" w:space="0" w:color="auto"/>
        <w:right w:val="none" w:sz="0" w:space="0" w:color="auto"/>
      </w:divBdr>
    </w:div>
    <w:div w:id="1921407866">
      <w:bodyDiv w:val="1"/>
      <w:marLeft w:val="0"/>
      <w:marRight w:val="0"/>
      <w:marTop w:val="0"/>
      <w:marBottom w:val="0"/>
      <w:divBdr>
        <w:top w:val="none" w:sz="0" w:space="0" w:color="auto"/>
        <w:left w:val="none" w:sz="0" w:space="0" w:color="auto"/>
        <w:bottom w:val="none" w:sz="0" w:space="0" w:color="auto"/>
        <w:right w:val="none" w:sz="0" w:space="0" w:color="auto"/>
      </w:divBdr>
    </w:div>
    <w:div w:id="2036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2286348" TargetMode="External"/><Relationship Id="rId18" Type="http://schemas.openxmlformats.org/officeDocument/2006/relationships/hyperlink" Target="https://www.undp.org/" TargetMode="External"/><Relationship Id="rId26" Type="http://schemas.openxmlformats.org/officeDocument/2006/relationships/hyperlink" Target="https://english.news.cn/africa/20250501/4a92f50c8d2443a197e7cacac43c6e2a/c.html" TargetMode="External"/><Relationship Id="rId3" Type="http://schemas.openxmlformats.org/officeDocument/2006/relationships/settings" Target="settings.xml"/><Relationship Id="rId21" Type="http://schemas.openxmlformats.org/officeDocument/2006/relationships/hyperlink" Target="https://greencentralbanking.com/2025/04/09/kenya-launches-green-finance-tools-to-promote-sustainable-economy/" TargetMode="External"/><Relationship Id="rId34" Type="http://schemas.openxmlformats.org/officeDocument/2006/relationships/fontTable" Target="fontTable.xml"/><Relationship Id="rId7" Type="http://schemas.openxmlformats.org/officeDocument/2006/relationships/hyperlink" Target="https://geospatial.uonbi.ac.ke/sites/geospatial.uonbi.ac.ke/files/2021-03/Abstract_1.pdf" TargetMode="External"/><Relationship Id="rId12" Type="http://schemas.openxmlformats.org/officeDocument/2006/relationships/hyperlink" Target="https://doi.org/10.2307/2938278" TargetMode="External"/><Relationship Id="rId17" Type="http://schemas.openxmlformats.org/officeDocument/2006/relationships/hyperlink" Target="https://climatepromise.undp.org/state-of-climate-ambition" TargetMode="External"/><Relationship Id="rId25" Type="http://schemas.openxmlformats.org/officeDocument/2006/relationships/hyperlink" Target="https://unfccc.int/sites/default/files/2025-05/KENYAS%20SECOND%20NATIONALLY%20DETERMINED%20CONTRIBUTION%202031_2035.pdf" TargetMode="External"/><Relationship Id="rId33" Type="http://schemas.openxmlformats.org/officeDocument/2006/relationships/hyperlink" Target="https://www.germanwatch.org/en/" TargetMode="External"/><Relationship Id="rId2" Type="http://schemas.openxmlformats.org/officeDocument/2006/relationships/styles" Target="styles.xml"/><Relationship Id="rId16" Type="http://schemas.openxmlformats.org/officeDocument/2006/relationships/hyperlink" Target="https://climatepromise.undp.org/sites/default/files/research_report_document/State%20of%20Climate%20Ambition.pdf" TargetMode="External"/><Relationship Id="rId20" Type="http://schemas.openxmlformats.org/officeDocument/2006/relationships/hyperlink" Target="https://www.linkedin.com/pulse/kenya-2025-beyond-strategic-investment-emerging-business-santosh-g-koiqc/" TargetMode="External"/><Relationship Id="rId29" Type="http://schemas.openxmlformats.org/officeDocument/2006/relationships/hyperlink" Target="https://blog.alliedoffsets.com/kenya-financing-development-through-carbon-markets" TargetMode="External"/><Relationship Id="rId1" Type="http://schemas.openxmlformats.org/officeDocument/2006/relationships/numbering" Target="numbering.xml"/><Relationship Id="rId6" Type="http://schemas.openxmlformats.org/officeDocument/2006/relationships/hyperlink" Target="https://doi.org/10.7176/JETP/14-3-03" TargetMode="External"/><Relationship Id="rId11" Type="http://schemas.openxmlformats.org/officeDocument/2006/relationships/hyperlink" Target="https://doi.org/10.1017/S0266466600009065" TargetMode="External"/><Relationship Id="rId24" Type="http://schemas.openxmlformats.org/officeDocument/2006/relationships/hyperlink" Target="https://sgb.ac.ke/41429-2/" TargetMode="External"/><Relationship Id="rId32" Type="http://schemas.openxmlformats.org/officeDocument/2006/relationships/hyperlink" Target="https://serc.strathmore.edu/kenyas-practical-steps-to-net-zero-carbon-emissions-take-shape/" TargetMode="External"/><Relationship Id="rId5" Type="http://schemas.openxmlformats.org/officeDocument/2006/relationships/hyperlink" Target="mailto:powelmurunga@gmail.com" TargetMode="External"/><Relationship Id="rId15" Type="http://schemas.openxmlformats.org/officeDocument/2006/relationships/hyperlink" Target="https://doi.org/10.1093/biomet/75.2.335" TargetMode="External"/><Relationship Id="rId23" Type="http://schemas.openxmlformats.org/officeDocument/2006/relationships/hyperlink" Target="https://www.linkedin.com/pulse/kenya-2025-beyond-strategic-investment-emerging-business-santosh-g-koiqc/" TargetMode="External"/><Relationship Id="rId28" Type="http://schemas.openxmlformats.org/officeDocument/2006/relationships/hyperlink" Target="https://climateactiontracker.org/countries/kenya/policies-action/" TargetMode="External"/><Relationship Id="rId10" Type="http://schemas.openxmlformats.org/officeDocument/2006/relationships/hyperlink" Target="https://doi.org/10.1017/CCOL521633230.011" TargetMode="External"/><Relationship Id="rId19" Type="http://schemas.openxmlformats.org/officeDocument/2006/relationships/hyperlink" Target="https://www.oecd.org/" TargetMode="External"/><Relationship Id="rId31" Type="http://schemas.openxmlformats.org/officeDocument/2006/relationships/hyperlink" Target="https://vellum.co.ke/kenyas-climate-commitment-a-look-at-the-second-nationally-determined-contribution/" TargetMode="External"/><Relationship Id="rId4" Type="http://schemas.openxmlformats.org/officeDocument/2006/relationships/webSettings" Target="webSettings.xml"/><Relationship Id="rId9" Type="http://schemas.openxmlformats.org/officeDocument/2006/relationships/hyperlink" Target="https://doi.org/10.1080/00036846.2017.1366643" TargetMode="External"/><Relationship Id="rId14" Type="http://schemas.openxmlformats.org/officeDocument/2006/relationships/hyperlink" Target="https://doi.org/10.1016/j.econlet.2007.03.009" TargetMode="External"/><Relationship Id="rId22" Type="http://schemas.openxmlformats.org/officeDocument/2006/relationships/hyperlink" Target="https://www.aecfafrica.org/wp-content/uploads/2025/04/REACT-Kenya-MBG-Termsheeet.pdf" TargetMode="External"/><Relationship Id="rId27" Type="http://schemas.openxmlformats.org/officeDocument/2006/relationships/hyperlink" Target="https://www.iea.org/countries/kenya/emissions/" TargetMode="External"/><Relationship Id="rId30" Type="http://schemas.openxmlformats.org/officeDocument/2006/relationships/hyperlink" Target="https://climateactiontracker.org/countries/kenya/policies-action/" TargetMode="External"/><Relationship Id="rId35" Type="http://schemas.openxmlformats.org/officeDocument/2006/relationships/theme" Target="theme/theme1.xml"/><Relationship Id="rId8" Type="http://schemas.openxmlformats.org/officeDocument/2006/relationships/hyperlink" Target="https://www.pvknowhow.com/solar-report/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32</Pages>
  <Words>12419</Words>
  <Characters>70789</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 Murunga</dc:creator>
  <cp:keywords/>
  <dc:description/>
  <cp:lastModifiedBy>Powel Murunga</cp:lastModifiedBy>
  <cp:revision>97</cp:revision>
  <dcterms:created xsi:type="dcterms:W3CDTF">2025-06-12T07:46:00Z</dcterms:created>
  <dcterms:modified xsi:type="dcterms:W3CDTF">2025-06-13T08:04:00Z</dcterms:modified>
</cp:coreProperties>
</file>