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8CA3D" w14:textId="77777777" w:rsidR="00AD1FB1" w:rsidRPr="000C3D51" w:rsidRDefault="00AD1FB1" w:rsidP="004801FE">
      <w:pPr>
        <w:spacing w:after="160"/>
        <w:jc w:val="both"/>
        <w:rPr>
          <w:rFonts w:ascii="Times New Roman" w:eastAsia="Aptos" w:hAnsi="Times New Roman"/>
          <w:kern w:val="2"/>
          <w:sz w:val="24"/>
          <w:szCs w:val="24"/>
          <w:lang w:val="en-ZA"/>
          <w14:ligatures w14:val="standardContextual"/>
        </w:rPr>
      </w:pPr>
    </w:p>
    <w:p w14:paraId="60C38037" w14:textId="7A2AFEB3" w:rsidR="00AD1FB1" w:rsidRPr="00A53C6E" w:rsidRDefault="00AD1FB1" w:rsidP="004801FE">
      <w:pPr>
        <w:pStyle w:val="Heading1"/>
        <w:jc w:val="center"/>
        <w:rPr>
          <w:sz w:val="28"/>
          <w:szCs w:val="28"/>
        </w:rPr>
      </w:pPr>
      <w:bookmarkStart w:id="0" w:name="_Toc187315426"/>
      <w:r>
        <w:t xml:space="preserve"> </w:t>
      </w:r>
      <w:r w:rsidR="00A53C6E" w:rsidRPr="00A53C6E">
        <w:rPr>
          <w:sz w:val="28"/>
          <w:szCs w:val="28"/>
        </w:rPr>
        <w:t>D</w:t>
      </w:r>
      <w:r w:rsidRPr="00A53C6E">
        <w:rPr>
          <w:sz w:val="28"/>
          <w:szCs w:val="28"/>
        </w:rPr>
        <w:t>emand for natural disaster insurance In Zimbabwe</w:t>
      </w:r>
      <w:bookmarkEnd w:id="0"/>
      <w:r w:rsidRPr="00A53C6E">
        <w:rPr>
          <w:sz w:val="28"/>
          <w:szCs w:val="28"/>
        </w:rPr>
        <w:t xml:space="preserve"> and South Africa</w:t>
      </w:r>
      <w:r w:rsidR="00A53C6E" w:rsidRPr="00A53C6E">
        <w:rPr>
          <w:sz w:val="28"/>
          <w:szCs w:val="28"/>
        </w:rPr>
        <w:t xml:space="preserve">: A discrete choice experiment Approach </w:t>
      </w:r>
    </w:p>
    <w:p w14:paraId="471ABA23" w14:textId="77777777" w:rsidR="00AD1FB1" w:rsidRDefault="00AD1FB1" w:rsidP="004801FE"/>
    <w:p w14:paraId="6763A9BA" w14:textId="77777777" w:rsidR="00AD1FB1" w:rsidRPr="00942129" w:rsidRDefault="00AD1FB1" w:rsidP="004801FE"/>
    <w:p w14:paraId="75733CAD" w14:textId="3DD40F3E" w:rsidR="00AD1FB1" w:rsidRPr="00942129" w:rsidRDefault="00AD1FB1" w:rsidP="004801FE">
      <w:pPr>
        <w:pStyle w:val="Heading2"/>
      </w:pPr>
      <w:bookmarkStart w:id="1" w:name="_Toc187315427"/>
      <w:r w:rsidRPr="00942129">
        <w:t xml:space="preserve">1 </w:t>
      </w:r>
      <w:r w:rsidR="00FD0E27">
        <w:t xml:space="preserve">. </w:t>
      </w:r>
      <w:r w:rsidRPr="00942129">
        <w:t>Introduction</w:t>
      </w:r>
      <w:bookmarkEnd w:id="1"/>
      <w:r w:rsidRPr="00942129">
        <w:t xml:space="preserve"> </w:t>
      </w:r>
    </w:p>
    <w:p w14:paraId="777C79FF" w14:textId="4792740B" w:rsidR="00484BE6" w:rsidRPr="00407E38" w:rsidRDefault="00484BE6"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The cost of natural disasters has been on the rise globally due to increase in the frequency of floods, earthquakes and cyclones in the past decade. </w:t>
      </w:r>
      <w:r w:rsidR="00BA567B" w:rsidRPr="00407E38">
        <w:rPr>
          <w:rFonts w:ascii="Times New Roman" w:hAnsi="Times New Roman"/>
          <w:sz w:val="24"/>
          <w:szCs w:val="24"/>
        </w:rPr>
        <w:t xml:space="preserve">The increase in frequency and intensity of natural disasters has been extensively analysed in climate literature (IPCC, 2021; UNDRR, 2020). Empirical studies </w:t>
      </w:r>
      <w:r w:rsidRPr="00407E38">
        <w:rPr>
          <w:rFonts w:ascii="Times New Roman" w:hAnsi="Times New Roman"/>
          <w:sz w:val="24"/>
          <w:szCs w:val="24"/>
        </w:rPr>
        <w:t xml:space="preserve">by </w:t>
      </w:r>
      <w:r w:rsidR="00BA567B" w:rsidRPr="00407E38">
        <w:rPr>
          <w:rFonts w:ascii="Times New Roman" w:hAnsi="Times New Roman"/>
          <w:sz w:val="24"/>
          <w:szCs w:val="24"/>
        </w:rPr>
        <w:t xml:space="preserve">Swiss Re Institute, </w:t>
      </w:r>
      <w:r w:rsidRPr="00407E38">
        <w:rPr>
          <w:rFonts w:ascii="Times New Roman" w:hAnsi="Times New Roman"/>
          <w:sz w:val="24"/>
          <w:szCs w:val="24"/>
        </w:rPr>
        <w:t>(</w:t>
      </w:r>
      <w:r w:rsidR="00BA567B" w:rsidRPr="00407E38">
        <w:rPr>
          <w:rFonts w:ascii="Times New Roman" w:hAnsi="Times New Roman"/>
          <w:sz w:val="24"/>
          <w:szCs w:val="24"/>
        </w:rPr>
        <w:t>2021</w:t>
      </w:r>
      <w:r w:rsidRPr="00407E38">
        <w:rPr>
          <w:rFonts w:ascii="Times New Roman" w:hAnsi="Times New Roman"/>
          <w:sz w:val="24"/>
          <w:szCs w:val="24"/>
        </w:rPr>
        <w:t>)</w:t>
      </w:r>
      <w:r w:rsidR="00BA567B" w:rsidRPr="00407E38">
        <w:rPr>
          <w:rFonts w:ascii="Times New Roman" w:hAnsi="Times New Roman"/>
          <w:sz w:val="24"/>
          <w:szCs w:val="24"/>
        </w:rPr>
        <w:t>; NOAA, 2</w:t>
      </w:r>
      <w:r w:rsidRPr="00407E38">
        <w:rPr>
          <w:rFonts w:ascii="Times New Roman" w:hAnsi="Times New Roman"/>
          <w:sz w:val="24"/>
          <w:szCs w:val="24"/>
        </w:rPr>
        <w:t>(</w:t>
      </w:r>
      <w:r w:rsidR="00BA567B" w:rsidRPr="00407E38">
        <w:rPr>
          <w:rFonts w:ascii="Times New Roman" w:hAnsi="Times New Roman"/>
          <w:sz w:val="24"/>
          <w:szCs w:val="24"/>
        </w:rPr>
        <w:t>022) demonstrate that global natural disaster costs have risen from an average of $25 billion annually in the 1980s to approximately $175 billion per year in the 2000s (adjusted for inflation).</w:t>
      </w:r>
      <w:r w:rsidR="002E22C5" w:rsidRPr="00407E38">
        <w:rPr>
          <w:rFonts w:ascii="Times New Roman" w:hAnsi="Times New Roman"/>
          <w:sz w:val="24"/>
          <w:szCs w:val="24"/>
          <w:lang w:val="en-ZA"/>
        </w:rPr>
        <w:t xml:space="preserve">  </w:t>
      </w:r>
      <w:r w:rsidRPr="00407E38">
        <w:rPr>
          <w:rFonts w:ascii="Times New Roman" w:hAnsi="Times New Roman"/>
          <w:sz w:val="24"/>
          <w:szCs w:val="24"/>
        </w:rPr>
        <w:t>The United Nations Office for Disaster Risk Reduction (UNDRR, 2015) and the World Bank (2020) document a paradigm shift from reactive disaster management toward proactive disaster risk reduction, with insurance emerging as a cornerstone of modern risk governance frameworks. This transition is further evidenced by the Sendai Framework's emphasis (2015-2030) on financial resilience mechanisms (UNISDR, 2015).</w:t>
      </w:r>
    </w:p>
    <w:p w14:paraId="5C4E4900" w14:textId="77777777" w:rsidR="00641CFF" w:rsidRPr="00407E38" w:rsidRDefault="00641CFF" w:rsidP="00407E38">
      <w:pPr>
        <w:spacing w:line="360" w:lineRule="auto"/>
        <w:jc w:val="both"/>
        <w:rPr>
          <w:rFonts w:ascii="Times New Roman" w:hAnsi="Times New Roman"/>
          <w:sz w:val="24"/>
          <w:szCs w:val="24"/>
        </w:rPr>
      </w:pPr>
    </w:p>
    <w:p w14:paraId="129B5BB6" w14:textId="77777777" w:rsidR="00641CFF" w:rsidRPr="00407E38" w:rsidRDefault="00641CFF" w:rsidP="00407E38">
      <w:pPr>
        <w:spacing w:line="360" w:lineRule="auto"/>
        <w:jc w:val="both"/>
        <w:rPr>
          <w:rFonts w:ascii="Times New Roman" w:hAnsi="Times New Roman"/>
          <w:sz w:val="24"/>
          <w:szCs w:val="24"/>
          <w:lang w:val="en-ZA"/>
        </w:rPr>
      </w:pPr>
      <w:r w:rsidRPr="00407E38">
        <w:rPr>
          <w:rFonts w:ascii="Times New Roman" w:hAnsi="Times New Roman"/>
          <w:sz w:val="24"/>
          <w:szCs w:val="24"/>
        </w:rPr>
        <w:t>This study draws on Protection Motivation Theory (Rogers, 1975) to capture how risk perception, trust, and cognitive biases influence preference for insurance products under disaster risk. Whilst other theories such as Prospect Theory (Tversky &amp; Kahneman, 1992) , Random Utility Theory (McFadden, 1974) and the concept of Charity Hazard (Buchanan, 1975; Michel-</w:t>
      </w:r>
      <w:proofErr w:type="spellStart"/>
      <w:r w:rsidRPr="00407E38">
        <w:rPr>
          <w:rFonts w:ascii="Times New Roman" w:hAnsi="Times New Roman"/>
          <w:sz w:val="24"/>
          <w:szCs w:val="24"/>
        </w:rPr>
        <w:t>Kerjan</w:t>
      </w:r>
      <w:proofErr w:type="spellEnd"/>
      <w:r w:rsidRPr="00407E38">
        <w:rPr>
          <w:rFonts w:ascii="Times New Roman" w:hAnsi="Times New Roman"/>
          <w:sz w:val="24"/>
          <w:szCs w:val="24"/>
        </w:rPr>
        <w:t xml:space="preserve"> &amp; </w:t>
      </w:r>
      <w:proofErr w:type="spellStart"/>
      <w:r w:rsidRPr="00407E38">
        <w:rPr>
          <w:rFonts w:ascii="Times New Roman" w:hAnsi="Times New Roman"/>
          <w:sz w:val="24"/>
          <w:szCs w:val="24"/>
        </w:rPr>
        <w:t>Kunreuther</w:t>
      </w:r>
      <w:proofErr w:type="spellEnd"/>
      <w:r w:rsidRPr="00407E38">
        <w:rPr>
          <w:rFonts w:ascii="Times New Roman" w:hAnsi="Times New Roman"/>
          <w:sz w:val="24"/>
          <w:szCs w:val="24"/>
        </w:rPr>
        <w:t>, 2011) further provide a basis for understanding heterogeneity in provider-related preferences, especially in contexts where government and non-governmental aid may alter perceived need for insurance.</w:t>
      </w:r>
    </w:p>
    <w:p w14:paraId="1663ED82" w14:textId="77777777" w:rsidR="00641CFF" w:rsidRPr="00407E38" w:rsidRDefault="00641CFF" w:rsidP="00407E38">
      <w:pPr>
        <w:spacing w:line="360" w:lineRule="auto"/>
        <w:jc w:val="both"/>
        <w:rPr>
          <w:rFonts w:ascii="Times New Roman" w:hAnsi="Times New Roman"/>
          <w:sz w:val="24"/>
          <w:szCs w:val="24"/>
          <w:lang w:val="en-ZA"/>
        </w:rPr>
      </w:pPr>
    </w:p>
    <w:p w14:paraId="4F210E4B" w14:textId="68B6B926" w:rsidR="00AD1FB1" w:rsidRPr="00407E38" w:rsidRDefault="00AD1FB1" w:rsidP="00407E38">
      <w:pPr>
        <w:spacing w:line="360" w:lineRule="auto"/>
        <w:jc w:val="both"/>
        <w:rPr>
          <w:rFonts w:ascii="Times New Roman" w:hAnsi="Times New Roman"/>
          <w:sz w:val="24"/>
          <w:szCs w:val="24"/>
          <w:lang w:val="en-ZA"/>
        </w:rPr>
      </w:pPr>
    </w:p>
    <w:p w14:paraId="52CFE2AC" w14:textId="67D241FB" w:rsidR="00551BDE" w:rsidRPr="00407E38" w:rsidRDefault="00551BDE" w:rsidP="00407E38">
      <w:pPr>
        <w:spacing w:line="360" w:lineRule="auto"/>
        <w:jc w:val="both"/>
        <w:rPr>
          <w:rFonts w:ascii="Times New Roman" w:hAnsi="Times New Roman"/>
          <w:sz w:val="24"/>
          <w:szCs w:val="24"/>
          <w:lang w:val="en-ZA"/>
        </w:rPr>
      </w:pPr>
      <w:r w:rsidRPr="00407E38">
        <w:rPr>
          <w:rFonts w:ascii="Times New Roman" w:hAnsi="Times New Roman"/>
          <w:sz w:val="24"/>
          <w:szCs w:val="24"/>
          <w:lang w:val="en-ZA"/>
        </w:rPr>
        <w:t xml:space="preserve"> </w:t>
      </w:r>
      <w:r w:rsidR="00641CFF" w:rsidRPr="00407E38">
        <w:rPr>
          <w:rFonts w:ascii="Times New Roman" w:hAnsi="Times New Roman"/>
          <w:sz w:val="24"/>
          <w:szCs w:val="24"/>
        </w:rPr>
        <w:t xml:space="preserve">The studies that have explored the demand for natural hazard insurance using choice experiments include </w:t>
      </w:r>
      <w:proofErr w:type="spellStart"/>
      <w:r w:rsidR="00641CFF" w:rsidRPr="00407E38">
        <w:rPr>
          <w:rFonts w:ascii="Times New Roman" w:hAnsi="Times New Roman"/>
          <w:sz w:val="24"/>
          <w:szCs w:val="24"/>
        </w:rPr>
        <w:t>Botzen</w:t>
      </w:r>
      <w:proofErr w:type="spellEnd"/>
      <w:r w:rsidR="00641CFF" w:rsidRPr="00407E38">
        <w:rPr>
          <w:rFonts w:ascii="Times New Roman" w:hAnsi="Times New Roman"/>
          <w:sz w:val="24"/>
          <w:szCs w:val="24"/>
        </w:rPr>
        <w:t xml:space="preserve"> and Van den Bergh (2012), Hudson et al. (2017), Reynaud et al. (2018), and Zhang et al. (2016), and they have identified the significance of attributes such as premium levels, coverage, payout timing, and provider type in determining the demand for insurance</w:t>
      </w:r>
      <w:r w:rsidRPr="00407E38">
        <w:rPr>
          <w:rFonts w:ascii="Times New Roman" w:hAnsi="Times New Roman"/>
          <w:sz w:val="24"/>
          <w:szCs w:val="24"/>
          <w:lang w:val="en-ZA"/>
        </w:rPr>
        <w:t xml:space="preserve">. It is important to note that this contributes towards optimal product design which </w:t>
      </w:r>
      <w:proofErr w:type="spellStart"/>
      <w:r w:rsidRPr="00407E38">
        <w:rPr>
          <w:rFonts w:ascii="Times New Roman" w:hAnsi="Times New Roman"/>
          <w:sz w:val="24"/>
          <w:szCs w:val="24"/>
          <w:lang w:val="en-ZA"/>
        </w:rPr>
        <w:t>inturn</w:t>
      </w:r>
      <w:proofErr w:type="spellEnd"/>
      <w:r w:rsidRPr="00407E38">
        <w:rPr>
          <w:rFonts w:ascii="Times New Roman" w:hAnsi="Times New Roman"/>
          <w:sz w:val="24"/>
          <w:szCs w:val="24"/>
          <w:lang w:val="en-ZA"/>
        </w:rPr>
        <w:t xml:space="preserve"> will increase in the demand for natural hazard insurance . The existing studies in literature have used contingency valuation approach in the demand for natural hazard </w:t>
      </w:r>
      <w:proofErr w:type="spellStart"/>
      <w:r w:rsidRPr="00407E38">
        <w:rPr>
          <w:rFonts w:ascii="Times New Roman" w:hAnsi="Times New Roman"/>
          <w:sz w:val="24"/>
          <w:szCs w:val="24"/>
          <w:lang w:val="en-ZA"/>
        </w:rPr>
        <w:t>insuracce</w:t>
      </w:r>
      <w:proofErr w:type="spellEnd"/>
      <w:r w:rsidRPr="00407E38">
        <w:rPr>
          <w:rFonts w:ascii="Times New Roman" w:hAnsi="Times New Roman"/>
          <w:sz w:val="24"/>
          <w:szCs w:val="24"/>
          <w:lang w:val="en-ZA"/>
        </w:rPr>
        <w:t xml:space="preserve"> </w:t>
      </w:r>
      <w:r w:rsidRPr="00407E38">
        <w:rPr>
          <w:rFonts w:ascii="Times New Roman" w:hAnsi="Times New Roman"/>
          <w:sz w:val="24"/>
          <w:szCs w:val="24"/>
          <w:lang w:val="en-ZA"/>
        </w:rPr>
        <w:lastRenderedPageBreak/>
        <w:t xml:space="preserve">in agriculture for instance </w:t>
      </w:r>
      <w:proofErr w:type="spellStart"/>
      <w:r w:rsidRPr="00407E38">
        <w:rPr>
          <w:rFonts w:ascii="Times New Roman" w:hAnsi="Times New Roman"/>
          <w:sz w:val="24"/>
          <w:szCs w:val="24"/>
          <w:lang w:val="en-ZA"/>
        </w:rPr>
        <w:t>Oduniyi</w:t>
      </w:r>
      <w:proofErr w:type="spellEnd"/>
      <w:r w:rsidRPr="00407E38">
        <w:rPr>
          <w:rFonts w:ascii="Times New Roman" w:hAnsi="Times New Roman"/>
          <w:sz w:val="24"/>
          <w:szCs w:val="24"/>
          <w:lang w:val="en-ZA"/>
        </w:rPr>
        <w:t xml:space="preserve"> , Antwi &amp; </w:t>
      </w:r>
      <w:proofErr w:type="spellStart"/>
      <w:r w:rsidRPr="00407E38">
        <w:rPr>
          <w:rFonts w:ascii="Times New Roman" w:hAnsi="Times New Roman"/>
          <w:sz w:val="24"/>
          <w:szCs w:val="24"/>
          <w:lang w:val="en-ZA"/>
        </w:rPr>
        <w:t>Tekana</w:t>
      </w:r>
      <w:proofErr w:type="spellEnd"/>
      <w:r w:rsidRPr="00407E38">
        <w:rPr>
          <w:rFonts w:ascii="Times New Roman" w:hAnsi="Times New Roman"/>
          <w:sz w:val="24"/>
          <w:szCs w:val="24"/>
          <w:lang w:val="en-ZA"/>
        </w:rPr>
        <w:t xml:space="preserve"> (2020) who found a 10% willingness to pay and a maximum of R600 premium. Whilst studies in Zimbabwe the </w:t>
      </w:r>
      <w:r w:rsidR="00AD1FB1" w:rsidRPr="00407E38">
        <w:rPr>
          <w:rFonts w:ascii="Times New Roman" w:hAnsi="Times New Roman"/>
          <w:sz w:val="24"/>
          <w:szCs w:val="24"/>
          <w:lang w:val="en-ZA"/>
        </w:rPr>
        <w:t xml:space="preserve">existing literature </w:t>
      </w:r>
      <w:r w:rsidR="00BA567B" w:rsidRPr="00407E38">
        <w:rPr>
          <w:rFonts w:ascii="Times New Roman" w:hAnsi="Times New Roman"/>
          <w:sz w:val="24"/>
          <w:szCs w:val="24"/>
          <w:lang w:val="en-ZA"/>
        </w:rPr>
        <w:t>on</w:t>
      </w:r>
      <w:r w:rsidR="00AD1FB1" w:rsidRPr="00407E38">
        <w:rPr>
          <w:rFonts w:ascii="Times New Roman" w:hAnsi="Times New Roman"/>
          <w:sz w:val="24"/>
          <w:szCs w:val="24"/>
          <w:lang w:val="en-ZA"/>
        </w:rPr>
        <w:t xml:space="preserve"> catastrophe insurance</w:t>
      </w:r>
      <w:r w:rsidR="00BA567B" w:rsidRPr="00407E38">
        <w:rPr>
          <w:rFonts w:ascii="Times New Roman" w:hAnsi="Times New Roman"/>
          <w:sz w:val="24"/>
          <w:szCs w:val="24"/>
          <w:lang w:val="en-ZA"/>
        </w:rPr>
        <w:t xml:space="preserve"> </w:t>
      </w:r>
      <w:r w:rsidR="00AD1FB1" w:rsidRPr="00407E38">
        <w:rPr>
          <w:rFonts w:ascii="Times New Roman" w:hAnsi="Times New Roman"/>
          <w:sz w:val="24"/>
          <w:szCs w:val="24"/>
          <w:lang w:val="en-ZA"/>
        </w:rPr>
        <w:t xml:space="preserve">which is dominated by agriculture insurance such as </w:t>
      </w:r>
      <w:proofErr w:type="spellStart"/>
      <w:r w:rsidR="00AD1FB1" w:rsidRPr="00407E38">
        <w:rPr>
          <w:rFonts w:ascii="Times New Roman" w:hAnsi="Times New Roman"/>
          <w:sz w:val="24"/>
          <w:szCs w:val="24"/>
          <w:lang w:val="en-ZA"/>
        </w:rPr>
        <w:t>Maireva</w:t>
      </w:r>
      <w:proofErr w:type="spellEnd"/>
      <w:r w:rsidR="00AD1FB1" w:rsidRPr="00407E38">
        <w:rPr>
          <w:rFonts w:ascii="Times New Roman" w:hAnsi="Times New Roman"/>
          <w:sz w:val="24"/>
          <w:szCs w:val="24"/>
          <w:lang w:val="en-ZA"/>
        </w:rPr>
        <w:t xml:space="preserve"> et al (2023), </w:t>
      </w:r>
      <w:proofErr w:type="spellStart"/>
      <w:r w:rsidR="00AD1FB1" w:rsidRPr="00407E38">
        <w:rPr>
          <w:rFonts w:ascii="Times New Roman" w:hAnsi="Times New Roman"/>
          <w:sz w:val="24"/>
          <w:szCs w:val="24"/>
          <w:lang w:val="en-ZA"/>
        </w:rPr>
        <w:t>Makaudze</w:t>
      </w:r>
      <w:proofErr w:type="spellEnd"/>
      <w:r w:rsidR="00AD1FB1" w:rsidRPr="00407E38">
        <w:rPr>
          <w:rFonts w:ascii="Times New Roman" w:hAnsi="Times New Roman"/>
          <w:sz w:val="24"/>
          <w:szCs w:val="24"/>
          <w:lang w:val="en-ZA"/>
        </w:rPr>
        <w:t xml:space="preserve"> et al (2010), Tsuma et al (2024), Runganga et al 2020 and </w:t>
      </w:r>
      <w:proofErr w:type="spellStart"/>
      <w:r w:rsidR="00AD1FB1" w:rsidRPr="00407E38">
        <w:rPr>
          <w:rFonts w:ascii="Times New Roman" w:hAnsi="Times New Roman"/>
          <w:sz w:val="24"/>
          <w:szCs w:val="24"/>
          <w:lang w:val="en-ZA"/>
        </w:rPr>
        <w:t>Mazviona</w:t>
      </w:r>
      <w:proofErr w:type="spellEnd"/>
      <w:r w:rsidR="00AD1FB1" w:rsidRPr="00407E38">
        <w:rPr>
          <w:rFonts w:ascii="Times New Roman" w:hAnsi="Times New Roman"/>
          <w:sz w:val="24"/>
          <w:szCs w:val="24"/>
          <w:lang w:val="en-ZA"/>
        </w:rPr>
        <w:t xml:space="preserve"> et al (2022) </w:t>
      </w:r>
      <w:r w:rsidR="00BA567B" w:rsidRPr="00407E38">
        <w:rPr>
          <w:rFonts w:ascii="Times New Roman" w:hAnsi="Times New Roman"/>
          <w:sz w:val="24"/>
          <w:szCs w:val="24"/>
          <w:lang w:val="en-ZA"/>
        </w:rPr>
        <w:t xml:space="preserve">. </w:t>
      </w:r>
    </w:p>
    <w:p w14:paraId="16A8DD87" w14:textId="77777777" w:rsidR="00641CFF" w:rsidRPr="00407E38" w:rsidRDefault="00641CFF" w:rsidP="00407E38">
      <w:pPr>
        <w:spacing w:line="360" w:lineRule="auto"/>
        <w:jc w:val="both"/>
        <w:rPr>
          <w:rFonts w:ascii="Times New Roman" w:hAnsi="Times New Roman"/>
          <w:sz w:val="24"/>
          <w:szCs w:val="24"/>
          <w:lang w:val="en-ZA"/>
        </w:rPr>
      </w:pPr>
    </w:p>
    <w:p w14:paraId="4F7B44C4" w14:textId="77777777" w:rsidR="00551BDE" w:rsidRPr="00407E38" w:rsidRDefault="00551BDE" w:rsidP="00407E38">
      <w:pPr>
        <w:spacing w:line="360" w:lineRule="auto"/>
        <w:jc w:val="both"/>
        <w:rPr>
          <w:rFonts w:ascii="Times New Roman" w:hAnsi="Times New Roman"/>
          <w:sz w:val="24"/>
          <w:szCs w:val="24"/>
          <w:lang w:val="en-ZA"/>
        </w:rPr>
      </w:pPr>
    </w:p>
    <w:p w14:paraId="304875FA" w14:textId="08D6301A" w:rsidR="00484BE6" w:rsidRPr="00407E38" w:rsidRDefault="00B85E34" w:rsidP="00407E38">
      <w:pPr>
        <w:spacing w:line="360" w:lineRule="auto"/>
        <w:jc w:val="both"/>
        <w:rPr>
          <w:rFonts w:ascii="Times New Roman" w:hAnsi="Times New Roman"/>
          <w:sz w:val="24"/>
          <w:szCs w:val="24"/>
          <w:lang w:val="en-ZA"/>
        </w:rPr>
      </w:pPr>
      <w:r w:rsidRPr="00407E38">
        <w:rPr>
          <w:rFonts w:ascii="Times New Roman" w:hAnsi="Times New Roman"/>
          <w:sz w:val="24"/>
          <w:szCs w:val="24"/>
        </w:rPr>
        <w:t>T</w:t>
      </w:r>
      <w:r w:rsidR="00551BDE" w:rsidRPr="00407E38">
        <w:rPr>
          <w:rFonts w:ascii="Times New Roman" w:hAnsi="Times New Roman"/>
          <w:sz w:val="24"/>
          <w:szCs w:val="24"/>
        </w:rPr>
        <w:t xml:space="preserve">herefore this </w:t>
      </w:r>
      <w:r w:rsidRPr="00407E38">
        <w:rPr>
          <w:rFonts w:ascii="Times New Roman" w:hAnsi="Times New Roman"/>
          <w:sz w:val="24"/>
          <w:szCs w:val="24"/>
        </w:rPr>
        <w:t>stu</w:t>
      </w:r>
      <w:r w:rsidR="00641CFF" w:rsidRPr="00407E38">
        <w:rPr>
          <w:rFonts w:ascii="Times New Roman" w:hAnsi="Times New Roman"/>
          <w:sz w:val="24"/>
          <w:szCs w:val="24"/>
        </w:rPr>
        <w:t xml:space="preserve">dy </w:t>
      </w:r>
      <w:r w:rsidR="00551BDE" w:rsidRPr="00407E38">
        <w:rPr>
          <w:rFonts w:ascii="Times New Roman" w:hAnsi="Times New Roman"/>
          <w:sz w:val="24"/>
          <w:szCs w:val="24"/>
        </w:rPr>
        <w:t xml:space="preserve"> builds on literature by </w:t>
      </w:r>
      <w:r w:rsidRPr="00407E38">
        <w:rPr>
          <w:rFonts w:ascii="Times New Roman" w:hAnsi="Times New Roman"/>
          <w:sz w:val="24"/>
          <w:szCs w:val="24"/>
        </w:rPr>
        <w:t xml:space="preserve"> </w:t>
      </w:r>
      <w:r w:rsidRPr="00407E38">
        <w:rPr>
          <w:rFonts w:ascii="Times New Roman" w:hAnsi="Times New Roman"/>
          <w:sz w:val="24"/>
          <w:szCs w:val="24"/>
        </w:rPr>
        <w:fldChar w:fldCharType="begin" w:fldLock="1"/>
      </w:r>
      <w:r w:rsidRPr="00407E38">
        <w:rPr>
          <w:rFonts w:ascii="Times New Roman" w:hAnsi="Times New Roman"/>
          <w:sz w:val="24"/>
          <w:szCs w:val="24"/>
        </w:rPr>
        <w:instrText xml:space="preserve">ADDIN CSL_CITATION {"citationItems":[{"id":"ITEM-1","itemData":{"DOI":"10.1007/s10018-017-0207-4","author":[{"dropping-particle":"","family":"Reynaud","given":"Arnaud","non-dropping-particle":"","parse-names":false,"suffix":""},{"dropping-particle":"","family":"Nguyen","given":"Manh-hung","non-dropping-particle":"","parse-names":false,"suffix":""}],"id":"ITEM-1","issued":{"date-parts":[["2018"]]},"page":"593-617","title":"Is there a demand for flood insurance in Vietnam ? Results from a choice experiment","type":"article-journal"},"uris":["http://www.mendeley.com/documents/?uuid=5d5ab5fd-75d4-4553-a7c3-07acf20d703d"]},{"id":"ITEM-2","itemData":{"DOI":"10.1017/S1355770X13000405","author":[{"dropping-particle":"","family":"Brouwer","given":"Roy","non-dropping-particle":"","parse-names":false,"suffix":""},{"dropping-particle":"","family":"Tinh","given":"Bui Duc","non-dropping-particle":"","parse-names":false,"suffix":""},{"dropping-particle":"","family":"Tuan","given":"Tran Huu","non-dropping-particle":"","parse-names":false,"suffix":""},{"dropping-particle":"","family":"Magnussen","given":"Kristin","non-dropping-particle":"","parse-names":false,"suffix":""},{"dropping-particle":"","family":"Navrud","given":"Ståle","non-dropping-particle":"","parse-names":false,"suffix":""}],"id":"ITEM-2","issued":{"date-parts":[["2014"]]},"page":"228-249","title":"Environment and Development Development Economics : Modeling demand for catastrophic </w:instrText>
      </w:r>
      <w:r w:rsidRPr="00407E38">
        <w:rPr>
          <w:rFonts w:ascii="Times New Roman" w:hAnsi="Times New Roman"/>
          <w:sz w:val="24"/>
          <w:szCs w:val="24"/>
        </w:rPr>
        <w:sym w:font="Times New Roman" w:char="F002"/>
      </w:r>
      <w:r w:rsidRPr="00407E38">
        <w:rPr>
          <w:rFonts w:ascii="Times New Roman" w:hAnsi="Times New Roman"/>
          <w:sz w:val="24"/>
          <w:szCs w:val="24"/>
        </w:rPr>
        <w:instrText xml:space="preserve"> ood risk insurance in coastal zones in Vietnam using Modeling demand for catastrophic flood risk insurance in coastal zones in Vietnam using","type":"article-journal"},"uris":["http://www.mendeley.com/documents/?uuid=0809961b-c743-48bd-85e8-88ad4e214b03"]}],"mendeley":{"formattedCitation":"(Brouwer et al., 2014a; Reynaud &amp; Nguyen, 2018)","manualFormatting":"Brouwer et al., (2014); Reynaud and Nguyen, (2018)","plainTextFormattedCitation":"(Brouwer et al., 2014a; Reynaud &amp; Nguyen, 2018)","previouslyFormattedCitation":"(Brouwer et al., 2014a; Reynaud &amp; Nguyen, 2018)"},"properties":{"noteIndex":0},"schema":"https://github.com/citation-style-language/schema/raw/master/csl-citation.json"}</w:instrText>
      </w:r>
      <w:r w:rsidRPr="00407E38">
        <w:rPr>
          <w:rFonts w:ascii="Times New Roman" w:hAnsi="Times New Roman"/>
          <w:sz w:val="24"/>
          <w:szCs w:val="24"/>
        </w:rPr>
        <w:fldChar w:fldCharType="separate"/>
      </w:r>
      <w:r w:rsidRPr="00407E38">
        <w:rPr>
          <w:rFonts w:ascii="Times New Roman" w:hAnsi="Times New Roman"/>
          <w:sz w:val="24"/>
          <w:szCs w:val="24"/>
        </w:rPr>
        <w:t>Brouwer et al., (2014); Reynaud and Nguyen, (2018)</w:t>
      </w:r>
      <w:r w:rsidRPr="00407E38">
        <w:rPr>
          <w:rFonts w:ascii="Times New Roman" w:hAnsi="Times New Roman"/>
          <w:sz w:val="24"/>
          <w:szCs w:val="24"/>
          <w:lang w:val="en-ZA"/>
        </w:rPr>
        <w:fldChar w:fldCharType="end"/>
      </w:r>
      <w:r w:rsidRPr="00407E38">
        <w:rPr>
          <w:rFonts w:ascii="Times New Roman" w:hAnsi="Times New Roman"/>
          <w:sz w:val="24"/>
          <w:szCs w:val="24"/>
        </w:rPr>
        <w:t xml:space="preserve"> who proposed an extensive model for analysing natural hazard insurance demand. Reynaud and Nguyen, (2018) model is extended to include monetary and nonmonetary factors </w:t>
      </w:r>
      <w:r w:rsidR="00484BE6" w:rsidRPr="00407E38">
        <w:rPr>
          <w:rFonts w:ascii="Times New Roman" w:hAnsi="Times New Roman"/>
          <w:sz w:val="24"/>
          <w:szCs w:val="24"/>
        </w:rPr>
        <w:t xml:space="preserve">on the </w:t>
      </w:r>
      <w:r w:rsidR="00551BDE" w:rsidRPr="00407E38">
        <w:rPr>
          <w:rFonts w:ascii="Times New Roman" w:hAnsi="Times New Roman"/>
          <w:sz w:val="24"/>
          <w:szCs w:val="24"/>
        </w:rPr>
        <w:t>attributes</w:t>
      </w:r>
      <w:r w:rsidR="00484BE6" w:rsidRPr="00407E38">
        <w:rPr>
          <w:rFonts w:ascii="Times New Roman" w:hAnsi="Times New Roman"/>
          <w:sz w:val="24"/>
          <w:szCs w:val="24"/>
        </w:rPr>
        <w:t xml:space="preserve"> of natural hazard insurance such as provider, type and transparency of the company. </w:t>
      </w:r>
    </w:p>
    <w:p w14:paraId="234D97B4" w14:textId="77777777" w:rsidR="00484BE6" w:rsidRPr="00407E38" w:rsidRDefault="00484BE6" w:rsidP="00407E38">
      <w:pPr>
        <w:spacing w:line="360" w:lineRule="auto"/>
        <w:jc w:val="both"/>
        <w:rPr>
          <w:rFonts w:ascii="Times New Roman" w:hAnsi="Times New Roman"/>
          <w:sz w:val="24"/>
          <w:szCs w:val="24"/>
        </w:rPr>
      </w:pPr>
    </w:p>
    <w:p w14:paraId="759C45F2" w14:textId="4FD546F1" w:rsidR="003A5946" w:rsidRPr="00407E38" w:rsidRDefault="00B85E34" w:rsidP="00407E38">
      <w:pPr>
        <w:spacing w:line="360" w:lineRule="auto"/>
        <w:jc w:val="both"/>
        <w:rPr>
          <w:rFonts w:ascii="Times New Roman" w:hAnsi="Times New Roman"/>
          <w:sz w:val="24"/>
          <w:szCs w:val="24"/>
          <w:lang w:val="en-ZA"/>
        </w:rPr>
      </w:pPr>
      <w:r w:rsidRPr="00407E38">
        <w:rPr>
          <w:rFonts w:ascii="Times New Roman" w:hAnsi="Times New Roman"/>
          <w:sz w:val="24"/>
          <w:szCs w:val="24"/>
        </w:rPr>
        <w:t>The study analyse</w:t>
      </w:r>
      <w:r w:rsidR="00484BE6" w:rsidRPr="00407E38">
        <w:rPr>
          <w:rFonts w:ascii="Times New Roman" w:hAnsi="Times New Roman"/>
          <w:sz w:val="24"/>
          <w:szCs w:val="24"/>
        </w:rPr>
        <w:t>s</w:t>
      </w:r>
      <w:r w:rsidRPr="00407E38">
        <w:rPr>
          <w:rFonts w:ascii="Times New Roman" w:hAnsi="Times New Roman"/>
          <w:sz w:val="24"/>
          <w:szCs w:val="24"/>
        </w:rPr>
        <w:t xml:space="preserve"> the natural hazard insurance policies by looking at the domain covered such as agriculture </w:t>
      </w:r>
      <w:r w:rsidR="00484BE6" w:rsidRPr="00407E38">
        <w:rPr>
          <w:rFonts w:ascii="Times New Roman" w:hAnsi="Times New Roman"/>
          <w:sz w:val="24"/>
          <w:szCs w:val="24"/>
        </w:rPr>
        <w:t>losses (Agriculture</w:t>
      </w:r>
      <w:r w:rsidRPr="00407E38">
        <w:rPr>
          <w:rFonts w:ascii="Times New Roman" w:hAnsi="Times New Roman"/>
          <w:sz w:val="24"/>
          <w:szCs w:val="24"/>
        </w:rPr>
        <w:t xml:space="preserve"> insurance), home damage (Property </w:t>
      </w:r>
      <w:r w:rsidR="00484BE6" w:rsidRPr="00407E38">
        <w:rPr>
          <w:rFonts w:ascii="Times New Roman" w:hAnsi="Times New Roman"/>
          <w:sz w:val="24"/>
          <w:szCs w:val="24"/>
        </w:rPr>
        <w:t>insurance)</w:t>
      </w:r>
      <w:r w:rsidRPr="00407E38">
        <w:rPr>
          <w:rFonts w:ascii="Times New Roman" w:hAnsi="Times New Roman"/>
          <w:sz w:val="24"/>
          <w:szCs w:val="24"/>
        </w:rPr>
        <w:t xml:space="preserve">, and medical expenditures </w:t>
      </w:r>
      <w:r w:rsidR="00484BE6" w:rsidRPr="00407E38">
        <w:rPr>
          <w:rFonts w:ascii="Times New Roman" w:hAnsi="Times New Roman"/>
          <w:sz w:val="24"/>
          <w:szCs w:val="24"/>
        </w:rPr>
        <w:t>(Health</w:t>
      </w:r>
      <w:r w:rsidRPr="00407E38">
        <w:rPr>
          <w:rFonts w:ascii="Times New Roman" w:hAnsi="Times New Roman"/>
          <w:sz w:val="24"/>
          <w:szCs w:val="24"/>
        </w:rPr>
        <w:t xml:space="preserve"> insurance), this helps to check on the differences in the willingness to pay (WTP) because of the domain covered. This approach has been recently adopted by </w:t>
      </w:r>
      <w:r w:rsidRPr="00407E38">
        <w:rPr>
          <w:rFonts w:ascii="Times New Roman" w:hAnsi="Times New Roman"/>
          <w:sz w:val="24"/>
          <w:szCs w:val="24"/>
        </w:rPr>
        <w:fldChar w:fldCharType="begin" w:fldLock="1"/>
      </w:r>
      <w:r w:rsidRPr="00407E38">
        <w:rPr>
          <w:rFonts w:ascii="Times New Roman" w:hAnsi="Times New Roman"/>
          <w:sz w:val="24"/>
          <w:szCs w:val="24"/>
        </w:rPr>
        <w:instrText xml:space="preserve">ADDIN CSL_CITATION {"citationItems":[{"id":"ITEM-1","itemData":{"DOI":"10.1007/s10018-017-0207-4","author":[{"dropping-particle":"","family":"Reynaud","given":"Arnaud","non-dropping-particle":"","parse-names":false,"suffix":""},{"dropping-particle":"","family":"Nguyen","given":"Manh-hung","non-dropping-particle":"","parse-names":false,"suffix":""}],"id":"ITEM-1","issued":{"date-parts":[["2018"]]},"page":"593-617","title":"Is there a demand for flood insurance in Vietnam ? Results from a choice experiment","type":"article-journal"},"uris":["http://www.mendeley.com/documents/?uuid=5d5ab5fd-75d4-4553-a7c3-07acf20d703d"]},{"id":"ITEM-2","itemData":{"DOI":"10.1017/S1355770X13000405","author":[{"dropping-particle":"","family":"Brouwer","given":"Roy","non-dropping-particle":"","parse-names":false,"suffix":""},{"dropping-particle":"","family":"Tinh","given":"Bui Duc","non-dropping-particle":"","parse-names":false,"suffix":""},{"dropping-particle":"","family":"Tuan","given":"Tran Huu","non-dropping-particle":"","parse-names":false,"suffix":""},{"dropping-particle":"","family":"Magnussen","given":"Kristin","non-dropping-particle":"","parse-names":false,"suffix":""},{"dropping-particle":"","family":"Navrud","given":"Ståle","non-dropping-particle":"","parse-names":false,"suffix":""}],"id":"ITEM-2","issued":{"date-parts":[["2014"]]},"page":"228-249","title":"Environment and Development Development Economics : Modeling demand for catastrophic </w:instrText>
      </w:r>
      <w:r w:rsidRPr="00407E38">
        <w:rPr>
          <w:rFonts w:ascii="Times New Roman" w:hAnsi="Times New Roman"/>
          <w:sz w:val="24"/>
          <w:szCs w:val="24"/>
        </w:rPr>
        <w:sym w:font="Times New Roman" w:char="F002"/>
      </w:r>
      <w:r w:rsidRPr="00407E38">
        <w:rPr>
          <w:rFonts w:ascii="Times New Roman" w:hAnsi="Times New Roman"/>
          <w:sz w:val="24"/>
          <w:szCs w:val="24"/>
        </w:rPr>
        <w:instrText xml:space="preserve"> ood risk insurance in coastal zones in Vietnam using Modeling demand for catastrophic flood risk insurance in coastal zones in Vietnam using","type":"article-journal"},"uris":["http://www.mendeley.com/documents/?uuid=0809961b-c743-48bd-85e8-88ad4e214b03"]}],"mendeley":{"formattedCitation":"(Brouwer et al., 2014a; Reynaud &amp; Nguyen, 2018)","manualFormatting":"Brouwer et al., (2014); Reynaud &amp; Nguyen, (2018)","plainTextFormattedCitation":"(Brouwer et al., 2014a; Reynaud &amp; Nguyen, 2018)","previouslyFormattedCitation":"(Brouwer et al., 2014a; Reynaud &amp; Nguyen, 2018)"},"properties":{"noteIndex":0},"schema":"https://github.com/citation-style-language/schema/raw/master/csl-citation.json"}</w:instrText>
      </w:r>
      <w:r w:rsidRPr="00407E38">
        <w:rPr>
          <w:rFonts w:ascii="Times New Roman" w:hAnsi="Times New Roman"/>
          <w:sz w:val="24"/>
          <w:szCs w:val="24"/>
        </w:rPr>
        <w:fldChar w:fldCharType="separate"/>
      </w:r>
      <w:r w:rsidRPr="00407E38">
        <w:rPr>
          <w:rFonts w:ascii="Times New Roman" w:hAnsi="Times New Roman"/>
          <w:sz w:val="24"/>
          <w:szCs w:val="24"/>
        </w:rPr>
        <w:t>Brouwer et al., (2014); Reynaud and Nguyen, (2018)</w:t>
      </w:r>
      <w:r w:rsidRPr="00407E38">
        <w:rPr>
          <w:rFonts w:ascii="Times New Roman" w:hAnsi="Times New Roman"/>
          <w:sz w:val="24"/>
          <w:szCs w:val="24"/>
          <w:lang w:val="en-ZA"/>
        </w:rPr>
        <w:fldChar w:fldCharType="end"/>
      </w:r>
      <w:r w:rsidRPr="00407E38">
        <w:rPr>
          <w:rFonts w:ascii="Times New Roman" w:hAnsi="Times New Roman"/>
          <w:sz w:val="24"/>
          <w:szCs w:val="24"/>
        </w:rPr>
        <w:t xml:space="preserve"> as a domain-specific analysis might help to remove the assumption of homogeneity of the insurance type. The study also </w:t>
      </w:r>
      <w:r w:rsidR="00484BE6" w:rsidRPr="00407E38">
        <w:rPr>
          <w:rFonts w:ascii="Times New Roman" w:hAnsi="Times New Roman"/>
          <w:sz w:val="24"/>
          <w:szCs w:val="24"/>
        </w:rPr>
        <w:t xml:space="preserve">considered </w:t>
      </w:r>
      <w:r w:rsidRPr="00407E38">
        <w:rPr>
          <w:rFonts w:ascii="Times New Roman" w:hAnsi="Times New Roman"/>
          <w:sz w:val="24"/>
          <w:szCs w:val="24"/>
        </w:rPr>
        <w:t xml:space="preserve">experience with three types of natural disasters which are floods, cyclones and tornados as in Chimanimani in Manicaland province (Zimbabwe) and Tongaat in KwaZulu Natal province </w:t>
      </w:r>
      <w:r w:rsidR="00484BE6" w:rsidRPr="00407E38">
        <w:rPr>
          <w:rFonts w:ascii="Times New Roman" w:hAnsi="Times New Roman"/>
          <w:sz w:val="24"/>
          <w:szCs w:val="24"/>
        </w:rPr>
        <w:t>(South</w:t>
      </w:r>
      <w:r w:rsidRPr="00407E38">
        <w:rPr>
          <w:rFonts w:ascii="Times New Roman" w:hAnsi="Times New Roman"/>
          <w:sz w:val="24"/>
          <w:szCs w:val="24"/>
        </w:rPr>
        <w:t xml:space="preserve"> Africa</w:t>
      </w:r>
      <w:r w:rsidR="00484BE6" w:rsidRPr="00407E38">
        <w:rPr>
          <w:rFonts w:ascii="Times New Roman" w:hAnsi="Times New Roman"/>
          <w:sz w:val="24"/>
          <w:szCs w:val="24"/>
        </w:rPr>
        <w:t>).</w:t>
      </w:r>
      <w:r w:rsidRPr="00407E38">
        <w:rPr>
          <w:rFonts w:ascii="Times New Roman" w:hAnsi="Times New Roman"/>
          <w:sz w:val="24"/>
          <w:szCs w:val="24"/>
        </w:rPr>
        <w:t xml:space="preserve">  </w:t>
      </w:r>
    </w:p>
    <w:p w14:paraId="7B9E69A4" w14:textId="2A906937" w:rsidR="003A5946" w:rsidRPr="00407E38" w:rsidRDefault="00FD0E27" w:rsidP="00407E38">
      <w:pPr>
        <w:pStyle w:val="Heading2"/>
        <w:spacing w:line="360" w:lineRule="auto"/>
        <w:rPr>
          <w:rFonts w:ascii="Times New Roman" w:hAnsi="Times New Roman" w:cs="Times New Roman"/>
        </w:rPr>
      </w:pPr>
      <w:r w:rsidRPr="00407E38">
        <w:rPr>
          <w:rFonts w:ascii="Times New Roman" w:hAnsi="Times New Roman" w:cs="Times New Roman"/>
        </w:rPr>
        <w:t>2. L</w:t>
      </w:r>
      <w:r w:rsidR="003A3D1F" w:rsidRPr="00407E38">
        <w:rPr>
          <w:rFonts w:ascii="Times New Roman" w:hAnsi="Times New Roman" w:cs="Times New Roman"/>
        </w:rPr>
        <w:t xml:space="preserve">iterature review </w:t>
      </w:r>
    </w:p>
    <w:p w14:paraId="4F4BEB0B" w14:textId="40CFF976" w:rsidR="00F751CB" w:rsidRPr="00407E38" w:rsidRDefault="00FD0E27" w:rsidP="00407E38">
      <w:pPr>
        <w:pStyle w:val="Heading3"/>
        <w:spacing w:line="360" w:lineRule="auto"/>
        <w:rPr>
          <w:rFonts w:ascii="Times New Roman" w:hAnsi="Times New Roman" w:cs="Times New Roman"/>
          <w:lang w:val="en-ZA"/>
        </w:rPr>
      </w:pPr>
      <w:r w:rsidRPr="00407E38">
        <w:rPr>
          <w:rFonts w:ascii="Times New Roman" w:hAnsi="Times New Roman" w:cs="Times New Roman"/>
          <w:lang w:val="en-ZA"/>
        </w:rPr>
        <w:t>2.1 Theoretical</w:t>
      </w:r>
      <w:r w:rsidR="00F751CB" w:rsidRPr="00407E38">
        <w:rPr>
          <w:rFonts w:ascii="Times New Roman" w:hAnsi="Times New Roman" w:cs="Times New Roman"/>
          <w:lang w:val="en-ZA"/>
        </w:rPr>
        <w:t xml:space="preserve"> literature review </w:t>
      </w:r>
    </w:p>
    <w:p w14:paraId="3918186B" w14:textId="3F75E28F" w:rsidR="00F751CB" w:rsidRPr="00407E38" w:rsidRDefault="00F751CB" w:rsidP="00407E38">
      <w:pPr>
        <w:spacing w:line="360" w:lineRule="auto"/>
        <w:jc w:val="both"/>
        <w:rPr>
          <w:rFonts w:ascii="Times New Roman" w:hAnsi="Times New Roman"/>
          <w:sz w:val="24"/>
          <w:szCs w:val="24"/>
        </w:rPr>
      </w:pPr>
      <w:bookmarkStart w:id="2" w:name="_Toc76123033"/>
      <w:bookmarkStart w:id="3" w:name="_Toc185166106"/>
      <w:r w:rsidRPr="00407E38">
        <w:rPr>
          <w:rFonts w:ascii="Times New Roman" w:hAnsi="Times New Roman"/>
          <w:sz w:val="24"/>
          <w:szCs w:val="24"/>
        </w:rPr>
        <w:t>Protection motivation theory (PMT)</w:t>
      </w:r>
      <w:bookmarkEnd w:id="2"/>
      <w:bookmarkEnd w:id="3"/>
    </w:p>
    <w:p w14:paraId="6C6D8594" w14:textId="77777777" w:rsidR="00F751CB" w:rsidRPr="00407E38" w:rsidRDefault="00F751CB" w:rsidP="00407E38">
      <w:pPr>
        <w:spacing w:line="360" w:lineRule="auto"/>
        <w:jc w:val="both"/>
        <w:rPr>
          <w:rFonts w:ascii="Times New Roman" w:hAnsi="Times New Roman"/>
          <w:sz w:val="24"/>
          <w:szCs w:val="24"/>
        </w:rPr>
      </w:pPr>
      <w:r w:rsidRPr="00407E38">
        <w:rPr>
          <w:rFonts w:ascii="Times New Roman" w:hAnsi="Times New Roman"/>
          <w:sz w:val="24"/>
          <w:szCs w:val="24"/>
        </w:rPr>
        <w:fldChar w:fldCharType="begin" w:fldLock="1"/>
      </w:r>
      <w:r w:rsidRPr="00407E38">
        <w:rPr>
          <w:rFonts w:ascii="Times New Roman" w:hAnsi="Times New Roman"/>
          <w:sz w:val="24"/>
          <w:szCs w:val="24"/>
        </w:rPr>
        <w:instrText>ADDIN CSL_CITATION {"citationItems":[{"id":"ITEM-1","itemData":{"author":[{"dropping-particle":"","family":"Maddux, E","given":"James","non-dropping-particle":"","parse-names":false,"suffix":""},{"dropping-particle":"","family":"Rogers , W","given":"Ronald","non-dropping-particle":"","parse-names":false,"suffix":""}],"id":"ITEM-1","issued":{"date-parts":[["1983"]]},"number-of-pages":"469-479","title":"Protection Motivation and Self-Efficacy : A Revised Theory of Fear Appeals and Attitude Change","type":"report","volume":"479"},"uris":["http://www.mendeley.com/documents/?uuid=ce3b369f-135c-4025-aadb-b5ec2e5f3d44","http://www.mendeley.com/documents/?uuid=2931523f-911c-4bc1-8353-8d856ebbf127"]}],"mendeley":{"formattedCitation":"(Maddux, E &amp; Rogers , W, 1983)","manualFormatting":"Maddux,  &amp; Rogers  (1983)","plainTextFormattedCitation":"(Maddux, E &amp; Rogers , W, 1983)","previouslyFormattedCitation":"(Maddux, E &amp; Rogers , W, 1983)"},"properties":{"noteIndex":0},"schema":"https://github.com/citation-style-language/schema/raw/master/csl-citation.json"}</w:instrText>
      </w:r>
      <w:r w:rsidRPr="00407E38">
        <w:rPr>
          <w:rFonts w:ascii="Times New Roman" w:hAnsi="Times New Roman"/>
          <w:sz w:val="24"/>
          <w:szCs w:val="24"/>
        </w:rPr>
        <w:fldChar w:fldCharType="separate"/>
      </w:r>
      <w:r w:rsidRPr="00407E38">
        <w:rPr>
          <w:rFonts w:ascii="Times New Roman" w:hAnsi="Times New Roman"/>
          <w:sz w:val="24"/>
          <w:szCs w:val="24"/>
        </w:rPr>
        <w:t>Maddux,  and Rogers  (1983)</w:t>
      </w:r>
      <w:r w:rsidRPr="00407E38">
        <w:rPr>
          <w:rFonts w:ascii="Times New Roman" w:hAnsi="Times New Roman"/>
          <w:sz w:val="24"/>
          <w:szCs w:val="24"/>
          <w:lang w:val="en-ZA"/>
        </w:rPr>
        <w:fldChar w:fldCharType="end"/>
      </w:r>
      <w:r w:rsidRPr="00407E38">
        <w:rPr>
          <w:rFonts w:ascii="Times New Roman" w:hAnsi="Times New Roman"/>
          <w:sz w:val="24"/>
          <w:szCs w:val="24"/>
        </w:rPr>
        <w:t xml:space="preserve"> are the pioneers of exploring the PMT theory and states that when dealing with issues of pandemics and natural disasters mitigation of adoption appeal information must be designed in order to have a cognitive appraisal effect.  The cognitive effect of threat appraisal of natural disasters can be achieved through the use of fear which , </w:t>
      </w:r>
      <w:r w:rsidRPr="00407E38">
        <w:rPr>
          <w:rFonts w:ascii="Times New Roman" w:hAnsi="Times New Roman"/>
          <w:sz w:val="24"/>
          <w:szCs w:val="24"/>
        </w:rPr>
        <w:fldChar w:fldCharType="begin" w:fldLock="1"/>
      </w:r>
      <w:r w:rsidRPr="00407E38">
        <w:rPr>
          <w:rFonts w:ascii="Times New Roman" w:hAnsi="Times New Roman"/>
          <w:sz w:val="24"/>
          <w:szCs w:val="24"/>
        </w:rPr>
        <w:instrText>ADDIN CSL_CITATION {"citationItems":[{"id":"ITEM-1","itemData":{"author":[{"dropping-particle":"","family":"Tanner","given":"John F","non-dropping-particle":"","parse-names":false,"suffix":""},{"dropping-particle":"","family":"Day","given":"Ellen","non-dropping-particle":"","parse-names":false,"suffix":""},{"dropping-particle":"","family":"Crask","given":"Melvin R","non-dropping-particle":"","parse-names":false,"suffix":""}],"id":"ITEM-1","issued":{"date-parts":[["1989"]]},"page":"267-276","title":"Protection Motivation Theory An Extension of Fear Appeals Theory in Communication","type":"article-journal","volume":"276"},"uris":["http://www.mendeley.com/documents/?uuid=9910cea7-b108-494d-a1d5-762e60a7e7d2","http://www.mendeley.com/documents/?uuid=db878048-4b37-4832-8571-40a395c3ee60"]}],"mendeley":{"formattedCitation":"(Tanner et al., 1989)","manualFormatting":"Tanner, Day, &amp; Crask, (1989)","plainTextFormattedCitation":"(Tanner et al., 1989)","previouslyFormattedCitation":"(Tanner et al., 1989)"},"properties":{"noteIndex":0},"schema":"https://github.com/citation-style-language/schema/raw/master/csl-citation.json"}</w:instrText>
      </w:r>
      <w:r w:rsidRPr="00407E38">
        <w:rPr>
          <w:rFonts w:ascii="Times New Roman" w:hAnsi="Times New Roman"/>
          <w:sz w:val="24"/>
          <w:szCs w:val="24"/>
        </w:rPr>
        <w:fldChar w:fldCharType="separate"/>
      </w:r>
      <w:r w:rsidRPr="00407E38">
        <w:rPr>
          <w:rFonts w:ascii="Times New Roman" w:hAnsi="Times New Roman"/>
          <w:sz w:val="24"/>
          <w:szCs w:val="24"/>
        </w:rPr>
        <w:t>Tanner, Day, and Crask, (1989)</w:t>
      </w:r>
      <w:r w:rsidRPr="00407E38">
        <w:rPr>
          <w:rFonts w:ascii="Times New Roman" w:hAnsi="Times New Roman"/>
          <w:sz w:val="24"/>
          <w:szCs w:val="24"/>
          <w:lang w:val="en-ZA"/>
        </w:rPr>
        <w:fldChar w:fldCharType="end"/>
      </w:r>
      <w:r w:rsidRPr="00407E38">
        <w:rPr>
          <w:rFonts w:ascii="Times New Roman" w:hAnsi="Times New Roman"/>
          <w:sz w:val="24"/>
          <w:szCs w:val="24"/>
        </w:rPr>
        <w:t xml:space="preserve"> who stated that the effectiveness of using fear when dealing with disasters  ha a curvature structure. The study by Ray and Willkie (YEAR) identified that agents respond positively to fear appeals but not to infinity it reaches a peak where the intensity of the fear appeal will lead to a negative adoption of the recommendations such as purchasing natural </w:t>
      </w:r>
      <w:r w:rsidRPr="00407E38">
        <w:rPr>
          <w:rFonts w:ascii="Times New Roman" w:hAnsi="Times New Roman"/>
          <w:sz w:val="24"/>
          <w:szCs w:val="24"/>
        </w:rPr>
        <w:lastRenderedPageBreak/>
        <w:t xml:space="preserve">disasters insurance. Rogers (1983) states that the general model of attitude change in PMT must include four main variables which are </w:t>
      </w:r>
    </w:p>
    <w:p w14:paraId="40AA6E42" w14:textId="77777777" w:rsidR="00F751CB" w:rsidRPr="00407E38" w:rsidRDefault="00F751CB" w:rsidP="00407E38">
      <w:pPr>
        <w:numPr>
          <w:ilvl w:val="0"/>
          <w:numId w:val="2"/>
        </w:numPr>
        <w:spacing w:line="360" w:lineRule="auto"/>
        <w:jc w:val="both"/>
        <w:rPr>
          <w:rFonts w:ascii="Times New Roman" w:hAnsi="Times New Roman"/>
          <w:sz w:val="24"/>
          <w:szCs w:val="24"/>
        </w:rPr>
      </w:pPr>
      <w:r w:rsidRPr="00407E38">
        <w:rPr>
          <w:rFonts w:ascii="Times New Roman" w:hAnsi="Times New Roman"/>
          <w:sz w:val="24"/>
          <w:szCs w:val="24"/>
        </w:rPr>
        <w:t>Outcome expectancy of current behaviour</w:t>
      </w:r>
    </w:p>
    <w:p w14:paraId="6554BE9A" w14:textId="77777777" w:rsidR="00F751CB" w:rsidRPr="00407E38" w:rsidRDefault="00F751CB" w:rsidP="00407E38">
      <w:pPr>
        <w:numPr>
          <w:ilvl w:val="0"/>
          <w:numId w:val="2"/>
        </w:numPr>
        <w:spacing w:line="360" w:lineRule="auto"/>
        <w:jc w:val="both"/>
        <w:rPr>
          <w:rFonts w:ascii="Times New Roman" w:hAnsi="Times New Roman"/>
          <w:sz w:val="24"/>
          <w:szCs w:val="24"/>
        </w:rPr>
      </w:pPr>
      <w:r w:rsidRPr="00407E38">
        <w:rPr>
          <w:rFonts w:ascii="Times New Roman" w:hAnsi="Times New Roman"/>
          <w:sz w:val="24"/>
          <w:szCs w:val="24"/>
        </w:rPr>
        <w:t xml:space="preserve">Outcome expectancy of alternative behaviour </w:t>
      </w:r>
    </w:p>
    <w:p w14:paraId="7F2117F9" w14:textId="77777777" w:rsidR="00F751CB" w:rsidRPr="00407E38" w:rsidRDefault="00F751CB" w:rsidP="00407E38">
      <w:pPr>
        <w:numPr>
          <w:ilvl w:val="0"/>
          <w:numId w:val="2"/>
        </w:numPr>
        <w:spacing w:line="360" w:lineRule="auto"/>
        <w:jc w:val="both"/>
        <w:rPr>
          <w:rFonts w:ascii="Times New Roman" w:hAnsi="Times New Roman"/>
          <w:sz w:val="24"/>
          <w:szCs w:val="24"/>
        </w:rPr>
      </w:pPr>
      <w:r w:rsidRPr="00407E38">
        <w:rPr>
          <w:rFonts w:ascii="Times New Roman" w:hAnsi="Times New Roman"/>
          <w:sz w:val="24"/>
          <w:szCs w:val="24"/>
        </w:rPr>
        <w:t>Self-efficacy of alternative behaviour</w:t>
      </w:r>
    </w:p>
    <w:p w14:paraId="33A1993A" w14:textId="77777777" w:rsidR="00F751CB" w:rsidRPr="00407E38" w:rsidRDefault="00F751CB" w:rsidP="00407E38">
      <w:pPr>
        <w:numPr>
          <w:ilvl w:val="0"/>
          <w:numId w:val="2"/>
        </w:numPr>
        <w:spacing w:line="360" w:lineRule="auto"/>
        <w:jc w:val="both"/>
        <w:rPr>
          <w:rFonts w:ascii="Times New Roman" w:hAnsi="Times New Roman"/>
          <w:sz w:val="24"/>
          <w:szCs w:val="24"/>
        </w:rPr>
      </w:pPr>
      <w:r w:rsidRPr="00407E38">
        <w:rPr>
          <w:rFonts w:ascii="Times New Roman" w:hAnsi="Times New Roman"/>
          <w:sz w:val="24"/>
          <w:szCs w:val="24"/>
        </w:rPr>
        <w:t xml:space="preserve">The relative value of the different sets of outcomes </w:t>
      </w:r>
    </w:p>
    <w:p w14:paraId="598023F4" w14:textId="77777777" w:rsidR="00F751CB" w:rsidRPr="00407E38" w:rsidRDefault="00F751CB"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 According to </w:t>
      </w:r>
      <w:r w:rsidRPr="00407E38">
        <w:rPr>
          <w:rFonts w:ascii="Times New Roman" w:hAnsi="Times New Roman"/>
          <w:sz w:val="24"/>
          <w:szCs w:val="24"/>
        </w:rPr>
        <w:fldChar w:fldCharType="begin" w:fldLock="1"/>
      </w:r>
      <w:r w:rsidRPr="00407E38">
        <w:rPr>
          <w:rFonts w:ascii="Times New Roman" w:hAnsi="Times New Roman"/>
          <w:sz w:val="24"/>
          <w:szCs w:val="24"/>
        </w:rPr>
        <w:instrText>ADDIN CSL_CITATION {"citationItems":[{"id":"ITEM-1","itemData":{"ISBN":"9783834968548","author":[{"dropping-particle":"","family":"Terblanche-smit","given":"Marlize","non-dropping-particle":"","parse-names":false,"suffix":""},{"dropping-particle":"","family":"Africa","given":"South","non-dropping-particle":"","parse-names":false,"suffix":""},{"dropping-particle":"","family":"Terblanche","given":"Nic S","non-dropping-particle":"","parse-names":false,"suffix":""},{"dropping-particle":"","family":"Africa","given":"South","non-dropping-particle":"","parse-names":false,"suffix":""}],"id":"ITEM-1","issued":{"date-parts":[["2011"]]},"title":"The Impact of Personality Differences on Efficacy , Attitude and Behavioural Intention in HIV / AIDS Fear Appeal Advertising","type":"article-journal","volume":"2"},"uris":["http://www.mendeley.com/documents/?uuid=62206219-0f3a-4d31-aee3-af31fcdfb9cf","http://www.mendeley.com/documents/?uuid=c7669f2b-6057-47d3-9771-eff6dba22624"]}],"mendeley":{"formattedCitation":"(Terblanche-smit et al., 2011)","manualFormatting":"Terblanche-smith &amp; Terblanche (2011)","plainTextFormattedCitation":"(Terblanche-smit et al., 2011)","previouslyFormattedCitation":"(Terblanche-smit et al., 2011)"},"properties":{"noteIndex":0},"schema":"https://github.com/citation-style-language/schema/raw/master/csl-citation.json"}</w:instrText>
      </w:r>
      <w:r w:rsidRPr="00407E38">
        <w:rPr>
          <w:rFonts w:ascii="Times New Roman" w:hAnsi="Times New Roman"/>
          <w:sz w:val="24"/>
          <w:szCs w:val="24"/>
        </w:rPr>
        <w:fldChar w:fldCharType="separate"/>
      </w:r>
      <w:r w:rsidRPr="00407E38">
        <w:rPr>
          <w:rFonts w:ascii="Times New Roman" w:hAnsi="Times New Roman"/>
          <w:sz w:val="24"/>
          <w:szCs w:val="24"/>
        </w:rPr>
        <w:t>Terblanche-smith and Terblanche (2011)</w:t>
      </w:r>
      <w:r w:rsidRPr="00407E38">
        <w:rPr>
          <w:rFonts w:ascii="Times New Roman" w:hAnsi="Times New Roman"/>
          <w:sz w:val="24"/>
          <w:szCs w:val="24"/>
          <w:lang w:val="en-ZA"/>
        </w:rPr>
        <w:fldChar w:fldCharType="end"/>
      </w:r>
      <w:r w:rsidRPr="00407E38">
        <w:rPr>
          <w:rFonts w:ascii="Times New Roman" w:hAnsi="Times New Roman"/>
          <w:sz w:val="24"/>
          <w:szCs w:val="24"/>
        </w:rPr>
        <w:t xml:space="preserve"> the mitigation appeal such as purchasing insurance must ensure that the individuals are cognisant of the severity , occurrence or recurrence and the efficacy of the recommendations which leads to a sustainable consciousness to danger and turns the  focus  to methods of protecting themselves. The adoption of the protection motivation theory in the analyses of natural disaster insurance demand from psychology has been documented in Grothmann and </w:t>
      </w:r>
      <w:proofErr w:type="spellStart"/>
      <w:r w:rsidRPr="00407E38">
        <w:rPr>
          <w:rFonts w:ascii="Times New Roman" w:hAnsi="Times New Roman"/>
          <w:sz w:val="24"/>
          <w:szCs w:val="24"/>
        </w:rPr>
        <w:t>Reuswing</w:t>
      </w:r>
      <w:proofErr w:type="spellEnd"/>
      <w:r w:rsidRPr="00407E38">
        <w:rPr>
          <w:rFonts w:ascii="Times New Roman" w:hAnsi="Times New Roman"/>
          <w:sz w:val="24"/>
          <w:szCs w:val="24"/>
        </w:rPr>
        <w:t xml:space="preserve"> (2006) and Reynaud et al (2013) and can be summarised in figure 1 below.</w:t>
      </w:r>
    </w:p>
    <w:p w14:paraId="23F03856" w14:textId="77777777" w:rsidR="00F751CB" w:rsidRPr="00407E38" w:rsidRDefault="00F751CB" w:rsidP="00407E38">
      <w:pPr>
        <w:spacing w:line="360" w:lineRule="auto"/>
        <w:jc w:val="both"/>
        <w:rPr>
          <w:rFonts w:ascii="Times New Roman" w:hAnsi="Times New Roman"/>
          <w:sz w:val="24"/>
          <w:szCs w:val="24"/>
        </w:rPr>
      </w:pPr>
      <w:r w:rsidRPr="00407E38">
        <w:rPr>
          <w:rFonts w:ascii="Times New Roman" w:hAnsi="Times New Roman"/>
          <w:noProof/>
          <w:sz w:val="24"/>
          <w:szCs w:val="24"/>
          <w:lang w:val="en-ZA"/>
        </w:rPr>
        <w:drawing>
          <wp:inline distT="0" distB="0" distL="0" distR="0" wp14:anchorId="39B0FE57" wp14:editId="561A2C71">
            <wp:extent cx="5731510" cy="2217420"/>
            <wp:effectExtent l="0" t="0" r="2540" b="0"/>
            <wp:docPr id="1137016336" name="Picture 4"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016336" name="Picture 4" descr="A diagram of a process&#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217420"/>
                    </a:xfrm>
                    <a:prstGeom prst="rect">
                      <a:avLst/>
                    </a:prstGeom>
                    <a:noFill/>
                    <a:ln>
                      <a:noFill/>
                    </a:ln>
                  </pic:spPr>
                </pic:pic>
              </a:graphicData>
            </a:graphic>
          </wp:inline>
        </w:drawing>
      </w:r>
    </w:p>
    <w:p w14:paraId="51ADF5E9" w14:textId="77777777" w:rsidR="00F751CB" w:rsidRPr="00407E38" w:rsidRDefault="00F751CB" w:rsidP="00407E38">
      <w:pPr>
        <w:spacing w:line="360" w:lineRule="auto"/>
        <w:jc w:val="both"/>
        <w:rPr>
          <w:rFonts w:ascii="Times New Roman" w:hAnsi="Times New Roman"/>
          <w:i/>
          <w:iCs/>
          <w:sz w:val="24"/>
          <w:szCs w:val="24"/>
          <w:lang w:val="en-US"/>
        </w:rPr>
      </w:pPr>
      <w:r w:rsidRPr="00407E38">
        <w:rPr>
          <w:rFonts w:ascii="Times New Roman" w:hAnsi="Times New Roman"/>
          <w:i/>
          <w:iCs/>
          <w:sz w:val="24"/>
          <w:szCs w:val="24"/>
          <w:lang w:val="en-US"/>
        </w:rPr>
        <w:t xml:space="preserve">Figure 3.1 flow chart of insurance demand for protective motivation theory  </w:t>
      </w:r>
    </w:p>
    <w:p w14:paraId="19BFCE1A" w14:textId="77777777" w:rsidR="00F751CB" w:rsidRPr="00407E38" w:rsidRDefault="00F751CB"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The protection motivation theory is directly linked to the risk perception on the impact, severity, and susceptibility of the economic agents to the natural disaster. Grothmann and </w:t>
      </w:r>
      <w:proofErr w:type="spellStart"/>
      <w:r w:rsidRPr="00407E38">
        <w:rPr>
          <w:rFonts w:ascii="Times New Roman" w:hAnsi="Times New Roman"/>
          <w:sz w:val="24"/>
          <w:szCs w:val="24"/>
        </w:rPr>
        <w:t>Reuswing</w:t>
      </w:r>
      <w:proofErr w:type="spellEnd"/>
      <w:r w:rsidRPr="00407E38">
        <w:rPr>
          <w:rFonts w:ascii="Times New Roman" w:hAnsi="Times New Roman"/>
          <w:sz w:val="24"/>
          <w:szCs w:val="24"/>
        </w:rPr>
        <w:t xml:space="preserve"> (2006) proposes that theoretically when analysing perception and adoption process the protection motivation theory best explains the psychological model of decision making. According to </w:t>
      </w:r>
      <w:r w:rsidRPr="00407E38">
        <w:rPr>
          <w:rFonts w:ascii="Times New Roman" w:hAnsi="Times New Roman"/>
          <w:sz w:val="24"/>
          <w:szCs w:val="24"/>
        </w:rPr>
        <w:fldChar w:fldCharType="begin" w:fldLock="1"/>
      </w:r>
      <w:r w:rsidRPr="00407E38">
        <w:rPr>
          <w:rFonts w:ascii="Times New Roman" w:hAnsi="Times New Roman"/>
          <w:sz w:val="24"/>
          <w:szCs w:val="24"/>
        </w:rPr>
        <w:instrText>ADDIN CSL_CITATION {"citationItems":[{"id":"ITEM-1","itemData":{"DOI":"10.1057/gpp.2013.16","ISSN":"10185895","abstract":"We empirically investigate the determinants of household flood protective strategies and risk perception using data from a household-level survey conducted in spring 2012 in Vietnam. Our empirical analysis shows that some flood protective behaviours of Vietnamese households are driven by the perception of flood risks, a result consistent with the Protection Motivation Theory (PMT). Our results also suggest that both perceived probabilities and perceived consequences of floods are related to some cognitive processes included in the PMT. Lastly, we document the important role played by public flood management policies in shaping individual flood risk perception and protective behaviours. © 2013 The International Association for the Study of Insurance Economics.","author":[{"dropping-particle":"","family":"Reynaud","given":"Arnaud","non-dropping-particle":"","parse-names":false,"suffix":""},{"dropping-particle":"","family":"Aubert","given":"Cécile","non-dropping-particle":"","parse-names":false,"suffix":""},{"dropping-particle":"","family":"Nguyen","given":"Manh Hung","non-dropping-particle":"","parse-names":false,"suffix":""}],"container-title":"Geneva Papers on Risk and Insurance: Issues and Practice","id":"ITEM-1","issue":"3","issued":{"date-parts":[["2013"]]},"page":"547-579","title":"Living with floods: Protective behaviours and risk perception of vietnamese households","type":"article-journal","volume":"38"},"uris":["http://www.mendeley.com/documents/?uuid=b31c2ed6-9da3-421f-aebe-30a70ecfa367"]}],"mendeley":{"formattedCitation":"(Reynaud et al., 2013)","manualFormatting":"Reynaud et al. (2013)","plainTextFormattedCitation":"(Reynaud et al., 2013)","previouslyFormattedCitation":"(Reynaud et al., 2013)"},"properties":{"noteIndex":0},"schema":"https://github.com/citation-style-language/schema/raw/master/csl-citation.json"}</w:instrText>
      </w:r>
      <w:r w:rsidRPr="00407E38">
        <w:rPr>
          <w:rFonts w:ascii="Times New Roman" w:hAnsi="Times New Roman"/>
          <w:sz w:val="24"/>
          <w:szCs w:val="24"/>
        </w:rPr>
        <w:fldChar w:fldCharType="separate"/>
      </w:r>
      <w:r w:rsidRPr="00407E38">
        <w:rPr>
          <w:rFonts w:ascii="Times New Roman" w:hAnsi="Times New Roman"/>
          <w:sz w:val="24"/>
          <w:szCs w:val="24"/>
        </w:rPr>
        <w:t xml:space="preserve">Reynaud </w:t>
      </w:r>
      <w:r w:rsidRPr="00407E38">
        <w:rPr>
          <w:rFonts w:ascii="Times New Roman" w:hAnsi="Times New Roman"/>
          <w:i/>
          <w:iCs/>
          <w:sz w:val="24"/>
          <w:szCs w:val="24"/>
        </w:rPr>
        <w:t>et al.</w:t>
      </w:r>
      <w:r w:rsidRPr="00407E38">
        <w:rPr>
          <w:rFonts w:ascii="Times New Roman" w:hAnsi="Times New Roman"/>
          <w:sz w:val="24"/>
          <w:szCs w:val="24"/>
        </w:rPr>
        <w:t xml:space="preserve"> (2013)</w:t>
      </w:r>
      <w:r w:rsidRPr="00407E38">
        <w:rPr>
          <w:rFonts w:ascii="Times New Roman" w:hAnsi="Times New Roman"/>
          <w:sz w:val="24"/>
          <w:szCs w:val="24"/>
          <w:lang w:val="en-ZA"/>
        </w:rPr>
        <w:fldChar w:fldCharType="end"/>
      </w:r>
      <w:r w:rsidRPr="00407E38">
        <w:rPr>
          <w:rFonts w:ascii="Times New Roman" w:hAnsi="Times New Roman"/>
          <w:sz w:val="24"/>
          <w:szCs w:val="24"/>
        </w:rPr>
        <w:t xml:space="preserve"> the threat appraisal process provides the perception of probability of occurrence and impact of the natural disaster (study was on floods). The threat appraisal and the coping appraisal process which involves the cognitive process of analysing one’s ability to avert being harmed by the natural disaster. </w:t>
      </w:r>
      <w:r w:rsidRPr="00407E38">
        <w:rPr>
          <w:rFonts w:ascii="Times New Roman" w:hAnsi="Times New Roman"/>
          <w:sz w:val="24"/>
          <w:szCs w:val="24"/>
        </w:rPr>
        <w:fldChar w:fldCharType="begin" w:fldLock="1"/>
      </w:r>
      <w:r w:rsidRPr="00407E38">
        <w:rPr>
          <w:rFonts w:ascii="Times New Roman" w:hAnsi="Times New Roman"/>
          <w:sz w:val="24"/>
          <w:szCs w:val="24"/>
        </w:rPr>
        <w:instrText>ADDIN CSL_CITATION {"citationItems":[{"id":"ITEM-1","itemData":{"DOI":"10.1057/gpp.2013.16","ISSN":"10185895","abstract":"We empirically investigate the determinants of household flood protective strategies and risk perception using data from a household-level survey conducted in spring 2012 in Vietnam. Our empirical analysis shows that some flood protective behaviours of Vietnamese households are driven by the perception of flood risks, a result consistent with the Protection Motivation Theory (PMT). Our results also suggest that both perceived probabilities and perceived consequences of floods are related to some cognitive processes included in the PMT. Lastly, we document the important role played by public flood management policies in shaping individual flood risk perception and protective behaviours. © 2013 The International Association for the Study of Insurance Economics.","author":[{"dropping-particle":"","family":"Reynaud","given":"Arnaud","non-dropping-particle":"","parse-names":false,"suffix":""},{"dropping-particle":"","family":"Aubert","given":"Cécile","non-dropping-particle":"","parse-names":false,"suffix":""},{"dropping-particle":"","family":"Nguyen","given":"Manh Hung","non-dropping-particle":"","parse-names":false,"suffix":""}],"container-title":"Geneva Papers on Risk and Insurance: Issues and Practice","id":"ITEM-1","issue":"3","issued":{"date-parts":[["2013"]]},"page":"547-579","title":"Living with floods: Protective behaviours and risk perception of vietnamese households","type":"article-journal","volume":"38"},"uris":["http://www.mendeley.com/documents/?uuid=b31c2ed6-9da3-421f-aebe-30a70ecfa367"]}],"mendeley":{"formattedCitation":"(Reynaud et al., 2013)","manualFormatting":"Reynaud et al. (2013)","plainTextFormattedCitation":"(Reynaud et al., 2013)","previouslyFormattedCitation":"(Reynaud et al., 2013)"},"properties":{"noteIndex":0},"schema":"https://github.com/citation-style-language/schema/raw/master/csl-citation.json"}</w:instrText>
      </w:r>
      <w:r w:rsidRPr="00407E38">
        <w:rPr>
          <w:rFonts w:ascii="Times New Roman" w:hAnsi="Times New Roman"/>
          <w:sz w:val="24"/>
          <w:szCs w:val="24"/>
        </w:rPr>
        <w:fldChar w:fldCharType="separate"/>
      </w:r>
      <w:r w:rsidRPr="00407E38">
        <w:rPr>
          <w:rFonts w:ascii="Times New Roman" w:hAnsi="Times New Roman"/>
          <w:sz w:val="24"/>
          <w:szCs w:val="24"/>
        </w:rPr>
        <w:t xml:space="preserve">Reynaud </w:t>
      </w:r>
      <w:r w:rsidRPr="00407E38">
        <w:rPr>
          <w:rFonts w:ascii="Times New Roman" w:hAnsi="Times New Roman"/>
          <w:i/>
          <w:iCs/>
          <w:sz w:val="24"/>
          <w:szCs w:val="24"/>
        </w:rPr>
        <w:t>et al</w:t>
      </w:r>
      <w:r w:rsidRPr="00407E38">
        <w:rPr>
          <w:rFonts w:ascii="Times New Roman" w:hAnsi="Times New Roman"/>
          <w:sz w:val="24"/>
          <w:szCs w:val="24"/>
        </w:rPr>
        <w:t>. (2013)</w:t>
      </w:r>
      <w:r w:rsidRPr="00407E38">
        <w:rPr>
          <w:rFonts w:ascii="Times New Roman" w:hAnsi="Times New Roman"/>
          <w:sz w:val="24"/>
          <w:szCs w:val="24"/>
          <w:lang w:val="en-ZA"/>
        </w:rPr>
        <w:fldChar w:fldCharType="end"/>
      </w:r>
      <w:r w:rsidRPr="00407E38">
        <w:rPr>
          <w:rFonts w:ascii="Times New Roman" w:hAnsi="Times New Roman"/>
          <w:sz w:val="24"/>
          <w:szCs w:val="24"/>
        </w:rPr>
        <w:t xml:space="preserve"> states that the coping appraisal is highly dependent on the threat appraisal level of fear in which it must reach a particular threshold for it to start.  The coping appraisal includes several facets of perceptions which include the perceptions about one’s protective self-efficacy, response costs and action </w:t>
      </w:r>
      <w:r w:rsidRPr="00407E38">
        <w:rPr>
          <w:rFonts w:ascii="Times New Roman" w:hAnsi="Times New Roman"/>
          <w:sz w:val="24"/>
          <w:szCs w:val="24"/>
        </w:rPr>
        <w:lastRenderedPageBreak/>
        <w:t xml:space="preserve">efficacy. In which in </w:t>
      </w:r>
      <w:r w:rsidRPr="00407E38">
        <w:rPr>
          <w:rFonts w:ascii="Times New Roman" w:hAnsi="Times New Roman"/>
          <w:sz w:val="24"/>
          <w:szCs w:val="24"/>
        </w:rPr>
        <w:fldChar w:fldCharType="begin" w:fldLock="1"/>
      </w:r>
      <w:r w:rsidRPr="00407E38">
        <w:rPr>
          <w:rFonts w:ascii="Times New Roman" w:hAnsi="Times New Roman"/>
          <w:sz w:val="24"/>
          <w:szCs w:val="24"/>
        </w:rPr>
        <w:instrText>ADDIN CSL_CITATION {"citationItems":[{"id":"ITEM-1","itemData":{"DOI":"10.1057/gpp.2013.16","ISSN":"10185895","abstract":"We empirically investigate the determinants of household flood protective strategies and risk perception using data from a household-level survey conducted in spring 2012 in Vietnam. Our empirical analysis shows that some flood protective behaviours of Vietnamese households are driven by the perception of flood risks, a result consistent with the Protection Motivation Theory (PMT). Our results also suggest that both perceived probabilities and perceived consequences of floods are related to some cognitive processes included in the PMT. Lastly, we document the important role played by public flood management policies in shaping individual flood risk perception and protective behaviours. © 2013 The International Association for the Study of Insurance Economics.","author":[{"dropping-particle":"","family":"Reynaud","given":"Arnaud","non-dropping-particle":"","parse-names":false,"suffix":""},{"dropping-particle":"","family":"Aubert","given":"Cécile","non-dropping-particle":"","parse-names":false,"suffix":""},{"dropping-particle":"","family":"Nguyen","given":"Manh Hung","non-dropping-particle":"","parse-names":false,"suffix":""}],"container-title":"Geneva Papers on Risk and Insurance: Issues and Practice","id":"ITEM-1","issue":"3","issued":{"date-parts":[["2013"]]},"page":"547-579","title":"Living with floods: Protective behaviours and risk perception of vietnamese households","type":"article-journal","volume":"38"},"uris":["http://www.mendeley.com/documents/?uuid=b31c2ed6-9da3-421f-aebe-30a70ecfa367"]}],"mendeley":{"formattedCitation":"(Reynaud et al., 2013)","manualFormatting":"Reynaud et al. (2013)","plainTextFormattedCitation":"(Reynaud et al., 2013)","previouslyFormattedCitation":"(Reynaud et al., 2013)"},"properties":{"noteIndex":0},"schema":"https://github.com/citation-style-language/schema/raw/master/csl-citation.json"}</w:instrText>
      </w:r>
      <w:r w:rsidRPr="00407E38">
        <w:rPr>
          <w:rFonts w:ascii="Times New Roman" w:hAnsi="Times New Roman"/>
          <w:sz w:val="24"/>
          <w:szCs w:val="24"/>
        </w:rPr>
        <w:fldChar w:fldCharType="separate"/>
      </w:r>
      <w:r w:rsidRPr="00407E38">
        <w:rPr>
          <w:rFonts w:ascii="Times New Roman" w:hAnsi="Times New Roman"/>
          <w:sz w:val="24"/>
          <w:szCs w:val="24"/>
        </w:rPr>
        <w:t xml:space="preserve">Reynaud </w:t>
      </w:r>
      <w:r w:rsidRPr="00407E38">
        <w:rPr>
          <w:rFonts w:ascii="Times New Roman" w:hAnsi="Times New Roman"/>
          <w:i/>
          <w:iCs/>
          <w:sz w:val="24"/>
          <w:szCs w:val="24"/>
        </w:rPr>
        <w:t>et al</w:t>
      </w:r>
      <w:r w:rsidRPr="00407E38">
        <w:rPr>
          <w:rFonts w:ascii="Times New Roman" w:hAnsi="Times New Roman"/>
          <w:sz w:val="24"/>
          <w:szCs w:val="24"/>
        </w:rPr>
        <w:t>. (2013)</w:t>
      </w:r>
      <w:r w:rsidRPr="00407E38">
        <w:rPr>
          <w:rFonts w:ascii="Times New Roman" w:hAnsi="Times New Roman"/>
          <w:sz w:val="24"/>
          <w:szCs w:val="24"/>
          <w:lang w:val="en-ZA"/>
        </w:rPr>
        <w:fldChar w:fldCharType="end"/>
      </w:r>
      <w:r w:rsidRPr="00407E38">
        <w:rPr>
          <w:rFonts w:ascii="Times New Roman" w:hAnsi="Times New Roman"/>
          <w:sz w:val="24"/>
          <w:szCs w:val="24"/>
        </w:rPr>
        <w:t xml:space="preserve"> the study adds the threat experience appraisal and the reliance on non-individual  protection methods. </w:t>
      </w:r>
    </w:p>
    <w:p w14:paraId="6E5288D8" w14:textId="77777777" w:rsidR="00F751CB" w:rsidRPr="00407E38" w:rsidRDefault="00F751CB" w:rsidP="00407E38">
      <w:pPr>
        <w:spacing w:line="360" w:lineRule="auto"/>
        <w:jc w:val="both"/>
        <w:rPr>
          <w:rFonts w:ascii="Times New Roman" w:hAnsi="Times New Roman"/>
          <w:sz w:val="24"/>
          <w:szCs w:val="24"/>
        </w:rPr>
      </w:pPr>
    </w:p>
    <w:p w14:paraId="6F58B8A8" w14:textId="77777777" w:rsidR="00F751CB" w:rsidRPr="00407E38" w:rsidRDefault="00F751CB"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The literature review also revealed that the understanding of the risk preferences of the economic agents is important to increase the demand for insurance demand. </w:t>
      </w:r>
      <w:r w:rsidRPr="00407E38">
        <w:rPr>
          <w:rFonts w:ascii="Times New Roman" w:hAnsi="Times New Roman"/>
          <w:sz w:val="24"/>
          <w:szCs w:val="24"/>
        </w:rPr>
        <w:fldChar w:fldCharType="begin" w:fldLock="1"/>
      </w:r>
      <w:r w:rsidRPr="00407E38">
        <w:rPr>
          <w:rFonts w:ascii="Times New Roman" w:hAnsi="Times New Roman"/>
          <w:sz w:val="24"/>
          <w:szCs w:val="24"/>
        </w:rPr>
        <w:instrText>ADDIN CSL_CITATION {"citationItems":[{"id":"ITEM-1","itemData":{"DOI":"10.1007/s10018-017-0207-4","ISSN":"1432847X","abstract":"Vietnam is one of the countries most affected by floods. Despite high exposure to this risk and repeated calls from international organizations, the penetration rate of flood insurance remains surprisingly low in Vietnam. We investigate if there is a demand for flood insurance by Vietnamese households using a choice experiment. We compute households’ willingness to pay (WTP) for various flood insurance programs and we identify the relationships between WTP and the different attributes of insurance schemes (type of risk covered, level of coverage, insurance provider, billing frequency, insurance premium). We first show that Vietnamese households exhibit a strong preference for the status quo option (no insurance). We do, however, document significant and positive WTP for some flood insurance policies, especially those covering health expenses. We show that household trust in institutions providing flood insurance policies may help understand the currently low adoption rate. Finally, we stress the high degree of heterogeneity in household preferences for flood insurance policies: past experience with flooding, individual risk preferences and subjective flood risk perception matter to understand WTP for flood insurance. These results call for a very careful design of flood insurance mechanisms in Vietnam, and more generally in developing countries subject to high risks of natural disasters.","author":[{"dropping-particle":"","family":"Reynaud","given":"Arnaud","non-dropping-particle":"","parse-names":false,"suffix":""},{"dropping-particle":"","family":"Nguyen","given":"Manh Hung","non-dropping-particle":"","parse-names":false,"suffix":""},{"dropping-particle":"","family":"Aubert","given":"Cécile","non-dropping-particle":"","parse-names":false,"suffix":""}],"container-title":"Environmental Economics and Policy Studies","id":"ITEM-1","issue":"3","issued":{"date-parts":[["2018"]]},"page":"593-617","title":"Is there a demand for flood insurance in Vietnam? Results from a choice experiment","type":"article-journal","volume":"20"},"uris":["http://www.mendeley.com/documents/?uuid=5a9f1f78-c8e9-4ed9-aace-0dee5e11f166"]}],"mendeley":{"formattedCitation":"(Reynaud et al., 2018)","manualFormatting":"Reynaud et al., (2018)","plainTextFormattedCitation":"(Reynaud et al., 2018)","previouslyFormattedCitation":"(Reynaud et al., 2018)"},"properties":{"noteIndex":0},"schema":"https://github.com/citation-style-language/schema/raw/master/csl-citation.json"}</w:instrText>
      </w:r>
      <w:r w:rsidRPr="00407E38">
        <w:rPr>
          <w:rFonts w:ascii="Times New Roman" w:hAnsi="Times New Roman"/>
          <w:sz w:val="24"/>
          <w:szCs w:val="24"/>
        </w:rPr>
        <w:fldChar w:fldCharType="separate"/>
      </w:r>
      <w:r w:rsidRPr="00407E38">
        <w:rPr>
          <w:rFonts w:ascii="Times New Roman" w:hAnsi="Times New Roman"/>
          <w:sz w:val="24"/>
          <w:szCs w:val="24"/>
        </w:rPr>
        <w:t>Reynaud et al., (2018)</w:t>
      </w:r>
      <w:r w:rsidRPr="00407E38">
        <w:rPr>
          <w:rFonts w:ascii="Times New Roman" w:hAnsi="Times New Roman"/>
          <w:sz w:val="24"/>
          <w:szCs w:val="24"/>
          <w:lang w:val="en-ZA"/>
        </w:rPr>
        <w:fldChar w:fldCharType="end"/>
      </w:r>
      <w:r w:rsidRPr="00407E38">
        <w:rPr>
          <w:rFonts w:ascii="Times New Roman" w:hAnsi="Times New Roman"/>
          <w:sz w:val="24"/>
          <w:szCs w:val="24"/>
        </w:rPr>
        <w:t xml:space="preserve"> classifies the economic agents as risk averse, lover and risk neutral and the risk averse individuals are expected to purchase insurance to curb their risk exposure. According to </w:t>
      </w:r>
      <w:r w:rsidRPr="00407E38">
        <w:rPr>
          <w:rFonts w:ascii="Times New Roman" w:hAnsi="Times New Roman"/>
          <w:sz w:val="24"/>
          <w:szCs w:val="24"/>
        </w:rPr>
        <w:fldChar w:fldCharType="begin" w:fldLock="1"/>
      </w:r>
      <w:r w:rsidRPr="00407E38">
        <w:rPr>
          <w:rFonts w:ascii="Times New Roman" w:hAnsi="Times New Roman"/>
          <w:sz w:val="24"/>
          <w:szCs w:val="24"/>
        </w:rPr>
        <w:instrText>ADDIN CSL_CITATION {"citationItems":[{"id":"ITEM-1","itemData":{"DOI":"10.1016/j.jebo.2012.12.023","ISSN":"01672681","abstract":"Economists and psychologists have developed a variety of experimental methodologies to elicit and assess individual risk attitudes. Choosing which to utilize, however, is largely dependent on the question one wants to answer, as well as the characteristics of the sample population. The goal of this paper is to present a series of prevailing methods for eliciting risk preferences and outline the advantages and disadvantages of each. We do not attempt to give a comprehensive account of all the methods or nuances of measuring risk, but rather to outline some advantages and disadvantages of different methods. © 2013.","author":[{"dropping-particle":"","family":"Charness","given":"Gary","non-dropping-particle":"","parse-names":false,"suffix":""},{"dropping-particle":"","family":"Gneezy","given":"Uri","non-dropping-particle":"","parse-names":false,"suffix":""},{"dropping-particle":"","family":"Imas","given":"Alex","non-dropping-particle":"","parse-names":false,"suffix":""}],"container-title":"Journal of Economic Behavior and Organization","id":"ITEM-1","issued":{"date-parts":[["2013"]]},"page":"43-51","publisher":"Elsevier B.V.","title":"Experimental methods: Eliciting risk preferences","type":"article-journal","volume":"87"},"uris":["http://www.mendeley.com/documents/?uuid=49ec9c5b-7fa0-40db-97bf-969c765dc862"]}],"mendeley":{"formattedCitation":"(Charness et al., 2013)","manualFormatting":"Charness et al (2013)","plainTextFormattedCitation":"(Charness et al., 2013)","previouslyFormattedCitation":"(Charness et al., 2013)"},"properties":{"noteIndex":0},"schema":"https://github.com/citation-style-language/schema/raw/master/csl-citation.json"}</w:instrText>
      </w:r>
      <w:r w:rsidRPr="00407E38">
        <w:rPr>
          <w:rFonts w:ascii="Times New Roman" w:hAnsi="Times New Roman"/>
          <w:sz w:val="24"/>
          <w:szCs w:val="24"/>
        </w:rPr>
        <w:fldChar w:fldCharType="separate"/>
      </w:r>
      <w:r w:rsidRPr="00407E38">
        <w:rPr>
          <w:rFonts w:ascii="Times New Roman" w:hAnsi="Times New Roman"/>
          <w:sz w:val="24"/>
          <w:szCs w:val="24"/>
        </w:rPr>
        <w:t xml:space="preserve">Charness </w:t>
      </w:r>
      <w:r w:rsidRPr="00407E38">
        <w:rPr>
          <w:rFonts w:ascii="Times New Roman" w:hAnsi="Times New Roman"/>
          <w:i/>
          <w:iCs/>
          <w:sz w:val="24"/>
          <w:szCs w:val="24"/>
        </w:rPr>
        <w:t xml:space="preserve">et al </w:t>
      </w:r>
      <w:r w:rsidRPr="00407E38">
        <w:rPr>
          <w:rFonts w:ascii="Times New Roman" w:hAnsi="Times New Roman"/>
          <w:sz w:val="24"/>
          <w:szCs w:val="24"/>
        </w:rPr>
        <w:t>(2013)</w:t>
      </w:r>
      <w:r w:rsidRPr="00407E38">
        <w:rPr>
          <w:rFonts w:ascii="Times New Roman" w:hAnsi="Times New Roman"/>
          <w:sz w:val="24"/>
          <w:szCs w:val="24"/>
          <w:lang w:val="en-ZA"/>
        </w:rPr>
        <w:fldChar w:fldCharType="end"/>
      </w:r>
      <w:r w:rsidRPr="00407E38">
        <w:rPr>
          <w:rFonts w:ascii="Times New Roman" w:hAnsi="Times New Roman"/>
          <w:sz w:val="24"/>
          <w:szCs w:val="24"/>
        </w:rPr>
        <w:t xml:space="preserve"> literature has elicited risk preference using experimental techniques using the BART experiment and the questionnaire technique and the EG is the widely used in studies. According to </w:t>
      </w:r>
      <w:r w:rsidRPr="00407E38">
        <w:rPr>
          <w:rFonts w:ascii="Times New Roman" w:hAnsi="Times New Roman"/>
          <w:sz w:val="24"/>
          <w:szCs w:val="24"/>
        </w:rPr>
        <w:fldChar w:fldCharType="begin" w:fldLock="1"/>
      </w:r>
      <w:r w:rsidRPr="00407E38">
        <w:rPr>
          <w:rFonts w:ascii="Times New Roman" w:hAnsi="Times New Roman"/>
          <w:sz w:val="24"/>
          <w:szCs w:val="24"/>
        </w:rPr>
        <w:instrText>ADDIN CSL_CITATION {"citationItems":[{"id":"ITEM-1","itemData":{"DOI":"10.1016/j.ijdrr.2020.101959","ISSN":"22124209","abstract":"Flooding is a frequent natural disaster, which is predicted to intensify over time because of climate change. As more than half the world lives in urban spaces, flooding could devastate urban populations, especially if the infrastructure to cope with flooding is inadequate. We study flooding in Cuttack, Odisha, a typical Indian city subject to annual flooding. We present estimates from a lower and lower-middle income country of household willingness to pay (WTP) for improved urban drainage using a revealed preference method. We use a hedonic price model to estimate WTP across city zones with differential exposure to flooding. At 2014–15 prices, a typical flood (approximately 7 hours per day on average) reduces the annual rental value by INR1352 (US$ 21) or about 4.4% annually. This implies that Cuttack households are willing to pay INR 188 million (or $ 2.9 million) to avoid flooding. Our findings have implications for urban sustainability and the financing of public infrastructure to reduce flooding in low and lower-middle-income countries.","author":[{"dropping-particle":"","family":"Mahaprashasta","given":"Jogasankar","non-dropping-particle":"","parse-names":false,"suffix":""},{"dropping-particle":"","family":"Mukhopadhyay","given":"Pranab","non-dropping-particle":"","parse-names":false,"suffix":""},{"dropping-particle":"","family":"Pattanayak","given":"Subhrendu K.","non-dropping-particle":"","parse-names":false,"suffix":""}],"container-title":"International Journal of Disaster Risk Reduction","id":"ITEM-1","issue":"November 2020","issued":{"date-parts":[["2021"]]},"page":"101959","publisher":"Elsevier Ltd","title":"Willingness to pay to avoid flooding in Cuttack, India","type":"article-journal","volume":"53"},"uris":["http://www.mendeley.com/documents/?uuid=8dc7f691-3088-48f2-b6b0-f5d621c4e3b7"]}],"mendeley":{"formattedCitation":"(Mahaprashasta et al., 2021)","manualFormatting":"Mahaprashasta et al (2021)","plainTextFormattedCitation":"(Mahaprashasta et al., 2021)","previouslyFormattedCitation":"(Mahaprashasta et al., 2021)"},"properties":{"noteIndex":0},"schema":"https://github.com/citation-style-language/schema/raw/master/csl-citation.json"}</w:instrText>
      </w:r>
      <w:r w:rsidRPr="00407E38">
        <w:rPr>
          <w:rFonts w:ascii="Times New Roman" w:hAnsi="Times New Roman"/>
          <w:sz w:val="24"/>
          <w:szCs w:val="24"/>
        </w:rPr>
        <w:fldChar w:fldCharType="separate"/>
      </w:r>
      <w:r w:rsidRPr="00407E38">
        <w:rPr>
          <w:rFonts w:ascii="Times New Roman" w:hAnsi="Times New Roman"/>
          <w:sz w:val="24"/>
          <w:szCs w:val="24"/>
        </w:rPr>
        <w:t xml:space="preserve">Mahaprashasta </w:t>
      </w:r>
      <w:r w:rsidRPr="00407E38">
        <w:rPr>
          <w:rFonts w:ascii="Times New Roman" w:hAnsi="Times New Roman"/>
          <w:i/>
          <w:iCs/>
          <w:sz w:val="24"/>
          <w:szCs w:val="24"/>
        </w:rPr>
        <w:t>et al</w:t>
      </w:r>
      <w:r w:rsidRPr="00407E38">
        <w:rPr>
          <w:rFonts w:ascii="Times New Roman" w:hAnsi="Times New Roman"/>
          <w:sz w:val="24"/>
          <w:szCs w:val="24"/>
        </w:rPr>
        <w:t xml:space="preserve"> (2021)</w:t>
      </w:r>
      <w:r w:rsidRPr="00407E38">
        <w:rPr>
          <w:rFonts w:ascii="Times New Roman" w:hAnsi="Times New Roman"/>
          <w:sz w:val="24"/>
          <w:szCs w:val="24"/>
          <w:lang w:val="en-ZA"/>
        </w:rPr>
        <w:fldChar w:fldCharType="end"/>
      </w:r>
      <w:r w:rsidRPr="00407E38">
        <w:rPr>
          <w:rFonts w:ascii="Times New Roman" w:hAnsi="Times New Roman"/>
          <w:sz w:val="24"/>
          <w:szCs w:val="24"/>
        </w:rPr>
        <w:t xml:space="preserve"> there are changes in risk preferences post a natural disaster event and this will lead to increased purchases of natural disaster insurance . The results of the study further found that literature explains the willingness to pay variable to be a comprehensive question that can be answered on a holistic perspective from monetary factors such as price and income elasticity, domain covered (health, property, life  etc) , location and other sociodemographic factors</w:t>
      </w:r>
      <w:r w:rsidRPr="00407E38">
        <w:rPr>
          <w:rFonts w:ascii="Times New Roman" w:hAnsi="Times New Roman"/>
          <w:sz w:val="24"/>
          <w:szCs w:val="24"/>
        </w:rPr>
        <w:fldChar w:fldCharType="begin" w:fldLock="1"/>
      </w:r>
      <w:r w:rsidRPr="00407E38">
        <w:rPr>
          <w:rFonts w:ascii="Times New Roman" w:hAnsi="Times New Roman"/>
          <w:sz w:val="24"/>
          <w:szCs w:val="24"/>
        </w:rPr>
        <w:instrText>ADDIN CSL_CITATION {"citationItems":[{"id":"ITEM-1","itemData":{"DOI":"10.1016/j.joep.2013.05.007","ISSN":"01674870","abstract":"The decision of many individuals in floodplains to not purchase flood insurance may impair the risk-spreading function of flood insurance markets. This study estimates the effectiveness of risk communication frames and insurance policy conditions in increasing demand for flood insurance. It is examined how communication interacts with individual frames about the flood hazard that are rooted in regulatory focus theory. A choice experiment elicits willingness-to-pay (WTP) for annual and multi-year flood insurance, using of a survey of a representative sample of 1250 households. The statistical method is a mixed logit model that accounts for heteroskedasticity arising from stated choice certainty. The communication frames considerably increase WTP compared with a control group. This effect of communication is positively related to an individual's degree of prevention motivation. Moreover, we find that demand for flood insurance can be increased by introducing multi-year policies, as long as the contract duration is not too long. © 2013 Elsevier B.V.","author":[{"dropping-particle":"","family":"Botzen","given":"W. J.Wouter","non-dropping-particle":"","parse-names":false,"suffix":""},{"dropping-particle":"","family":"Boer","given":"Joop","non-dropping-particle":"de","parse-names":false,"suffix":""},{"dropping-particle":"","family":"Terpstra","given":"Teun","non-dropping-particle":"","parse-names":false,"suffix":""}],"container-title":"Journal of Economic Psychology","id":"ITEM-1","issued":{"date-parts":[["2013"]]},"page":"357-375","publisher":"Elsevier B.V.","title":"Framing of risk and preferences for annual and multi-year flood insurance","type":"article-journal","volume":"39"},"uris":["http://www.mendeley.com/documents/?uuid=d10aa9ee-25db-49ce-8cee-59c25b3f7325"]},{"id":"ITEM-2","itemData":{"DOI":"10.2139/ssrn.3467329","ISSN":"1556-5068","abstract":"This paper studies social welfare in markets for natural disaster insurance. I quantify frictions in uptake, test for adverse selection, and estimate the welfare eects of proposed policy reforms by developing a model of natural disaster insurance markets and compiling new data. The paper has three main ndings. First, willingness to pay for natural disaster insurance is remarkably low. In the high-risk ood zones throughout all U.S. Atlantic and Gulf Coast states, fewer than 60% of homeowners purchase ood insurance even though subsidized premia are only two-thirds of their own expected payouts. Second, homeowners select into insurance based on observable dierences in houses' defensive investments against natural disasters (i.e., adaptation), but not on private information about risk. Exploiting house-level variation in ood insurance prices and construction codes reveals that requirements to elevate newly constructed homes reduce insurer costs by 31% and insurance demand by 25%. Asymmetric information between homeowners and insurers, however, does not aect average payouts. Third, ignoring how frictions, such as risk misperception, distort demand understates the welfare cost of currently proposed price increases and changes the sign of the predicted welfare eect. In contrast, enforcing a natural disaster insurance mandate increases social welfare.","author":[{"dropping-particle":"","family":"Wagner","given":"Katherine","non-dropping-particle":"","parse-names":false,"suffix":""}],"container-title":"SSRN Electronic Journal","id":"ITEM-2","issued":{"date-parts":[["2019"]]},"title":"Adaptation and Adverse Selection in Markets for Natural Disaster Insurance","type":"article-journal"},"uris":["http://www.mendeley.com/documents/?uuid=63813006-965b-4635-9a43-14a92f9b8e57"]}],"mendeley":{"formattedCitation":"(W. J.Wouter Botzen et al., 2013; K. Wagner, 2019)","manualFormatting":" (Botzen et al 2013;  Wagner, 2019)","plainTextFormattedCitation":"(W. J.Wouter Botzen et al., 2013; K. Wagner, 2019)","previouslyFormattedCitation":"(W. J.Wouter Botzen et al., 2013; K. Wagner, 2019)"},"properties":{"noteIndex":0},"schema":"https://github.com/citation-style-language/schema/raw/master/csl-citation.json"}</w:instrText>
      </w:r>
      <w:r w:rsidRPr="00407E38">
        <w:rPr>
          <w:rFonts w:ascii="Times New Roman" w:hAnsi="Times New Roman"/>
          <w:sz w:val="24"/>
          <w:szCs w:val="24"/>
        </w:rPr>
        <w:fldChar w:fldCharType="separate"/>
      </w:r>
      <w:r w:rsidRPr="00407E38">
        <w:rPr>
          <w:rFonts w:ascii="Times New Roman" w:hAnsi="Times New Roman"/>
          <w:sz w:val="24"/>
          <w:szCs w:val="24"/>
        </w:rPr>
        <w:t xml:space="preserve"> (Botzen </w:t>
      </w:r>
      <w:r w:rsidRPr="00407E38">
        <w:rPr>
          <w:rFonts w:ascii="Times New Roman" w:hAnsi="Times New Roman"/>
          <w:i/>
          <w:iCs/>
          <w:sz w:val="24"/>
          <w:szCs w:val="24"/>
        </w:rPr>
        <w:t>et al</w:t>
      </w:r>
      <w:r w:rsidRPr="00407E38">
        <w:rPr>
          <w:rFonts w:ascii="Times New Roman" w:hAnsi="Times New Roman"/>
          <w:sz w:val="24"/>
          <w:szCs w:val="24"/>
        </w:rPr>
        <w:t xml:space="preserve"> 2013;  Wagner, 2019)</w:t>
      </w:r>
      <w:r w:rsidRPr="00407E38">
        <w:rPr>
          <w:rFonts w:ascii="Times New Roman" w:hAnsi="Times New Roman"/>
          <w:sz w:val="24"/>
          <w:szCs w:val="24"/>
          <w:lang w:val="en-ZA"/>
        </w:rPr>
        <w:fldChar w:fldCharType="end"/>
      </w:r>
      <w:r w:rsidRPr="00407E38">
        <w:rPr>
          <w:rFonts w:ascii="Times New Roman" w:hAnsi="Times New Roman"/>
          <w:sz w:val="24"/>
          <w:szCs w:val="24"/>
        </w:rPr>
        <w:t>.</w:t>
      </w:r>
    </w:p>
    <w:p w14:paraId="4D5A971A" w14:textId="1EBB8FA3" w:rsidR="007F52F5" w:rsidRPr="00407E38" w:rsidRDefault="00FD0E27" w:rsidP="00407E38">
      <w:pPr>
        <w:pStyle w:val="Heading3"/>
        <w:spacing w:line="360" w:lineRule="auto"/>
        <w:rPr>
          <w:rFonts w:ascii="Times New Roman" w:hAnsi="Times New Roman" w:cs="Times New Roman"/>
          <w:lang w:val="en-ZA"/>
        </w:rPr>
      </w:pPr>
      <w:bookmarkStart w:id="4" w:name="_Hlk199494051"/>
      <w:r w:rsidRPr="00407E38">
        <w:rPr>
          <w:rFonts w:ascii="Times New Roman" w:hAnsi="Times New Roman" w:cs="Times New Roman"/>
          <w:lang w:val="en-ZA"/>
        </w:rPr>
        <w:t xml:space="preserve">2.2 </w:t>
      </w:r>
      <w:r w:rsidR="00E2442B" w:rsidRPr="00407E38">
        <w:rPr>
          <w:rFonts w:ascii="Times New Roman" w:hAnsi="Times New Roman" w:cs="Times New Roman"/>
          <w:lang w:val="en-ZA"/>
        </w:rPr>
        <w:t xml:space="preserve">Empirical </w:t>
      </w:r>
      <w:r w:rsidR="003A5946" w:rsidRPr="00407E38">
        <w:rPr>
          <w:rFonts w:ascii="Times New Roman" w:hAnsi="Times New Roman" w:cs="Times New Roman"/>
          <w:lang w:val="en-ZA"/>
        </w:rPr>
        <w:t xml:space="preserve">Literature review </w:t>
      </w:r>
    </w:p>
    <w:p w14:paraId="6ACD46E2" w14:textId="77777777" w:rsidR="00FD0E27" w:rsidRPr="00407E38" w:rsidRDefault="00FD0E27" w:rsidP="00407E38">
      <w:pPr>
        <w:spacing w:line="360" w:lineRule="auto"/>
        <w:jc w:val="both"/>
        <w:rPr>
          <w:rFonts w:ascii="Times New Roman" w:hAnsi="Times New Roman"/>
          <w:sz w:val="24"/>
          <w:szCs w:val="24"/>
          <w:lang w:val="en-ZA"/>
        </w:rPr>
      </w:pPr>
      <w:r w:rsidRPr="00407E38">
        <w:rPr>
          <w:rFonts w:ascii="Times New Roman" w:hAnsi="Times New Roman"/>
          <w:sz w:val="24"/>
          <w:szCs w:val="24"/>
          <w:lang w:val="en-ZA"/>
        </w:rPr>
        <w:t xml:space="preserve">Existing studies </w:t>
      </w:r>
      <w:proofErr w:type="spellStart"/>
      <w:r w:rsidRPr="00407E38">
        <w:rPr>
          <w:rFonts w:ascii="Times New Roman" w:hAnsi="Times New Roman"/>
          <w:sz w:val="24"/>
          <w:szCs w:val="24"/>
          <w:lang w:val="en-ZA"/>
        </w:rPr>
        <w:t>analyzing</w:t>
      </w:r>
      <w:proofErr w:type="spellEnd"/>
      <w:r w:rsidRPr="00407E38">
        <w:rPr>
          <w:rFonts w:ascii="Times New Roman" w:hAnsi="Times New Roman"/>
          <w:sz w:val="24"/>
          <w:szCs w:val="24"/>
          <w:lang w:val="en-ZA"/>
        </w:rPr>
        <w:t xml:space="preserve"> demand for natural disaster insurance have adopted hazard-specific approaches. Brody et al. (2017) examined flood insurance uptake, Zhang and Qian (2018) explored earthquake insurance demand, and </w:t>
      </w:r>
      <w:proofErr w:type="spellStart"/>
      <w:r w:rsidRPr="00407E38">
        <w:rPr>
          <w:rFonts w:ascii="Times New Roman" w:hAnsi="Times New Roman"/>
          <w:sz w:val="24"/>
          <w:szCs w:val="24"/>
          <w:lang w:val="en-ZA"/>
        </w:rPr>
        <w:t>Mathithibane</w:t>
      </w:r>
      <w:proofErr w:type="spellEnd"/>
      <w:r w:rsidRPr="00407E38">
        <w:rPr>
          <w:rFonts w:ascii="Times New Roman" w:hAnsi="Times New Roman"/>
          <w:sz w:val="24"/>
          <w:szCs w:val="24"/>
          <w:lang w:val="en-ZA"/>
        </w:rPr>
        <w:t xml:space="preserve"> and Chummun (2022) investigated weather-based agricultural insurance in South Africa. Flood insurance studies often employ prospect theory, positing that risk-averse individuals overweight potential losses, increasing insurance adoption (Reynaud et al., 2018).</w:t>
      </w:r>
    </w:p>
    <w:p w14:paraId="48CE2184" w14:textId="58A57EAB" w:rsidR="00FD0E27" w:rsidRPr="00407E38" w:rsidRDefault="00FD0E27" w:rsidP="00407E38">
      <w:pPr>
        <w:spacing w:line="360" w:lineRule="auto"/>
        <w:jc w:val="both"/>
        <w:rPr>
          <w:rFonts w:ascii="Times New Roman" w:hAnsi="Times New Roman"/>
          <w:sz w:val="24"/>
          <w:szCs w:val="24"/>
          <w:lang w:val="en-ZA"/>
        </w:rPr>
      </w:pPr>
      <w:r w:rsidRPr="00407E38">
        <w:rPr>
          <w:rFonts w:ascii="Times New Roman" w:hAnsi="Times New Roman"/>
          <w:sz w:val="24"/>
          <w:szCs w:val="24"/>
          <w:lang w:val="en-ZA"/>
        </w:rPr>
        <w:t xml:space="preserve">Disaster experience significantly influences demand but varies by event characteristics. </w:t>
      </w:r>
      <w:proofErr w:type="spellStart"/>
      <w:r w:rsidRPr="00407E38">
        <w:rPr>
          <w:rFonts w:ascii="Times New Roman" w:hAnsi="Times New Roman"/>
          <w:sz w:val="24"/>
          <w:szCs w:val="24"/>
          <w:lang w:val="en-ZA"/>
        </w:rPr>
        <w:t>Botzen</w:t>
      </w:r>
      <w:proofErr w:type="spellEnd"/>
      <w:r w:rsidRPr="00407E38">
        <w:rPr>
          <w:rFonts w:ascii="Times New Roman" w:hAnsi="Times New Roman"/>
          <w:sz w:val="24"/>
          <w:szCs w:val="24"/>
          <w:lang w:val="en-ZA"/>
        </w:rPr>
        <w:t xml:space="preserve"> and Van den Bergh (2012) distinguish between high-frequency/low-intensity floods (e.g., seasonal flooding) and low-frequency/high-intensity events (e.g., catastrophic storms), noting divergent effects on insurance </w:t>
      </w:r>
      <w:proofErr w:type="spellStart"/>
      <w:r w:rsidRPr="00407E38">
        <w:rPr>
          <w:rFonts w:ascii="Times New Roman" w:hAnsi="Times New Roman"/>
          <w:sz w:val="24"/>
          <w:szCs w:val="24"/>
          <w:lang w:val="en-ZA"/>
        </w:rPr>
        <w:t>behavior</w:t>
      </w:r>
      <w:proofErr w:type="spellEnd"/>
      <w:r w:rsidRPr="00407E38">
        <w:rPr>
          <w:rFonts w:ascii="Times New Roman" w:hAnsi="Times New Roman"/>
          <w:sz w:val="24"/>
          <w:szCs w:val="24"/>
          <w:lang w:val="en-ZA"/>
        </w:rPr>
        <w:t xml:space="preserve">. Seifert et al. (2013) emphasize that high-intensity disasters require sustained media salience and community engagement to maintain demand. Liu et al. (2019) further categorize experience into, direct experience which includes </w:t>
      </w:r>
      <w:r w:rsidR="005750DE" w:rsidRPr="00407E38">
        <w:rPr>
          <w:rFonts w:ascii="Times New Roman" w:hAnsi="Times New Roman"/>
          <w:sz w:val="24"/>
          <w:szCs w:val="24"/>
          <w:lang w:val="en-ZA"/>
        </w:rPr>
        <w:t xml:space="preserve">a </w:t>
      </w:r>
      <w:r w:rsidR="00531A46" w:rsidRPr="00407E38">
        <w:rPr>
          <w:rFonts w:ascii="Times New Roman" w:hAnsi="Times New Roman"/>
          <w:sz w:val="24"/>
          <w:szCs w:val="24"/>
          <w:lang w:val="en-ZA"/>
        </w:rPr>
        <w:t>p</w:t>
      </w:r>
      <w:r w:rsidR="005750DE" w:rsidRPr="00407E38">
        <w:rPr>
          <w:rFonts w:ascii="Times New Roman" w:hAnsi="Times New Roman"/>
          <w:sz w:val="24"/>
          <w:szCs w:val="24"/>
          <w:lang w:val="en-ZA"/>
        </w:rPr>
        <w:t>ersonal</w:t>
      </w:r>
      <w:r w:rsidRPr="00407E38">
        <w:rPr>
          <w:rFonts w:ascii="Times New Roman" w:hAnsi="Times New Roman"/>
          <w:sz w:val="24"/>
          <w:szCs w:val="24"/>
          <w:lang w:val="en-ZA"/>
        </w:rPr>
        <w:t xml:space="preserve"> property damage and Indirect experience which in cooperates financial assistance to</w:t>
      </w:r>
      <w:r w:rsidRPr="00407E38">
        <w:rPr>
          <w:rFonts w:ascii="Times New Roman" w:hAnsi="Times New Roman"/>
          <w:sz w:val="24"/>
          <w:szCs w:val="24"/>
        </w:rPr>
        <w:t xml:space="preserve"> </w:t>
      </w:r>
      <w:r w:rsidRPr="00407E38">
        <w:rPr>
          <w:rFonts w:ascii="Times New Roman" w:hAnsi="Times New Roman"/>
          <w:sz w:val="24"/>
          <w:szCs w:val="24"/>
          <w:lang w:val="en-ZA"/>
        </w:rPr>
        <w:t xml:space="preserve">affected relatives which contributes significantly </w:t>
      </w:r>
      <w:proofErr w:type="spellStart"/>
      <w:r w:rsidRPr="00407E38">
        <w:rPr>
          <w:rFonts w:ascii="Times New Roman" w:hAnsi="Times New Roman"/>
          <w:sz w:val="24"/>
          <w:szCs w:val="24"/>
          <w:lang w:val="en-ZA"/>
        </w:rPr>
        <w:t>analyzing</w:t>
      </w:r>
      <w:proofErr w:type="spellEnd"/>
      <w:r w:rsidRPr="00407E38">
        <w:rPr>
          <w:rFonts w:ascii="Times New Roman" w:hAnsi="Times New Roman"/>
          <w:sz w:val="24"/>
          <w:szCs w:val="24"/>
          <w:lang w:val="en-ZA"/>
        </w:rPr>
        <w:t xml:space="preserve"> </w:t>
      </w:r>
      <w:proofErr w:type="spellStart"/>
      <w:r w:rsidRPr="00407E38">
        <w:rPr>
          <w:rFonts w:ascii="Times New Roman" w:hAnsi="Times New Roman"/>
          <w:sz w:val="24"/>
          <w:szCs w:val="24"/>
          <w:lang w:val="en-ZA"/>
        </w:rPr>
        <w:t>behavioral</w:t>
      </w:r>
      <w:proofErr w:type="spellEnd"/>
      <w:r w:rsidRPr="00407E38">
        <w:rPr>
          <w:rFonts w:ascii="Times New Roman" w:hAnsi="Times New Roman"/>
          <w:sz w:val="24"/>
          <w:szCs w:val="24"/>
          <w:lang w:val="en-ZA"/>
        </w:rPr>
        <w:t xml:space="preserve"> responses.</w:t>
      </w:r>
    </w:p>
    <w:p w14:paraId="4CFAAD3B" w14:textId="6748D911" w:rsidR="00FD0E27" w:rsidRPr="00407E38" w:rsidRDefault="00FD0E27" w:rsidP="00407E38">
      <w:pPr>
        <w:spacing w:line="360" w:lineRule="auto"/>
        <w:jc w:val="both"/>
        <w:rPr>
          <w:rFonts w:ascii="Times New Roman" w:hAnsi="Times New Roman"/>
          <w:sz w:val="24"/>
          <w:szCs w:val="24"/>
          <w:lang w:val="en-ZA"/>
        </w:rPr>
      </w:pPr>
      <w:r w:rsidRPr="00407E38">
        <w:rPr>
          <w:rFonts w:ascii="Times New Roman" w:hAnsi="Times New Roman"/>
          <w:sz w:val="24"/>
          <w:szCs w:val="24"/>
          <w:lang w:val="en-ZA"/>
        </w:rPr>
        <w:t xml:space="preserve">The other studies also look at the trust in insurance providers (government, NGOs, private firms) as a key determinant. Reynaud et al. (2018) find that timely post-disaster assistance and community integration enhance provider credibility in high-risk areas. Discrete </w:t>
      </w:r>
      <w:r w:rsidRPr="00407E38">
        <w:rPr>
          <w:rFonts w:ascii="Times New Roman" w:hAnsi="Times New Roman"/>
          <w:sz w:val="24"/>
          <w:szCs w:val="24"/>
          <w:lang w:val="en-ZA"/>
        </w:rPr>
        <w:lastRenderedPageBreak/>
        <w:t xml:space="preserve">choice experiments studies also  reveal additional attributes that can contribute to demand for insurance such as  coverage domain: Agriculture, property, or health (Hudson et al., 2017), </w:t>
      </w:r>
      <w:r w:rsidR="00761BB1" w:rsidRPr="00407E38">
        <w:rPr>
          <w:rFonts w:ascii="Times New Roman" w:hAnsi="Times New Roman"/>
          <w:sz w:val="24"/>
          <w:szCs w:val="24"/>
          <w:lang w:val="en-ZA"/>
        </w:rPr>
        <w:t xml:space="preserve">financial </w:t>
      </w:r>
      <w:r w:rsidRPr="00407E38">
        <w:rPr>
          <w:rFonts w:ascii="Times New Roman" w:hAnsi="Times New Roman"/>
          <w:sz w:val="24"/>
          <w:szCs w:val="24"/>
          <w:lang w:val="en-ZA"/>
        </w:rPr>
        <w:t xml:space="preserve"> terms</w:t>
      </w:r>
      <w:r w:rsidR="00761BB1" w:rsidRPr="00407E38">
        <w:rPr>
          <w:rFonts w:ascii="Times New Roman" w:hAnsi="Times New Roman"/>
          <w:sz w:val="24"/>
          <w:szCs w:val="24"/>
          <w:lang w:val="en-ZA"/>
        </w:rPr>
        <w:t xml:space="preserve"> covering p</w:t>
      </w:r>
      <w:r w:rsidRPr="00407E38">
        <w:rPr>
          <w:rFonts w:ascii="Times New Roman" w:hAnsi="Times New Roman"/>
          <w:sz w:val="24"/>
          <w:szCs w:val="24"/>
          <w:lang w:val="en-ZA"/>
        </w:rPr>
        <w:t>remiums and indemnity limits (Akter et al., 2009)</w:t>
      </w:r>
      <w:r w:rsidR="00761BB1" w:rsidRPr="00407E38">
        <w:rPr>
          <w:rFonts w:ascii="Times New Roman" w:hAnsi="Times New Roman"/>
          <w:sz w:val="24"/>
          <w:szCs w:val="24"/>
          <w:lang w:val="en-ZA"/>
        </w:rPr>
        <w:t xml:space="preserve"> and t</w:t>
      </w:r>
      <w:r w:rsidRPr="00407E38">
        <w:rPr>
          <w:rFonts w:ascii="Times New Roman" w:hAnsi="Times New Roman"/>
          <w:sz w:val="24"/>
          <w:szCs w:val="24"/>
          <w:lang w:val="en-ZA"/>
        </w:rPr>
        <w:t>ransparency</w:t>
      </w:r>
      <w:r w:rsidR="00761BB1" w:rsidRPr="00407E38">
        <w:rPr>
          <w:rFonts w:ascii="Times New Roman" w:hAnsi="Times New Roman"/>
          <w:sz w:val="24"/>
          <w:szCs w:val="24"/>
          <w:lang w:val="en-ZA"/>
        </w:rPr>
        <w:t xml:space="preserve"> in the c</w:t>
      </w:r>
      <w:r w:rsidRPr="00407E38">
        <w:rPr>
          <w:rFonts w:ascii="Times New Roman" w:hAnsi="Times New Roman"/>
          <w:sz w:val="24"/>
          <w:szCs w:val="24"/>
          <w:lang w:val="en-ZA"/>
        </w:rPr>
        <w:t>larity of terms (</w:t>
      </w:r>
      <w:proofErr w:type="spellStart"/>
      <w:r w:rsidRPr="00407E38">
        <w:rPr>
          <w:rFonts w:ascii="Times New Roman" w:hAnsi="Times New Roman"/>
          <w:sz w:val="24"/>
          <w:szCs w:val="24"/>
          <w:lang w:val="en-ZA"/>
        </w:rPr>
        <w:t>Kunreuther</w:t>
      </w:r>
      <w:proofErr w:type="spellEnd"/>
      <w:r w:rsidRPr="00407E38">
        <w:rPr>
          <w:rFonts w:ascii="Times New Roman" w:hAnsi="Times New Roman"/>
          <w:sz w:val="24"/>
          <w:szCs w:val="24"/>
          <w:lang w:val="en-ZA"/>
        </w:rPr>
        <w:t xml:space="preserve"> &amp; Pauly, 2006)</w:t>
      </w:r>
    </w:p>
    <w:p w14:paraId="2B3004E8" w14:textId="77777777" w:rsidR="008A41AA" w:rsidRPr="00407E38" w:rsidRDefault="008A41AA" w:rsidP="00407E38">
      <w:pPr>
        <w:spacing w:line="360" w:lineRule="auto"/>
        <w:jc w:val="both"/>
        <w:rPr>
          <w:rFonts w:ascii="Times New Roman" w:hAnsi="Times New Roman"/>
          <w:sz w:val="24"/>
          <w:szCs w:val="24"/>
          <w:lang w:val="en-ZA"/>
        </w:rPr>
      </w:pPr>
    </w:p>
    <w:bookmarkEnd w:id="4"/>
    <w:p w14:paraId="4691C13F" w14:textId="77777777" w:rsidR="00DD5AF6" w:rsidRPr="00407E38" w:rsidRDefault="00DD5AF6" w:rsidP="00407E38">
      <w:pPr>
        <w:spacing w:line="360" w:lineRule="auto"/>
        <w:jc w:val="both"/>
        <w:rPr>
          <w:rFonts w:ascii="Times New Roman" w:hAnsi="Times New Roman"/>
          <w:b/>
          <w:bCs/>
          <w:sz w:val="24"/>
          <w:szCs w:val="24"/>
          <w:lang w:val="en-ZA"/>
        </w:rPr>
      </w:pPr>
    </w:p>
    <w:p w14:paraId="7CC2682B" w14:textId="2F54BD33" w:rsidR="00DD5AF6" w:rsidRPr="00407E38" w:rsidRDefault="00761BB1" w:rsidP="00407E38">
      <w:pPr>
        <w:pStyle w:val="Heading2"/>
        <w:spacing w:line="360" w:lineRule="auto"/>
        <w:rPr>
          <w:rFonts w:ascii="Times New Roman" w:hAnsi="Times New Roman" w:cs="Times New Roman"/>
          <w:lang w:val="en-ZA"/>
        </w:rPr>
      </w:pPr>
      <w:r w:rsidRPr="00407E38">
        <w:rPr>
          <w:rFonts w:ascii="Times New Roman" w:hAnsi="Times New Roman" w:cs="Times New Roman"/>
          <w:lang w:val="en-ZA"/>
        </w:rPr>
        <w:t xml:space="preserve">3. Data sampling </w:t>
      </w:r>
    </w:p>
    <w:p w14:paraId="5C394E65" w14:textId="772BA033" w:rsidR="006E2282" w:rsidRPr="00407E38" w:rsidRDefault="006E2282" w:rsidP="00407E38">
      <w:pPr>
        <w:pStyle w:val="Heading3"/>
        <w:spacing w:line="360" w:lineRule="auto"/>
        <w:rPr>
          <w:rFonts w:ascii="Times New Roman" w:hAnsi="Times New Roman" w:cs="Times New Roman"/>
        </w:rPr>
      </w:pPr>
      <w:bookmarkStart w:id="5" w:name="_Toc185166120"/>
      <w:r w:rsidRPr="00407E38">
        <w:rPr>
          <w:rFonts w:ascii="Times New Roman" w:hAnsi="Times New Roman" w:cs="Times New Roman"/>
        </w:rPr>
        <w:t>3.1 Target Population</w:t>
      </w:r>
      <w:bookmarkEnd w:id="5"/>
      <w:r w:rsidRPr="00407E38">
        <w:rPr>
          <w:rFonts w:ascii="Times New Roman" w:hAnsi="Times New Roman" w:cs="Times New Roman"/>
        </w:rPr>
        <w:t xml:space="preserve"> </w:t>
      </w:r>
    </w:p>
    <w:p w14:paraId="1D816E1B" w14:textId="77777777" w:rsidR="006E2282" w:rsidRPr="00407E38" w:rsidRDefault="006E2282" w:rsidP="00407E38">
      <w:pPr>
        <w:spacing w:line="360" w:lineRule="auto"/>
        <w:jc w:val="both"/>
        <w:rPr>
          <w:rFonts w:ascii="Times New Roman" w:hAnsi="Times New Roman"/>
          <w:b/>
          <w:bCs/>
          <w:sz w:val="24"/>
          <w:szCs w:val="24"/>
        </w:rPr>
      </w:pPr>
    </w:p>
    <w:p w14:paraId="0969CD7D" w14:textId="77777777" w:rsidR="006E2282" w:rsidRPr="00407E38" w:rsidRDefault="006E2282"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According to Mongin (1999), population refers to the total number of people who share specific traits and are of interest to the researcher. Similarly, </w:t>
      </w:r>
      <w:proofErr w:type="spellStart"/>
      <w:r w:rsidRPr="00407E38">
        <w:rPr>
          <w:rFonts w:ascii="Times New Roman" w:hAnsi="Times New Roman"/>
          <w:sz w:val="24"/>
          <w:szCs w:val="24"/>
        </w:rPr>
        <w:t>Oshagbemi</w:t>
      </w:r>
      <w:proofErr w:type="spellEnd"/>
      <w:r w:rsidRPr="00407E38">
        <w:rPr>
          <w:rFonts w:ascii="Times New Roman" w:hAnsi="Times New Roman"/>
          <w:sz w:val="24"/>
          <w:szCs w:val="24"/>
        </w:rPr>
        <w:t xml:space="preserve"> (2017) defines a population as the number of people or items included in the study or with which it is concerned. The target population in the study refers to the people who were affected by natural disasters in South Africa and Zimbabwe in the case study area. The study population in Chimanimani is approximately 154 288 as shown by the Zimbabwe’s 2022 census. Chimanimani has 94% of population living in rural areas, and it is important to note that the study used the population data as a target population because the study surveyed communities that were affected by natural disasters (cyclone </w:t>
      </w:r>
      <w:proofErr w:type="spellStart"/>
      <w:r w:rsidRPr="00407E38">
        <w:rPr>
          <w:rFonts w:ascii="Times New Roman" w:hAnsi="Times New Roman"/>
          <w:sz w:val="24"/>
          <w:szCs w:val="24"/>
        </w:rPr>
        <w:t>idai</w:t>
      </w:r>
      <w:proofErr w:type="spellEnd"/>
      <w:r w:rsidRPr="00407E38">
        <w:rPr>
          <w:rFonts w:ascii="Times New Roman" w:hAnsi="Times New Roman"/>
          <w:sz w:val="24"/>
          <w:szCs w:val="24"/>
        </w:rPr>
        <w:t xml:space="preserve"> ) and those that were not affected . The target population of the study in KZN included individuals in </w:t>
      </w:r>
      <w:proofErr w:type="spellStart"/>
      <w:r w:rsidRPr="00407E38">
        <w:rPr>
          <w:rFonts w:ascii="Times New Roman" w:hAnsi="Times New Roman"/>
          <w:sz w:val="24"/>
          <w:szCs w:val="24"/>
        </w:rPr>
        <w:t>Toongaat</w:t>
      </w:r>
      <w:proofErr w:type="spellEnd"/>
      <w:r w:rsidRPr="00407E38">
        <w:rPr>
          <w:rFonts w:ascii="Times New Roman" w:hAnsi="Times New Roman"/>
          <w:sz w:val="24"/>
          <w:szCs w:val="24"/>
        </w:rPr>
        <w:t xml:space="preserve"> which has a population of 18223 as per 2022 population census and it included both communities that were affected by the tornado and those that were not affected </w:t>
      </w:r>
    </w:p>
    <w:p w14:paraId="3AFCF96B" w14:textId="77777777" w:rsidR="006E2282" w:rsidRPr="00407E38" w:rsidRDefault="006E2282" w:rsidP="00407E38">
      <w:pPr>
        <w:spacing w:line="360" w:lineRule="auto"/>
        <w:jc w:val="both"/>
        <w:rPr>
          <w:rFonts w:ascii="Times New Roman" w:hAnsi="Times New Roman"/>
          <w:sz w:val="24"/>
          <w:szCs w:val="24"/>
        </w:rPr>
      </w:pPr>
    </w:p>
    <w:p w14:paraId="15F962E1" w14:textId="073FAF3B" w:rsidR="006E2282" w:rsidRPr="00407E38" w:rsidRDefault="006E2282" w:rsidP="00407E38">
      <w:pPr>
        <w:pStyle w:val="Heading3"/>
        <w:spacing w:line="360" w:lineRule="auto"/>
        <w:rPr>
          <w:rFonts w:ascii="Times New Roman" w:hAnsi="Times New Roman" w:cs="Times New Roman"/>
        </w:rPr>
      </w:pPr>
      <w:bookmarkStart w:id="6" w:name="_Toc185166121"/>
      <w:r w:rsidRPr="00407E38">
        <w:rPr>
          <w:rFonts w:ascii="Times New Roman" w:hAnsi="Times New Roman" w:cs="Times New Roman"/>
        </w:rPr>
        <w:t>3.2 Sampling technique</w:t>
      </w:r>
      <w:bookmarkEnd w:id="6"/>
    </w:p>
    <w:p w14:paraId="1B52FF86" w14:textId="77777777" w:rsidR="006E2282" w:rsidRPr="00407E38" w:rsidRDefault="006E2282"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 The study will use judgmental non-probability sampling is also known as the purposive sampling technique (Latham, 2007). Judgmental sampling is said to comprise three different methods, namely critical case, most similar/dissimilar case, and typical case (Foley, 2018). This type of sampling is based on the knowledge of the researcher about the characteristics of the population and the purpose of the study. Researchers utilise judgmental sampling to answer a specific question on a matter or products. The advantage in using the judgmental sampling technique is that the researcher possesses internal knowledge about the characteristics of the population (Etherington,2000). Moreover, like quota sampling, judgmental sampling is likened </w:t>
      </w:r>
      <w:r w:rsidRPr="00407E38">
        <w:rPr>
          <w:rFonts w:ascii="Times New Roman" w:hAnsi="Times New Roman"/>
          <w:sz w:val="24"/>
          <w:szCs w:val="24"/>
        </w:rPr>
        <w:lastRenderedPageBreak/>
        <w:t xml:space="preserve">to stratified sampling; however, in judgmental sampling all participants who are randomly selected are included in a study(Foley, 2018). </w:t>
      </w:r>
    </w:p>
    <w:p w14:paraId="2D8F3DBB" w14:textId="77777777" w:rsidR="00887B51" w:rsidRPr="00407E38" w:rsidRDefault="00887B51" w:rsidP="00407E38">
      <w:pPr>
        <w:pStyle w:val="Heading3"/>
        <w:spacing w:line="360" w:lineRule="auto"/>
        <w:rPr>
          <w:rFonts w:ascii="Times New Roman" w:hAnsi="Times New Roman" w:cs="Times New Roman"/>
          <w:lang w:val="en-ZA"/>
        </w:rPr>
      </w:pPr>
    </w:p>
    <w:p w14:paraId="27ECD26F" w14:textId="695ABDDD" w:rsidR="006E2282" w:rsidRPr="00407E38" w:rsidRDefault="00761BB1" w:rsidP="00407E38">
      <w:pPr>
        <w:pStyle w:val="Heading3"/>
        <w:spacing w:line="360" w:lineRule="auto"/>
        <w:rPr>
          <w:rFonts w:ascii="Times New Roman" w:hAnsi="Times New Roman" w:cs="Times New Roman"/>
          <w:lang w:val="en-ZA"/>
        </w:rPr>
      </w:pPr>
      <w:r w:rsidRPr="00407E38">
        <w:rPr>
          <w:rFonts w:ascii="Times New Roman" w:hAnsi="Times New Roman" w:cs="Times New Roman"/>
          <w:lang w:val="en-ZA"/>
        </w:rPr>
        <w:t xml:space="preserve">3.3 </w:t>
      </w:r>
      <w:r w:rsidR="00887B51" w:rsidRPr="00407E38">
        <w:rPr>
          <w:rFonts w:ascii="Times New Roman" w:hAnsi="Times New Roman" w:cs="Times New Roman"/>
          <w:lang w:val="en-ZA"/>
        </w:rPr>
        <w:t xml:space="preserve">Sample size </w:t>
      </w:r>
    </w:p>
    <w:p w14:paraId="7E02BF88" w14:textId="77777777" w:rsidR="00887B51" w:rsidRPr="00407E38" w:rsidRDefault="00887B51" w:rsidP="00407E38">
      <w:pPr>
        <w:spacing w:line="360" w:lineRule="auto"/>
        <w:jc w:val="both"/>
        <w:rPr>
          <w:rFonts w:ascii="Times New Roman" w:hAnsi="Times New Roman"/>
          <w:sz w:val="24"/>
          <w:szCs w:val="24"/>
        </w:rPr>
      </w:pPr>
      <w:r w:rsidRPr="00407E38">
        <w:rPr>
          <w:rFonts w:ascii="Times New Roman" w:hAnsi="Times New Roman"/>
          <w:sz w:val="24"/>
          <w:szCs w:val="24"/>
        </w:rPr>
        <w:t>the target population was 24 608 calculated based on the number of households affected in Chimanimani (17608) plus households affected in Tongaat (7000) housing units, the size of the sample was then determined using the above formula as indicated below</w:t>
      </w:r>
    </w:p>
    <w:p w14:paraId="4A7ABA61" w14:textId="4AF19725" w:rsidR="00887B51" w:rsidRPr="00407E38" w:rsidRDefault="00761BB1" w:rsidP="00407E38">
      <w:pPr>
        <w:spacing w:line="360" w:lineRule="auto"/>
        <w:jc w:val="both"/>
        <w:rPr>
          <w:rFonts w:ascii="Times New Roman" w:hAnsi="Times New Roman"/>
          <w:sz w:val="24"/>
          <w:szCs w:val="24"/>
        </w:rPr>
      </w:pPr>
      <m:oMath>
        <m:r>
          <w:rPr>
            <w:rFonts w:ascii="Cambria Math" w:hAnsi="Cambria Math"/>
            <w:sz w:val="24"/>
            <w:szCs w:val="24"/>
          </w:rPr>
          <m:t>n=</m:t>
        </m:r>
        <m:f>
          <m:fPr>
            <m:ctrlPr>
              <w:rPr>
                <w:rFonts w:ascii="Cambria Math" w:hAnsi="Cambria Math"/>
                <w:i/>
                <w:sz w:val="24"/>
                <w:szCs w:val="24"/>
              </w:rPr>
            </m:ctrlPr>
          </m:fPr>
          <m:num>
            <m:r>
              <w:rPr>
                <w:rFonts w:ascii="Cambria Math" w:hAnsi="Cambria Math"/>
                <w:sz w:val="24"/>
                <w:szCs w:val="24"/>
              </w:rPr>
              <m:t>24608</m:t>
            </m:r>
          </m:num>
          <m:den>
            <m:r>
              <w:rPr>
                <w:rFonts w:ascii="Cambria Math" w:hAnsi="Cambria Math"/>
                <w:sz w:val="24"/>
                <w:szCs w:val="24"/>
              </w:rPr>
              <m:t>(1+24608</m:t>
            </m:r>
            <m:sSup>
              <m:sSupPr>
                <m:ctrlPr>
                  <w:rPr>
                    <w:rFonts w:ascii="Cambria Math" w:hAnsi="Cambria Math"/>
                    <w:i/>
                    <w:sz w:val="24"/>
                    <w:szCs w:val="24"/>
                  </w:rPr>
                </m:ctrlPr>
              </m:sSupPr>
              <m:e>
                <m:r>
                  <w:rPr>
                    <w:rFonts w:ascii="Cambria Math" w:hAnsi="Cambria Math"/>
                    <w:sz w:val="24"/>
                    <w:szCs w:val="24"/>
                  </w:rPr>
                  <m:t>*0.05</m:t>
                </m:r>
              </m:e>
              <m:sup>
                <m:r>
                  <w:rPr>
                    <w:rFonts w:ascii="Cambria Math" w:hAnsi="Cambria Math"/>
                    <w:sz w:val="24"/>
                    <w:szCs w:val="24"/>
                  </w:rPr>
                  <m:t>2</m:t>
                </m:r>
              </m:sup>
            </m:sSup>
            <m:r>
              <w:rPr>
                <w:rFonts w:ascii="Cambria Math" w:hAnsi="Cambria Math"/>
                <w:sz w:val="24"/>
                <w:szCs w:val="24"/>
              </w:rPr>
              <m:t>)</m:t>
            </m:r>
          </m:den>
        </m:f>
      </m:oMath>
      <w:r w:rsidR="00887B51" w:rsidRPr="00407E38">
        <w:rPr>
          <w:rFonts w:ascii="Times New Roman" w:hAnsi="Times New Roman"/>
          <w:sz w:val="24"/>
          <w:szCs w:val="24"/>
        </w:rPr>
        <w:t xml:space="preserve">= 393 participants </w:t>
      </w:r>
    </w:p>
    <w:p w14:paraId="614D081B" w14:textId="77777777" w:rsidR="00887B51" w:rsidRPr="00407E38" w:rsidRDefault="00887B51" w:rsidP="00407E38">
      <w:pPr>
        <w:spacing w:line="360" w:lineRule="auto"/>
        <w:jc w:val="both"/>
        <w:rPr>
          <w:rFonts w:ascii="Times New Roman" w:hAnsi="Times New Roman"/>
          <w:sz w:val="24"/>
          <w:szCs w:val="24"/>
        </w:rPr>
      </w:pPr>
    </w:p>
    <w:p w14:paraId="75C3A176" w14:textId="633CF116" w:rsidR="00DD5AF6" w:rsidRPr="00407E38" w:rsidRDefault="00887B51" w:rsidP="00407E38">
      <w:pPr>
        <w:spacing w:line="360" w:lineRule="auto"/>
        <w:jc w:val="both"/>
        <w:rPr>
          <w:rFonts w:ascii="Times New Roman" w:hAnsi="Times New Roman"/>
          <w:sz w:val="24"/>
          <w:szCs w:val="24"/>
        </w:rPr>
      </w:pPr>
      <w:r w:rsidRPr="00407E38">
        <w:rPr>
          <w:rFonts w:ascii="Times New Roman" w:hAnsi="Times New Roman"/>
          <w:sz w:val="24"/>
          <w:szCs w:val="24"/>
        </w:rPr>
        <w:t>Following the study by Reynaud, Nguyen and Aubert (2018 ) which collected 16-20 households per village and had a sample size of 448 households from 28 villages/communes from 14 districts. Due to primary and secondary constraints, the study collected data from 260 households, 110 in Tongaat and 150 in Chimanimani.</w:t>
      </w:r>
    </w:p>
    <w:p w14:paraId="1A6574E3" w14:textId="0F9C1DCA" w:rsidR="00792313" w:rsidRPr="00407E38" w:rsidRDefault="00761BB1" w:rsidP="00407E38">
      <w:pPr>
        <w:pStyle w:val="Heading3"/>
        <w:spacing w:line="360" w:lineRule="auto"/>
        <w:rPr>
          <w:rFonts w:ascii="Times New Roman" w:hAnsi="Times New Roman" w:cs="Times New Roman"/>
          <w:lang w:val="en-ZA"/>
        </w:rPr>
      </w:pPr>
      <w:r w:rsidRPr="00407E38">
        <w:rPr>
          <w:rFonts w:ascii="Times New Roman" w:hAnsi="Times New Roman" w:cs="Times New Roman"/>
          <w:lang w:val="en-ZA"/>
        </w:rPr>
        <w:t xml:space="preserve">4. </w:t>
      </w:r>
      <w:r w:rsidR="00792313" w:rsidRPr="00407E38">
        <w:rPr>
          <w:rFonts w:ascii="Times New Roman" w:hAnsi="Times New Roman" w:cs="Times New Roman"/>
          <w:lang w:val="en-ZA"/>
        </w:rPr>
        <w:t xml:space="preserve">Methodology </w:t>
      </w:r>
      <w:r w:rsidR="00B46E15" w:rsidRPr="00407E38">
        <w:rPr>
          <w:rFonts w:ascii="Times New Roman" w:hAnsi="Times New Roman" w:cs="Times New Roman"/>
          <w:lang w:val="en-ZA"/>
        </w:rPr>
        <w:t> </w:t>
      </w:r>
    </w:p>
    <w:p w14:paraId="24E0FE11" w14:textId="58F326F4" w:rsidR="00B46E15" w:rsidRPr="00407E38" w:rsidRDefault="00792313" w:rsidP="00407E38">
      <w:pPr>
        <w:pStyle w:val="Heading3"/>
        <w:spacing w:line="360" w:lineRule="auto"/>
        <w:rPr>
          <w:rFonts w:ascii="Times New Roman" w:hAnsi="Times New Roman" w:cs="Times New Roman"/>
          <w:lang w:val="en-ZA"/>
        </w:rPr>
      </w:pPr>
      <w:r w:rsidRPr="00407E38">
        <w:rPr>
          <w:rFonts w:ascii="Times New Roman" w:hAnsi="Times New Roman" w:cs="Times New Roman"/>
          <w:lang w:val="en-ZA"/>
        </w:rPr>
        <w:t xml:space="preserve">4.1 </w:t>
      </w:r>
      <w:r w:rsidR="00B46E15" w:rsidRPr="00407E38">
        <w:rPr>
          <w:rFonts w:ascii="Times New Roman" w:hAnsi="Times New Roman" w:cs="Times New Roman"/>
          <w:lang w:val="en-ZA"/>
        </w:rPr>
        <w:t xml:space="preserve">Designing a CE for flood insurance demand in </w:t>
      </w:r>
      <w:r w:rsidR="00761BB1" w:rsidRPr="00407E38">
        <w:rPr>
          <w:rFonts w:ascii="Times New Roman" w:hAnsi="Times New Roman" w:cs="Times New Roman"/>
          <w:lang w:val="en-ZA"/>
        </w:rPr>
        <w:t>South Africa</w:t>
      </w:r>
      <w:r w:rsidR="00637E5C" w:rsidRPr="00407E38">
        <w:rPr>
          <w:rFonts w:ascii="Times New Roman" w:hAnsi="Times New Roman" w:cs="Times New Roman"/>
          <w:lang w:val="en-ZA"/>
        </w:rPr>
        <w:t xml:space="preserve"> and Zimbabwe </w:t>
      </w:r>
    </w:p>
    <w:p w14:paraId="097DEF9D" w14:textId="42936D88" w:rsidR="00C37689" w:rsidRPr="00407E38" w:rsidRDefault="00C37689" w:rsidP="00407E38">
      <w:pPr>
        <w:pStyle w:val="Heading3"/>
        <w:spacing w:line="360" w:lineRule="auto"/>
        <w:rPr>
          <w:rFonts w:ascii="Times New Roman" w:hAnsi="Times New Roman" w:cs="Times New Roman"/>
        </w:rPr>
      </w:pPr>
      <w:bookmarkStart w:id="7" w:name="_Toc185166132"/>
      <w:r w:rsidRPr="00407E38">
        <w:rPr>
          <w:rFonts w:ascii="Times New Roman" w:hAnsi="Times New Roman" w:cs="Times New Roman"/>
        </w:rPr>
        <w:t>4.</w:t>
      </w:r>
      <w:r w:rsidR="00761BB1" w:rsidRPr="00407E38">
        <w:rPr>
          <w:rFonts w:ascii="Times New Roman" w:hAnsi="Times New Roman" w:cs="Times New Roman"/>
        </w:rPr>
        <w:t>1</w:t>
      </w:r>
      <w:r w:rsidR="00792313" w:rsidRPr="00407E38">
        <w:rPr>
          <w:rFonts w:ascii="Times New Roman" w:hAnsi="Times New Roman" w:cs="Times New Roman"/>
        </w:rPr>
        <w:t xml:space="preserve">.1 </w:t>
      </w:r>
      <w:r w:rsidRPr="00407E38">
        <w:rPr>
          <w:rFonts w:ascii="Times New Roman" w:hAnsi="Times New Roman" w:cs="Times New Roman"/>
        </w:rPr>
        <w:t>Questionnaire development</w:t>
      </w:r>
      <w:bookmarkEnd w:id="7"/>
      <w:r w:rsidRPr="00407E38">
        <w:rPr>
          <w:rFonts w:ascii="Times New Roman" w:hAnsi="Times New Roman" w:cs="Times New Roman"/>
        </w:rPr>
        <w:t xml:space="preserve"> </w:t>
      </w:r>
    </w:p>
    <w:p w14:paraId="3F5DFEFA" w14:textId="0C023669" w:rsidR="00C37689" w:rsidRPr="00407E38" w:rsidRDefault="00C37689" w:rsidP="00407E38">
      <w:pPr>
        <w:spacing w:line="360" w:lineRule="auto"/>
        <w:jc w:val="both"/>
        <w:rPr>
          <w:rFonts w:ascii="Times New Roman" w:hAnsi="Times New Roman"/>
          <w:sz w:val="24"/>
          <w:szCs w:val="24"/>
        </w:rPr>
      </w:pPr>
      <w:bookmarkStart w:id="8" w:name="_Toc184826365"/>
      <w:bookmarkStart w:id="9" w:name="_Toc185166133"/>
      <w:r w:rsidRPr="00407E38">
        <w:rPr>
          <w:rFonts w:ascii="Times New Roman" w:hAnsi="Times New Roman"/>
          <w:sz w:val="24"/>
          <w:szCs w:val="24"/>
        </w:rPr>
        <w:t>The designing of the questionnaire involved consultations with experienced choice modelling researchers in South Africa and Zimbabwe, local experts and local Government and Authorities in the period of (November 2021- January 2022). During the period of the instrument development, various meetings were set up between the team of researchers and the local authorities. After the consultations, the questionnaire was presented to the various stakeholders in the study and modified. The questionnaire was taken to the stakeholder representatives to check for clarity and understanding of the survey and further adjustments. The questionnaire was then taken for a feasibility study in March 2024. The data collected from the pilot study was estimated, and further modifications to the questionnaire were made.</w:t>
      </w:r>
      <w:bookmarkEnd w:id="8"/>
      <w:bookmarkEnd w:id="9"/>
    </w:p>
    <w:p w14:paraId="6789D60F" w14:textId="486247A4" w:rsidR="00C37689" w:rsidRPr="00407E38" w:rsidRDefault="00C37689" w:rsidP="00407E38">
      <w:pPr>
        <w:spacing w:line="360" w:lineRule="auto"/>
        <w:jc w:val="both"/>
        <w:rPr>
          <w:rFonts w:ascii="Times New Roman" w:hAnsi="Times New Roman"/>
          <w:sz w:val="24"/>
          <w:szCs w:val="24"/>
        </w:rPr>
      </w:pPr>
    </w:p>
    <w:p w14:paraId="2DE5F76F" w14:textId="726FFCB4" w:rsidR="00C37689" w:rsidRPr="00407E38" w:rsidRDefault="00C37689" w:rsidP="00407E38">
      <w:pPr>
        <w:pStyle w:val="Heading3"/>
        <w:spacing w:line="360" w:lineRule="auto"/>
        <w:rPr>
          <w:rFonts w:ascii="Times New Roman" w:hAnsi="Times New Roman" w:cs="Times New Roman"/>
        </w:rPr>
      </w:pPr>
      <w:bookmarkStart w:id="10" w:name="_Toc185166134"/>
      <w:r w:rsidRPr="00407E38">
        <w:rPr>
          <w:rFonts w:ascii="Times New Roman" w:hAnsi="Times New Roman" w:cs="Times New Roman"/>
        </w:rPr>
        <w:t>4.</w:t>
      </w:r>
      <w:r w:rsidR="00761BB1" w:rsidRPr="00407E38">
        <w:rPr>
          <w:rFonts w:ascii="Times New Roman" w:hAnsi="Times New Roman" w:cs="Times New Roman"/>
        </w:rPr>
        <w:t>2</w:t>
      </w:r>
      <w:r w:rsidRPr="00407E38">
        <w:rPr>
          <w:rFonts w:ascii="Times New Roman" w:hAnsi="Times New Roman" w:cs="Times New Roman"/>
        </w:rPr>
        <w:t xml:space="preserve"> Experimental design (choice experiment)</w:t>
      </w:r>
      <w:bookmarkEnd w:id="10"/>
      <w:r w:rsidRPr="00407E38">
        <w:rPr>
          <w:rFonts w:ascii="Times New Roman" w:hAnsi="Times New Roman" w:cs="Times New Roman"/>
        </w:rPr>
        <w:t xml:space="preserve"> </w:t>
      </w:r>
      <w:r w:rsidR="007E7809" w:rsidRPr="00407E38">
        <w:rPr>
          <w:rFonts w:ascii="Times New Roman" w:hAnsi="Times New Roman" w:cs="Times New Roman"/>
        </w:rPr>
        <w:t xml:space="preserve">construction </w:t>
      </w:r>
      <w:r w:rsidR="00761BB1" w:rsidRPr="00407E38">
        <w:rPr>
          <w:rFonts w:ascii="Times New Roman" w:hAnsi="Times New Roman" w:cs="Times New Roman"/>
        </w:rPr>
        <w:t>of choice</w:t>
      </w:r>
      <w:r w:rsidR="007E7809" w:rsidRPr="00407E38">
        <w:rPr>
          <w:rFonts w:ascii="Times New Roman" w:hAnsi="Times New Roman" w:cs="Times New Roman"/>
        </w:rPr>
        <w:t xml:space="preserve"> sets </w:t>
      </w:r>
    </w:p>
    <w:p w14:paraId="6A522C12" w14:textId="771CE574" w:rsidR="00C37689" w:rsidRPr="00407E38" w:rsidRDefault="00C37689"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The designing of the experiment maximizes the survey efficiency, which is to ensure that each component of the survey collects data that contributes valuable information to the whole study </w:t>
      </w:r>
      <w:r w:rsidRPr="00407E38">
        <w:rPr>
          <w:rFonts w:ascii="Times New Roman" w:hAnsi="Times New Roman"/>
          <w:sz w:val="24"/>
          <w:szCs w:val="24"/>
        </w:rPr>
        <w:lastRenderedPageBreak/>
        <w:t>design and question. To achieve this the choices in the set alternatives should be valid and having a background concept they proxy. The efficiency is important because the preferences for different levels of attributes should be individually identified. The designing of the experiment follows a two-step process which includes identifying the optimal combinations which provide optimal information to answer the concept in question (Terris-</w:t>
      </w:r>
      <w:proofErr w:type="spellStart"/>
      <w:r w:rsidRPr="00407E38">
        <w:rPr>
          <w:rFonts w:ascii="Times New Roman" w:hAnsi="Times New Roman"/>
          <w:sz w:val="24"/>
          <w:szCs w:val="24"/>
        </w:rPr>
        <w:t>prestholt</w:t>
      </w:r>
      <w:proofErr w:type="spellEnd"/>
      <w:r w:rsidRPr="00407E38">
        <w:rPr>
          <w:rFonts w:ascii="Times New Roman" w:hAnsi="Times New Roman"/>
          <w:sz w:val="24"/>
          <w:szCs w:val="24"/>
        </w:rPr>
        <w:t xml:space="preserve"> et al., 2019</w:t>
      </w:r>
      <w:r w:rsidR="009806C9" w:rsidRPr="00407E38">
        <w:rPr>
          <w:rFonts w:ascii="Times New Roman" w:hAnsi="Times New Roman"/>
          <w:sz w:val="24"/>
          <w:szCs w:val="24"/>
        </w:rPr>
        <w:t>)</w:t>
      </w:r>
      <w:r w:rsidRPr="00407E38">
        <w:rPr>
          <w:rFonts w:ascii="Times New Roman" w:hAnsi="Times New Roman"/>
          <w:sz w:val="24"/>
          <w:szCs w:val="24"/>
        </w:rPr>
        <w:t>. After obtaining the optimal combinations they are grouped into choice sets the second step involves applying these choice sets into a questioner (Terris-</w:t>
      </w:r>
      <w:proofErr w:type="spellStart"/>
      <w:r w:rsidRPr="00407E38">
        <w:rPr>
          <w:rFonts w:ascii="Times New Roman" w:hAnsi="Times New Roman"/>
          <w:sz w:val="24"/>
          <w:szCs w:val="24"/>
        </w:rPr>
        <w:t>prestholt</w:t>
      </w:r>
      <w:proofErr w:type="spellEnd"/>
      <w:r w:rsidRPr="00407E38">
        <w:rPr>
          <w:rFonts w:ascii="Times New Roman" w:hAnsi="Times New Roman"/>
          <w:sz w:val="24"/>
          <w:szCs w:val="24"/>
        </w:rPr>
        <w:t xml:space="preserve"> et al., 2019. The factorial design of a choice experiment is very large and is not traceable therefore a subset of all possible combination must be chosen (Vega &amp; Alpizar, 2011). Following design by (Vega &amp; Alpizar, (2011). Vega, and Alpizar, (2011) which is based on four main principles, which are: 1). orthogonally, where the levels of the attributes within each set must not be correlated, 2). Level balance, where attribute levels appear the same number of times within a choice set 3). Minimal overlap, where attribute levels are not repeated within a choice set and 4). </w:t>
      </w:r>
    </w:p>
    <w:p w14:paraId="6D71AB11" w14:textId="77777777" w:rsidR="00C37689" w:rsidRPr="00407E38" w:rsidRDefault="00C37689" w:rsidP="00407E38">
      <w:pPr>
        <w:spacing w:line="360" w:lineRule="auto"/>
        <w:jc w:val="both"/>
        <w:rPr>
          <w:rFonts w:ascii="Times New Roman" w:hAnsi="Times New Roman"/>
          <w:sz w:val="24"/>
          <w:szCs w:val="24"/>
        </w:rPr>
      </w:pPr>
    </w:p>
    <w:p w14:paraId="3CBCA708" w14:textId="25D5B0E2" w:rsidR="00C37689" w:rsidRPr="00407E38" w:rsidRDefault="00C37689"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 For the construction of the choice sets we implemented </w:t>
      </w:r>
      <w:proofErr w:type="spellStart"/>
      <w:r w:rsidRPr="00407E38">
        <w:rPr>
          <w:rFonts w:ascii="Times New Roman" w:hAnsi="Times New Roman"/>
          <w:sz w:val="24"/>
          <w:szCs w:val="24"/>
        </w:rPr>
        <w:t>D</w:t>
      </w:r>
      <w:r w:rsidRPr="00407E38">
        <w:rPr>
          <w:rFonts w:ascii="Times New Roman" w:hAnsi="Times New Roman"/>
          <w:sz w:val="24"/>
          <w:szCs w:val="24"/>
          <w:vertAlign w:val="subscript"/>
        </w:rPr>
        <w:t>zero</w:t>
      </w:r>
      <w:proofErr w:type="spellEnd"/>
      <w:r w:rsidRPr="00407E38">
        <w:rPr>
          <w:rFonts w:ascii="Times New Roman" w:hAnsi="Times New Roman"/>
          <w:sz w:val="24"/>
          <w:szCs w:val="24"/>
        </w:rPr>
        <w:t xml:space="preserve"> -Efficient design (mainly due to the invalidity of the priors from the feasibility study due to sample size and target group differences).  Using the Stata Software which provides a D-Efficient Choice set design the study undertook an efficiency optimal criterion to test the efficiency and the insensitivity of the magnitude of the parameters (Reynaud &amp; Nguyen, 2018). The </w:t>
      </w:r>
      <w:proofErr w:type="spellStart"/>
      <w:r w:rsidRPr="00407E38">
        <w:rPr>
          <w:rFonts w:ascii="Times New Roman" w:hAnsi="Times New Roman"/>
          <w:sz w:val="24"/>
          <w:szCs w:val="24"/>
        </w:rPr>
        <w:t>D</w:t>
      </w:r>
      <w:r w:rsidRPr="00407E38">
        <w:rPr>
          <w:rFonts w:ascii="Times New Roman" w:hAnsi="Times New Roman"/>
          <w:sz w:val="24"/>
          <w:szCs w:val="24"/>
          <w:vertAlign w:val="subscript"/>
        </w:rPr>
        <w:t>zero</w:t>
      </w:r>
      <w:proofErr w:type="spellEnd"/>
      <w:r w:rsidRPr="00407E38">
        <w:rPr>
          <w:rFonts w:ascii="Times New Roman" w:hAnsi="Times New Roman"/>
          <w:sz w:val="24"/>
          <w:szCs w:val="24"/>
        </w:rPr>
        <w:t xml:space="preserve"> – Efficient design used in the designing of the choice sets is attached in Appendix </w:t>
      </w:r>
      <w:r w:rsidR="00761BB1" w:rsidRPr="00407E38">
        <w:rPr>
          <w:rFonts w:ascii="Times New Roman" w:hAnsi="Times New Roman"/>
          <w:sz w:val="24"/>
          <w:szCs w:val="24"/>
        </w:rPr>
        <w:t>2</w:t>
      </w:r>
      <w:r w:rsidRPr="00407E38">
        <w:rPr>
          <w:rFonts w:ascii="Times New Roman" w:hAnsi="Times New Roman"/>
          <w:sz w:val="24"/>
          <w:szCs w:val="24"/>
        </w:rPr>
        <w:t xml:space="preserve"> below. The study used the attributes discussed in section 4.</w:t>
      </w:r>
      <w:r w:rsidR="00761BB1" w:rsidRPr="00407E38">
        <w:rPr>
          <w:rFonts w:ascii="Times New Roman" w:hAnsi="Times New Roman"/>
          <w:sz w:val="24"/>
          <w:szCs w:val="24"/>
        </w:rPr>
        <w:t>3</w:t>
      </w:r>
      <w:r w:rsidRPr="00407E38">
        <w:rPr>
          <w:rFonts w:ascii="Times New Roman" w:hAnsi="Times New Roman"/>
          <w:sz w:val="24"/>
          <w:szCs w:val="24"/>
        </w:rPr>
        <w:t xml:space="preserve"> below and their level </w:t>
      </w:r>
      <w:r w:rsidR="00641CFF" w:rsidRPr="00407E38">
        <w:rPr>
          <w:rFonts w:ascii="Times New Roman" w:hAnsi="Times New Roman"/>
          <w:sz w:val="24"/>
          <w:szCs w:val="24"/>
        </w:rPr>
        <w:t>matrixes</w:t>
      </w:r>
      <w:r w:rsidRPr="00407E38">
        <w:rPr>
          <w:rFonts w:ascii="Times New Roman" w:hAnsi="Times New Roman"/>
          <w:sz w:val="24"/>
          <w:szCs w:val="24"/>
        </w:rPr>
        <w:t xml:space="preserve"> to code for the designing of the choice sets and limited the software output to 8 choice sets.</w:t>
      </w:r>
    </w:p>
    <w:p w14:paraId="2C60C17D" w14:textId="77777777" w:rsidR="00C37689" w:rsidRPr="00407E38" w:rsidRDefault="00C37689" w:rsidP="00407E38">
      <w:pPr>
        <w:pStyle w:val="Heading3"/>
        <w:spacing w:line="360" w:lineRule="auto"/>
        <w:rPr>
          <w:rFonts w:ascii="Times New Roman" w:hAnsi="Times New Roman" w:cs="Times New Roman"/>
        </w:rPr>
      </w:pPr>
    </w:p>
    <w:p w14:paraId="16EB9B40" w14:textId="5B4E96E3" w:rsidR="00C37689" w:rsidRPr="00407E38" w:rsidRDefault="00C37689" w:rsidP="00407E38">
      <w:pPr>
        <w:pStyle w:val="Heading3"/>
        <w:spacing w:line="360" w:lineRule="auto"/>
        <w:rPr>
          <w:rFonts w:ascii="Times New Roman" w:hAnsi="Times New Roman" w:cs="Times New Roman"/>
        </w:rPr>
      </w:pPr>
      <w:bookmarkStart w:id="11" w:name="_Toc185166135"/>
      <w:r w:rsidRPr="00407E38">
        <w:rPr>
          <w:rFonts w:ascii="Times New Roman" w:hAnsi="Times New Roman" w:cs="Times New Roman"/>
        </w:rPr>
        <w:t>4.</w:t>
      </w:r>
      <w:r w:rsidR="00761BB1" w:rsidRPr="00407E38">
        <w:rPr>
          <w:rFonts w:ascii="Times New Roman" w:hAnsi="Times New Roman" w:cs="Times New Roman"/>
        </w:rPr>
        <w:t>3</w:t>
      </w:r>
      <w:r w:rsidRPr="00407E38">
        <w:rPr>
          <w:rFonts w:ascii="Times New Roman" w:hAnsi="Times New Roman" w:cs="Times New Roman"/>
        </w:rPr>
        <w:t xml:space="preserve"> Attributes of Disaster Insurance Programs</w:t>
      </w:r>
      <w:bookmarkEnd w:id="11"/>
    </w:p>
    <w:p w14:paraId="67AF9A9F" w14:textId="454996AA" w:rsidR="00C37689" w:rsidRPr="00407E38" w:rsidRDefault="00C37689"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In choice experiment analysis it is important to identify and clearly define the attributes. Choice experiments are highly dependent on the level of accuracy and the tightness in terms of the definition of the characteristics and features of the good/product in question as these attributes affect the respondent's choices (Reynaud &amp; Aubert, 2019). Mangham et al., (2009) note that the definition and selection of attributes should be in line with their relevance in terms of policy and their level to change response from preferences. The initial step when analysing using a choice experiment is to narrow the definition of the good to be valued (Hoyas 2010).  Relative to this study the good to be valued in our choice experiment study is a Tornado, flood, and </w:t>
      </w:r>
      <w:r w:rsidRPr="00407E38">
        <w:rPr>
          <w:rFonts w:ascii="Times New Roman" w:hAnsi="Times New Roman"/>
          <w:sz w:val="24"/>
          <w:szCs w:val="24"/>
        </w:rPr>
        <w:lastRenderedPageBreak/>
        <w:t>cyclone insurance policy. The study explored research using a systematic literature review of different studies which involved different types of natural hazard insurance. The study then extracted the attributes to be used in the choice experiment from the literature based on relatability to Zimbabwe and South Africa’s insurance. The studies from which the attributes where extracted can be shown i</w:t>
      </w:r>
      <w:r w:rsidR="00761BB1" w:rsidRPr="00407E38">
        <w:rPr>
          <w:rFonts w:ascii="Times New Roman" w:hAnsi="Times New Roman"/>
          <w:sz w:val="24"/>
          <w:szCs w:val="24"/>
        </w:rPr>
        <w:t xml:space="preserve">n appendix 1 below. </w:t>
      </w:r>
    </w:p>
    <w:p w14:paraId="6F7DD347" w14:textId="370ED43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Based on the cognitive limitation of choice sets and the recommendation of limiting alternatives between 3-5 the study selected the following attributes from the table above for the analysis for Zimbabwe and South Africa. The calculations of attribute levels included consultations with industry participants using existing products coupled with a systematic literature review in Table 4.1 above.  </w:t>
      </w:r>
      <w:r w:rsidR="00761BB1" w:rsidRPr="00407E38">
        <w:rPr>
          <w:rFonts w:ascii="Times New Roman" w:hAnsi="Times New Roman"/>
          <w:sz w:val="24"/>
          <w:szCs w:val="24"/>
        </w:rPr>
        <w:t>Therefore,</w:t>
      </w:r>
      <w:r w:rsidRPr="00407E38">
        <w:rPr>
          <w:rFonts w:ascii="Times New Roman" w:hAnsi="Times New Roman"/>
          <w:sz w:val="24"/>
          <w:szCs w:val="24"/>
        </w:rPr>
        <w:t xml:space="preserve"> the attributes selected for the study are explained in section 4.5.3.2.1 below. </w:t>
      </w:r>
    </w:p>
    <w:p w14:paraId="491F3DBC" w14:textId="2B86E6B8" w:rsidR="00D3479C" w:rsidRPr="00407E38" w:rsidRDefault="00D3479C" w:rsidP="00407E38">
      <w:pPr>
        <w:pStyle w:val="Heading3"/>
        <w:spacing w:line="360" w:lineRule="auto"/>
        <w:rPr>
          <w:rFonts w:ascii="Times New Roman" w:hAnsi="Times New Roman" w:cs="Times New Roman"/>
        </w:rPr>
      </w:pPr>
      <w:bookmarkStart w:id="12" w:name="_Toc185166136"/>
      <w:r w:rsidRPr="00407E38">
        <w:rPr>
          <w:rFonts w:ascii="Times New Roman" w:hAnsi="Times New Roman" w:cs="Times New Roman"/>
        </w:rPr>
        <w:t>4.</w:t>
      </w:r>
      <w:r w:rsidR="00761BB1" w:rsidRPr="00407E38">
        <w:rPr>
          <w:rFonts w:ascii="Times New Roman" w:hAnsi="Times New Roman" w:cs="Times New Roman"/>
        </w:rPr>
        <w:t>3</w:t>
      </w:r>
      <w:r w:rsidRPr="00407E38">
        <w:rPr>
          <w:rFonts w:ascii="Times New Roman" w:hAnsi="Times New Roman" w:cs="Times New Roman"/>
        </w:rPr>
        <w:t>.1 Attributes for the study</w:t>
      </w:r>
      <w:bookmarkEnd w:id="12"/>
      <w:r w:rsidRPr="00407E38">
        <w:rPr>
          <w:rFonts w:ascii="Times New Roman" w:hAnsi="Times New Roman" w:cs="Times New Roman"/>
        </w:rPr>
        <w:t xml:space="preserve"> </w:t>
      </w:r>
    </w:p>
    <w:p w14:paraId="4E902159" w14:textId="6BF151F0"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  The extracted attributes from </w:t>
      </w:r>
      <w:r w:rsidR="00761BB1" w:rsidRPr="00407E38">
        <w:rPr>
          <w:rFonts w:ascii="Times New Roman" w:hAnsi="Times New Roman"/>
          <w:sz w:val="24"/>
          <w:szCs w:val="24"/>
        </w:rPr>
        <w:t xml:space="preserve">systematic literature review </w:t>
      </w:r>
      <w:r w:rsidR="00641CFF" w:rsidRPr="00407E38">
        <w:rPr>
          <w:rFonts w:ascii="Times New Roman" w:hAnsi="Times New Roman"/>
          <w:sz w:val="24"/>
          <w:szCs w:val="24"/>
        </w:rPr>
        <w:t>in Appendix</w:t>
      </w:r>
      <w:r w:rsidR="00761BB1" w:rsidRPr="00407E38">
        <w:rPr>
          <w:rFonts w:ascii="Times New Roman" w:hAnsi="Times New Roman"/>
          <w:sz w:val="24"/>
          <w:szCs w:val="24"/>
        </w:rPr>
        <w:t xml:space="preserve"> 1 </w:t>
      </w:r>
      <w:r w:rsidR="00641CFF" w:rsidRPr="00407E38">
        <w:rPr>
          <w:rFonts w:ascii="Times New Roman" w:hAnsi="Times New Roman"/>
          <w:sz w:val="24"/>
          <w:szCs w:val="24"/>
        </w:rPr>
        <w:t>below above</w:t>
      </w:r>
      <w:r w:rsidRPr="00407E38">
        <w:rPr>
          <w:rFonts w:ascii="Times New Roman" w:hAnsi="Times New Roman"/>
          <w:sz w:val="24"/>
          <w:szCs w:val="24"/>
        </w:rPr>
        <w:t xml:space="preserve"> have been presented in Table </w:t>
      </w:r>
      <w:r w:rsidR="00761BB1" w:rsidRPr="00407E38">
        <w:rPr>
          <w:rFonts w:ascii="Times New Roman" w:hAnsi="Times New Roman"/>
          <w:sz w:val="24"/>
          <w:szCs w:val="24"/>
        </w:rPr>
        <w:t xml:space="preserve">1 </w:t>
      </w:r>
      <w:r w:rsidRPr="00407E38">
        <w:rPr>
          <w:rFonts w:ascii="Times New Roman" w:hAnsi="Times New Roman"/>
          <w:sz w:val="24"/>
          <w:szCs w:val="24"/>
        </w:rPr>
        <w:t xml:space="preserve"> below including the levels of each attribute. The first attribute is the domain covered to determine if the demand for insurance is dependent on what the insurance covers, which the study limits to agriculture, health, and property insurance. Agriculture insurance covers crop and animal losses; Health covers medical expenditures that are caused by natural hazards, whilst property will look at the house and infrastructure that is affected by these cyclones. </w:t>
      </w:r>
    </w:p>
    <w:p w14:paraId="0A5C3B30" w14:textId="77777777" w:rsidR="00D3479C" w:rsidRPr="00407E38" w:rsidRDefault="00D3479C" w:rsidP="00407E38">
      <w:pPr>
        <w:spacing w:line="360" w:lineRule="auto"/>
        <w:jc w:val="both"/>
        <w:rPr>
          <w:rFonts w:ascii="Times New Roman" w:hAnsi="Times New Roman"/>
          <w:sz w:val="24"/>
          <w:szCs w:val="24"/>
        </w:rPr>
      </w:pPr>
    </w:p>
    <w:p w14:paraId="0F574A7A" w14:textId="4C8E7963"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 The second attribute investigated is the trust in the institutions that provide </w:t>
      </w:r>
      <w:r w:rsidR="00641CFF" w:rsidRPr="00407E38">
        <w:rPr>
          <w:rFonts w:ascii="Times New Roman" w:hAnsi="Times New Roman"/>
          <w:sz w:val="24"/>
          <w:szCs w:val="24"/>
        </w:rPr>
        <w:t>insurance,</w:t>
      </w:r>
      <w:r w:rsidRPr="00407E38">
        <w:rPr>
          <w:rFonts w:ascii="Times New Roman" w:hAnsi="Times New Roman"/>
          <w:sz w:val="24"/>
          <w:szCs w:val="24"/>
        </w:rPr>
        <w:t xml:space="preserve"> and the study limits the trust in institutions to three types of ownership which are privately owned, non-governmental organization, and </w:t>
      </w:r>
      <w:r w:rsidR="00761BB1" w:rsidRPr="00407E38">
        <w:rPr>
          <w:rFonts w:ascii="Times New Roman" w:hAnsi="Times New Roman"/>
          <w:sz w:val="24"/>
          <w:szCs w:val="24"/>
        </w:rPr>
        <w:t>government owned</w:t>
      </w:r>
      <w:r w:rsidRPr="00407E38">
        <w:rPr>
          <w:rFonts w:ascii="Times New Roman" w:hAnsi="Times New Roman"/>
          <w:sz w:val="24"/>
          <w:szCs w:val="24"/>
        </w:rPr>
        <w:t>.  The third attribute that was used in the study is the maximum cover, which describes the maximum indemnity amount that one will get if one subscribes to the policy. Whilst Risk premiums matched to the maximum payment will be presented on a per-month basis, they will be calculated as a proportion of the yearly insurance and presented as a local Currency value.</w:t>
      </w:r>
    </w:p>
    <w:p w14:paraId="41471361" w14:textId="2142DC42"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 The last attribute investigated in the study is the level of transparency which describes a system that provides clear information on the status of an application to policyholders, loss calculation, claim settlement eligibility and claim settlement details through SMS. The last attribute was the </w:t>
      </w:r>
      <w:r w:rsidRPr="00407E38">
        <w:rPr>
          <w:rFonts w:ascii="Times New Roman" w:hAnsi="Times New Roman"/>
          <w:sz w:val="24"/>
          <w:szCs w:val="24"/>
          <w:lang w:val="en-ZA"/>
        </w:rPr>
        <w:t xml:space="preserve">time taken to settle the indemnity amount since inception of the risk/loss when the case was notified as a loss e.g., within 3, 6 or more 12 weeks. The researchers settled on 5 </w:t>
      </w:r>
      <w:r w:rsidR="00792313" w:rsidRPr="00407E38">
        <w:rPr>
          <w:rFonts w:ascii="Times New Roman" w:hAnsi="Times New Roman"/>
          <w:sz w:val="24"/>
          <w:szCs w:val="24"/>
          <w:lang w:val="en-ZA"/>
        </w:rPr>
        <w:t>attributes,</w:t>
      </w:r>
      <w:r w:rsidRPr="00407E38">
        <w:rPr>
          <w:rFonts w:ascii="Times New Roman" w:hAnsi="Times New Roman"/>
          <w:sz w:val="24"/>
          <w:szCs w:val="24"/>
          <w:lang w:val="en-ZA"/>
        </w:rPr>
        <w:t xml:space="preserve"> and </w:t>
      </w:r>
      <w:r w:rsidRPr="00407E38">
        <w:rPr>
          <w:rFonts w:ascii="Times New Roman" w:hAnsi="Times New Roman"/>
          <w:sz w:val="24"/>
          <w:szCs w:val="24"/>
          <w:lang w:val="en-ZA"/>
        </w:rPr>
        <w:lastRenderedPageBreak/>
        <w:t xml:space="preserve">8 choice sets to reduce cognitive exhaustion between a survey with 25 items and 8 choice sets with three options and the respondents can only select one. </w:t>
      </w:r>
    </w:p>
    <w:p w14:paraId="5EBF359F" w14:textId="1F129220" w:rsidR="00D3479C" w:rsidRPr="00407E38" w:rsidRDefault="00D3479C" w:rsidP="00407E38">
      <w:pPr>
        <w:spacing w:line="360" w:lineRule="auto"/>
        <w:jc w:val="both"/>
        <w:rPr>
          <w:rFonts w:ascii="Times New Roman" w:hAnsi="Times New Roman"/>
          <w:i/>
          <w:iCs/>
          <w:sz w:val="24"/>
          <w:szCs w:val="24"/>
          <w:lang w:val="en-US"/>
        </w:rPr>
      </w:pPr>
      <w:r w:rsidRPr="00407E38">
        <w:rPr>
          <w:rFonts w:ascii="Times New Roman" w:hAnsi="Times New Roman"/>
          <w:i/>
          <w:iCs/>
          <w:sz w:val="24"/>
          <w:szCs w:val="24"/>
          <w:lang w:val="en-US"/>
        </w:rPr>
        <w:t xml:space="preserve">Table </w:t>
      </w:r>
      <w:r w:rsidR="00761BB1" w:rsidRPr="00407E38">
        <w:rPr>
          <w:rFonts w:ascii="Times New Roman" w:hAnsi="Times New Roman"/>
          <w:i/>
          <w:iCs/>
          <w:sz w:val="24"/>
          <w:szCs w:val="24"/>
          <w:lang w:val="en-US"/>
        </w:rPr>
        <w:t>1</w:t>
      </w:r>
      <w:r w:rsidRPr="00407E38">
        <w:rPr>
          <w:rFonts w:ascii="Times New Roman" w:hAnsi="Times New Roman"/>
          <w:i/>
          <w:iCs/>
          <w:sz w:val="24"/>
          <w:szCs w:val="24"/>
          <w:lang w:val="en-US"/>
        </w:rPr>
        <w:t xml:space="preserve"> Choice experiment attribute levels </w:t>
      </w:r>
    </w:p>
    <w:tbl>
      <w:tblPr>
        <w:tblStyle w:val="TableGrid"/>
        <w:tblW w:w="10065" w:type="dxa"/>
        <w:tblInd w:w="137" w:type="dxa"/>
        <w:tblLayout w:type="fixed"/>
        <w:tblLook w:val="04A0" w:firstRow="1" w:lastRow="0" w:firstColumn="1" w:lastColumn="0" w:noHBand="0" w:noVBand="1"/>
      </w:tblPr>
      <w:tblGrid>
        <w:gridCol w:w="1577"/>
        <w:gridCol w:w="2818"/>
        <w:gridCol w:w="2410"/>
        <w:gridCol w:w="2410"/>
        <w:gridCol w:w="850"/>
      </w:tblGrid>
      <w:tr w:rsidR="00D3479C" w:rsidRPr="00407E38" w14:paraId="03F49A09" w14:textId="77777777" w:rsidTr="00D3479C">
        <w:tc>
          <w:tcPr>
            <w:tcW w:w="1576" w:type="dxa"/>
            <w:tcBorders>
              <w:top w:val="single" w:sz="4" w:space="0" w:color="auto"/>
              <w:left w:val="single" w:sz="4" w:space="0" w:color="auto"/>
              <w:bottom w:val="single" w:sz="4" w:space="0" w:color="auto"/>
              <w:right w:val="single" w:sz="4" w:space="0" w:color="auto"/>
            </w:tcBorders>
            <w:hideMark/>
          </w:tcPr>
          <w:p w14:paraId="6878F63E"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Attributes </w:t>
            </w:r>
          </w:p>
        </w:tc>
        <w:tc>
          <w:tcPr>
            <w:tcW w:w="2818" w:type="dxa"/>
            <w:tcBorders>
              <w:top w:val="single" w:sz="4" w:space="0" w:color="auto"/>
              <w:left w:val="single" w:sz="4" w:space="0" w:color="auto"/>
              <w:bottom w:val="single" w:sz="4" w:space="0" w:color="auto"/>
              <w:right w:val="single" w:sz="4" w:space="0" w:color="auto"/>
            </w:tcBorders>
            <w:hideMark/>
          </w:tcPr>
          <w:p w14:paraId="038B8E6E"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Insurance product A </w:t>
            </w:r>
          </w:p>
        </w:tc>
        <w:tc>
          <w:tcPr>
            <w:tcW w:w="2410" w:type="dxa"/>
            <w:tcBorders>
              <w:top w:val="single" w:sz="4" w:space="0" w:color="auto"/>
              <w:left w:val="single" w:sz="4" w:space="0" w:color="auto"/>
              <w:bottom w:val="single" w:sz="4" w:space="0" w:color="auto"/>
              <w:right w:val="single" w:sz="4" w:space="0" w:color="auto"/>
            </w:tcBorders>
            <w:hideMark/>
          </w:tcPr>
          <w:p w14:paraId="1BE3C6A3"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Insurance product B</w:t>
            </w:r>
          </w:p>
        </w:tc>
        <w:tc>
          <w:tcPr>
            <w:tcW w:w="2410" w:type="dxa"/>
            <w:tcBorders>
              <w:top w:val="single" w:sz="4" w:space="0" w:color="auto"/>
              <w:left w:val="single" w:sz="4" w:space="0" w:color="auto"/>
              <w:bottom w:val="single" w:sz="4" w:space="0" w:color="auto"/>
              <w:right w:val="single" w:sz="4" w:space="0" w:color="auto"/>
            </w:tcBorders>
            <w:hideMark/>
          </w:tcPr>
          <w:p w14:paraId="0C48294B"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Insurance Product C</w:t>
            </w:r>
          </w:p>
        </w:tc>
        <w:tc>
          <w:tcPr>
            <w:tcW w:w="850" w:type="dxa"/>
            <w:tcBorders>
              <w:top w:val="single" w:sz="4" w:space="0" w:color="auto"/>
              <w:left w:val="single" w:sz="4" w:space="0" w:color="auto"/>
              <w:bottom w:val="single" w:sz="4" w:space="0" w:color="auto"/>
              <w:right w:val="single" w:sz="4" w:space="0" w:color="auto"/>
            </w:tcBorders>
            <w:hideMark/>
          </w:tcPr>
          <w:p w14:paraId="4764E010"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Level matrix  </w:t>
            </w:r>
          </w:p>
        </w:tc>
      </w:tr>
      <w:tr w:rsidR="00D3479C" w:rsidRPr="00407E38" w14:paraId="471D03F8" w14:textId="77777777" w:rsidTr="00D3479C">
        <w:tc>
          <w:tcPr>
            <w:tcW w:w="1576" w:type="dxa"/>
            <w:tcBorders>
              <w:top w:val="single" w:sz="4" w:space="0" w:color="auto"/>
              <w:left w:val="single" w:sz="4" w:space="0" w:color="auto"/>
              <w:bottom w:val="single" w:sz="4" w:space="0" w:color="auto"/>
              <w:right w:val="single" w:sz="4" w:space="0" w:color="auto"/>
            </w:tcBorders>
            <w:hideMark/>
          </w:tcPr>
          <w:p w14:paraId="59C6050A"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Domain </w:t>
            </w:r>
          </w:p>
        </w:tc>
        <w:tc>
          <w:tcPr>
            <w:tcW w:w="2818" w:type="dxa"/>
            <w:tcBorders>
              <w:top w:val="single" w:sz="4" w:space="0" w:color="auto"/>
              <w:left w:val="single" w:sz="4" w:space="0" w:color="auto"/>
              <w:bottom w:val="single" w:sz="4" w:space="0" w:color="auto"/>
              <w:right w:val="single" w:sz="4" w:space="0" w:color="auto"/>
            </w:tcBorders>
            <w:hideMark/>
          </w:tcPr>
          <w:p w14:paraId="1CBC2C33" w14:textId="19145F3C" w:rsidR="00D3479C" w:rsidRPr="00407E38" w:rsidRDefault="00641CFF" w:rsidP="00407E38">
            <w:pPr>
              <w:spacing w:line="360" w:lineRule="auto"/>
              <w:jc w:val="both"/>
              <w:rPr>
                <w:rFonts w:ascii="Times New Roman" w:hAnsi="Times New Roman"/>
                <w:sz w:val="24"/>
                <w:szCs w:val="24"/>
              </w:rPr>
            </w:pPr>
            <w:r w:rsidRPr="00407E38">
              <w:rPr>
                <w:rFonts w:ascii="Times New Roman" w:hAnsi="Times New Roman"/>
                <w:sz w:val="24"/>
                <w:szCs w:val="24"/>
              </w:rPr>
              <w:t>Health,</w:t>
            </w:r>
            <w:r w:rsidR="00D3479C" w:rsidRPr="00407E38">
              <w:rPr>
                <w:rFonts w:ascii="Times New Roman" w:hAnsi="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hideMark/>
          </w:tcPr>
          <w:p w14:paraId="79F852A7"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Agriculture </w:t>
            </w:r>
          </w:p>
        </w:tc>
        <w:tc>
          <w:tcPr>
            <w:tcW w:w="2410" w:type="dxa"/>
            <w:tcBorders>
              <w:top w:val="single" w:sz="4" w:space="0" w:color="auto"/>
              <w:left w:val="single" w:sz="4" w:space="0" w:color="auto"/>
              <w:bottom w:val="single" w:sz="4" w:space="0" w:color="auto"/>
              <w:right w:val="single" w:sz="4" w:space="0" w:color="auto"/>
            </w:tcBorders>
            <w:hideMark/>
          </w:tcPr>
          <w:p w14:paraId="4687BE5D"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Property </w:t>
            </w:r>
          </w:p>
        </w:tc>
        <w:tc>
          <w:tcPr>
            <w:tcW w:w="850" w:type="dxa"/>
            <w:tcBorders>
              <w:top w:val="single" w:sz="4" w:space="0" w:color="auto"/>
              <w:left w:val="single" w:sz="4" w:space="0" w:color="auto"/>
              <w:bottom w:val="single" w:sz="4" w:space="0" w:color="auto"/>
              <w:right w:val="single" w:sz="4" w:space="0" w:color="auto"/>
            </w:tcBorders>
            <w:hideMark/>
          </w:tcPr>
          <w:p w14:paraId="609ECCA0"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3</w:t>
            </w:r>
          </w:p>
        </w:tc>
      </w:tr>
      <w:tr w:rsidR="00D3479C" w:rsidRPr="00407E38" w14:paraId="7E96909A" w14:textId="77777777" w:rsidTr="00D3479C">
        <w:tc>
          <w:tcPr>
            <w:tcW w:w="1576" w:type="dxa"/>
            <w:tcBorders>
              <w:top w:val="single" w:sz="4" w:space="0" w:color="auto"/>
              <w:left w:val="single" w:sz="4" w:space="0" w:color="auto"/>
              <w:bottom w:val="single" w:sz="4" w:space="0" w:color="auto"/>
              <w:right w:val="single" w:sz="4" w:space="0" w:color="auto"/>
            </w:tcBorders>
            <w:hideMark/>
          </w:tcPr>
          <w:p w14:paraId="3F2E25DF"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Insurance </w:t>
            </w:r>
          </w:p>
        </w:tc>
        <w:tc>
          <w:tcPr>
            <w:tcW w:w="2818" w:type="dxa"/>
            <w:tcBorders>
              <w:top w:val="single" w:sz="4" w:space="0" w:color="auto"/>
              <w:left w:val="single" w:sz="4" w:space="0" w:color="auto"/>
              <w:bottom w:val="single" w:sz="4" w:space="0" w:color="auto"/>
              <w:right w:val="single" w:sz="4" w:space="0" w:color="auto"/>
            </w:tcBorders>
            <w:hideMark/>
          </w:tcPr>
          <w:p w14:paraId="686FC19D"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Government private and Ngo</w:t>
            </w:r>
          </w:p>
        </w:tc>
        <w:tc>
          <w:tcPr>
            <w:tcW w:w="2410" w:type="dxa"/>
            <w:tcBorders>
              <w:top w:val="single" w:sz="4" w:space="0" w:color="auto"/>
              <w:left w:val="single" w:sz="4" w:space="0" w:color="auto"/>
              <w:bottom w:val="single" w:sz="4" w:space="0" w:color="auto"/>
              <w:right w:val="single" w:sz="4" w:space="0" w:color="auto"/>
            </w:tcBorders>
            <w:hideMark/>
          </w:tcPr>
          <w:p w14:paraId="22638991"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Government Private and Ngo</w:t>
            </w:r>
          </w:p>
        </w:tc>
        <w:tc>
          <w:tcPr>
            <w:tcW w:w="2410" w:type="dxa"/>
            <w:tcBorders>
              <w:top w:val="single" w:sz="4" w:space="0" w:color="auto"/>
              <w:left w:val="single" w:sz="4" w:space="0" w:color="auto"/>
              <w:bottom w:val="single" w:sz="4" w:space="0" w:color="auto"/>
              <w:right w:val="single" w:sz="4" w:space="0" w:color="auto"/>
            </w:tcBorders>
            <w:hideMark/>
          </w:tcPr>
          <w:p w14:paraId="5FA137DF"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Government Private and Ngo</w:t>
            </w:r>
          </w:p>
        </w:tc>
        <w:tc>
          <w:tcPr>
            <w:tcW w:w="850" w:type="dxa"/>
            <w:tcBorders>
              <w:top w:val="single" w:sz="4" w:space="0" w:color="auto"/>
              <w:left w:val="single" w:sz="4" w:space="0" w:color="auto"/>
              <w:bottom w:val="single" w:sz="4" w:space="0" w:color="auto"/>
              <w:right w:val="single" w:sz="4" w:space="0" w:color="auto"/>
            </w:tcBorders>
            <w:hideMark/>
          </w:tcPr>
          <w:p w14:paraId="46E948B1"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3</w:t>
            </w:r>
          </w:p>
        </w:tc>
      </w:tr>
      <w:tr w:rsidR="00D3479C" w:rsidRPr="00407E38" w14:paraId="1FED8CCA" w14:textId="77777777" w:rsidTr="00D3479C">
        <w:tc>
          <w:tcPr>
            <w:tcW w:w="1576" w:type="dxa"/>
            <w:tcBorders>
              <w:top w:val="single" w:sz="4" w:space="0" w:color="auto"/>
              <w:left w:val="single" w:sz="4" w:space="0" w:color="auto"/>
              <w:bottom w:val="single" w:sz="4" w:space="0" w:color="auto"/>
              <w:right w:val="single" w:sz="4" w:space="0" w:color="auto"/>
            </w:tcBorders>
            <w:hideMark/>
          </w:tcPr>
          <w:p w14:paraId="71367022"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Maximum </w:t>
            </w:r>
          </w:p>
        </w:tc>
        <w:tc>
          <w:tcPr>
            <w:tcW w:w="2818" w:type="dxa"/>
            <w:tcBorders>
              <w:top w:val="single" w:sz="4" w:space="0" w:color="auto"/>
              <w:left w:val="single" w:sz="4" w:space="0" w:color="auto"/>
              <w:bottom w:val="single" w:sz="4" w:space="0" w:color="auto"/>
              <w:right w:val="single" w:sz="4" w:space="0" w:color="auto"/>
            </w:tcBorders>
            <w:hideMark/>
          </w:tcPr>
          <w:p w14:paraId="5078C2DC"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250 000,350 000, 500 000,300 000,70 000,50 000</w:t>
            </w:r>
          </w:p>
        </w:tc>
        <w:tc>
          <w:tcPr>
            <w:tcW w:w="2410" w:type="dxa"/>
            <w:tcBorders>
              <w:top w:val="single" w:sz="4" w:space="0" w:color="auto"/>
              <w:left w:val="single" w:sz="4" w:space="0" w:color="auto"/>
              <w:bottom w:val="single" w:sz="4" w:space="0" w:color="auto"/>
              <w:right w:val="single" w:sz="4" w:space="0" w:color="auto"/>
            </w:tcBorders>
            <w:hideMark/>
          </w:tcPr>
          <w:p w14:paraId="43D84B29"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100 000,50 000,150 000, 300 000</w:t>
            </w:r>
          </w:p>
        </w:tc>
        <w:tc>
          <w:tcPr>
            <w:tcW w:w="2410" w:type="dxa"/>
            <w:tcBorders>
              <w:top w:val="single" w:sz="4" w:space="0" w:color="auto"/>
              <w:left w:val="single" w:sz="4" w:space="0" w:color="auto"/>
              <w:bottom w:val="single" w:sz="4" w:space="0" w:color="auto"/>
              <w:right w:val="single" w:sz="4" w:space="0" w:color="auto"/>
            </w:tcBorders>
            <w:hideMark/>
          </w:tcPr>
          <w:p w14:paraId="5BC84A8B"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300 000, 150000, 100000, 50000, 200 000</w:t>
            </w:r>
          </w:p>
        </w:tc>
        <w:tc>
          <w:tcPr>
            <w:tcW w:w="850" w:type="dxa"/>
            <w:tcBorders>
              <w:top w:val="single" w:sz="4" w:space="0" w:color="auto"/>
              <w:left w:val="single" w:sz="4" w:space="0" w:color="auto"/>
              <w:bottom w:val="single" w:sz="4" w:space="0" w:color="auto"/>
              <w:right w:val="single" w:sz="4" w:space="0" w:color="auto"/>
            </w:tcBorders>
            <w:hideMark/>
          </w:tcPr>
          <w:p w14:paraId="2DE0B0DB"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5</w:t>
            </w:r>
          </w:p>
        </w:tc>
      </w:tr>
      <w:tr w:rsidR="00D3479C" w:rsidRPr="00407E38" w14:paraId="22181750" w14:textId="77777777" w:rsidTr="00D3479C">
        <w:tc>
          <w:tcPr>
            <w:tcW w:w="1576" w:type="dxa"/>
            <w:tcBorders>
              <w:top w:val="single" w:sz="4" w:space="0" w:color="auto"/>
              <w:left w:val="single" w:sz="4" w:space="0" w:color="auto"/>
              <w:bottom w:val="single" w:sz="4" w:space="0" w:color="auto"/>
              <w:right w:val="single" w:sz="4" w:space="0" w:color="auto"/>
            </w:tcBorders>
            <w:hideMark/>
          </w:tcPr>
          <w:p w14:paraId="773EE2F1"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Insurance premium </w:t>
            </w:r>
          </w:p>
        </w:tc>
        <w:tc>
          <w:tcPr>
            <w:tcW w:w="2818" w:type="dxa"/>
            <w:tcBorders>
              <w:top w:val="single" w:sz="4" w:space="0" w:color="auto"/>
              <w:left w:val="single" w:sz="4" w:space="0" w:color="auto"/>
              <w:bottom w:val="single" w:sz="4" w:space="0" w:color="auto"/>
              <w:right w:val="single" w:sz="4" w:space="0" w:color="auto"/>
            </w:tcBorders>
            <w:hideMark/>
          </w:tcPr>
          <w:p w14:paraId="42953548"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246,520,600, 315, 89,84</w:t>
            </w:r>
          </w:p>
        </w:tc>
        <w:tc>
          <w:tcPr>
            <w:tcW w:w="2410" w:type="dxa"/>
            <w:tcBorders>
              <w:top w:val="single" w:sz="4" w:space="0" w:color="auto"/>
              <w:left w:val="single" w:sz="4" w:space="0" w:color="auto"/>
              <w:bottom w:val="single" w:sz="4" w:space="0" w:color="auto"/>
              <w:right w:val="single" w:sz="4" w:space="0" w:color="auto"/>
            </w:tcBorders>
            <w:hideMark/>
          </w:tcPr>
          <w:p w14:paraId="7129DD33"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120, 84,200,375</w:t>
            </w:r>
          </w:p>
        </w:tc>
        <w:tc>
          <w:tcPr>
            <w:tcW w:w="2410" w:type="dxa"/>
            <w:tcBorders>
              <w:top w:val="single" w:sz="4" w:space="0" w:color="auto"/>
              <w:left w:val="single" w:sz="4" w:space="0" w:color="auto"/>
              <w:bottom w:val="single" w:sz="4" w:space="0" w:color="auto"/>
              <w:right w:val="single" w:sz="4" w:space="0" w:color="auto"/>
            </w:tcBorders>
            <w:hideMark/>
          </w:tcPr>
          <w:p w14:paraId="6E17E9C2"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375, 200,120,84,180</w:t>
            </w:r>
          </w:p>
        </w:tc>
        <w:tc>
          <w:tcPr>
            <w:tcW w:w="850" w:type="dxa"/>
            <w:tcBorders>
              <w:top w:val="single" w:sz="4" w:space="0" w:color="auto"/>
              <w:left w:val="single" w:sz="4" w:space="0" w:color="auto"/>
              <w:bottom w:val="single" w:sz="4" w:space="0" w:color="auto"/>
              <w:right w:val="single" w:sz="4" w:space="0" w:color="auto"/>
            </w:tcBorders>
            <w:hideMark/>
          </w:tcPr>
          <w:p w14:paraId="266F979D"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5</w:t>
            </w:r>
          </w:p>
        </w:tc>
      </w:tr>
      <w:tr w:rsidR="00D3479C" w:rsidRPr="00407E38" w14:paraId="2CAB75B1" w14:textId="77777777" w:rsidTr="00D3479C">
        <w:tc>
          <w:tcPr>
            <w:tcW w:w="1576" w:type="dxa"/>
            <w:tcBorders>
              <w:top w:val="single" w:sz="4" w:space="0" w:color="auto"/>
              <w:left w:val="single" w:sz="4" w:space="0" w:color="auto"/>
              <w:bottom w:val="single" w:sz="4" w:space="0" w:color="auto"/>
              <w:right w:val="single" w:sz="4" w:space="0" w:color="auto"/>
            </w:tcBorders>
            <w:hideMark/>
          </w:tcPr>
          <w:p w14:paraId="11431129"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transparency </w:t>
            </w:r>
          </w:p>
        </w:tc>
        <w:tc>
          <w:tcPr>
            <w:tcW w:w="2818" w:type="dxa"/>
            <w:tcBorders>
              <w:top w:val="single" w:sz="4" w:space="0" w:color="auto"/>
              <w:left w:val="single" w:sz="4" w:space="0" w:color="auto"/>
              <w:bottom w:val="single" w:sz="4" w:space="0" w:color="auto"/>
              <w:right w:val="single" w:sz="4" w:space="0" w:color="auto"/>
            </w:tcBorders>
            <w:hideMark/>
          </w:tcPr>
          <w:p w14:paraId="54F6151B"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Yes No</w:t>
            </w:r>
          </w:p>
        </w:tc>
        <w:tc>
          <w:tcPr>
            <w:tcW w:w="2410" w:type="dxa"/>
            <w:tcBorders>
              <w:top w:val="single" w:sz="4" w:space="0" w:color="auto"/>
              <w:left w:val="single" w:sz="4" w:space="0" w:color="auto"/>
              <w:bottom w:val="single" w:sz="4" w:space="0" w:color="auto"/>
              <w:right w:val="single" w:sz="4" w:space="0" w:color="auto"/>
            </w:tcBorders>
            <w:hideMark/>
          </w:tcPr>
          <w:p w14:paraId="7F948406"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Yes NO </w:t>
            </w:r>
          </w:p>
        </w:tc>
        <w:tc>
          <w:tcPr>
            <w:tcW w:w="2410" w:type="dxa"/>
            <w:tcBorders>
              <w:top w:val="single" w:sz="4" w:space="0" w:color="auto"/>
              <w:left w:val="single" w:sz="4" w:space="0" w:color="auto"/>
              <w:bottom w:val="single" w:sz="4" w:space="0" w:color="auto"/>
              <w:right w:val="single" w:sz="4" w:space="0" w:color="auto"/>
            </w:tcBorders>
            <w:hideMark/>
          </w:tcPr>
          <w:p w14:paraId="7F99C480"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Yes NO </w:t>
            </w:r>
          </w:p>
        </w:tc>
        <w:tc>
          <w:tcPr>
            <w:tcW w:w="850" w:type="dxa"/>
            <w:tcBorders>
              <w:top w:val="single" w:sz="4" w:space="0" w:color="auto"/>
              <w:left w:val="single" w:sz="4" w:space="0" w:color="auto"/>
              <w:bottom w:val="single" w:sz="4" w:space="0" w:color="auto"/>
              <w:right w:val="single" w:sz="4" w:space="0" w:color="auto"/>
            </w:tcBorders>
            <w:hideMark/>
          </w:tcPr>
          <w:p w14:paraId="4914591C"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2</w:t>
            </w:r>
          </w:p>
        </w:tc>
      </w:tr>
      <w:tr w:rsidR="00D3479C" w:rsidRPr="00407E38" w14:paraId="44501C2B" w14:textId="77777777" w:rsidTr="00D3479C">
        <w:tc>
          <w:tcPr>
            <w:tcW w:w="1576" w:type="dxa"/>
            <w:tcBorders>
              <w:top w:val="single" w:sz="4" w:space="0" w:color="auto"/>
              <w:left w:val="single" w:sz="4" w:space="0" w:color="auto"/>
              <w:bottom w:val="single" w:sz="4" w:space="0" w:color="auto"/>
              <w:right w:val="single" w:sz="4" w:space="0" w:color="auto"/>
            </w:tcBorders>
            <w:hideMark/>
          </w:tcPr>
          <w:p w14:paraId="48CEDE11"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Pay-out period </w:t>
            </w:r>
          </w:p>
        </w:tc>
        <w:tc>
          <w:tcPr>
            <w:tcW w:w="2818" w:type="dxa"/>
            <w:tcBorders>
              <w:top w:val="single" w:sz="4" w:space="0" w:color="auto"/>
              <w:left w:val="single" w:sz="4" w:space="0" w:color="auto"/>
              <w:bottom w:val="single" w:sz="4" w:space="0" w:color="auto"/>
              <w:right w:val="single" w:sz="4" w:space="0" w:color="auto"/>
            </w:tcBorders>
            <w:hideMark/>
          </w:tcPr>
          <w:p w14:paraId="432A190D"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3,6 and  12</w:t>
            </w:r>
          </w:p>
        </w:tc>
        <w:tc>
          <w:tcPr>
            <w:tcW w:w="2410" w:type="dxa"/>
            <w:tcBorders>
              <w:top w:val="single" w:sz="4" w:space="0" w:color="auto"/>
              <w:left w:val="single" w:sz="4" w:space="0" w:color="auto"/>
              <w:bottom w:val="single" w:sz="4" w:space="0" w:color="auto"/>
              <w:right w:val="single" w:sz="4" w:space="0" w:color="auto"/>
            </w:tcBorders>
            <w:hideMark/>
          </w:tcPr>
          <w:p w14:paraId="410FF09F"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3,6 and  12 weeks </w:t>
            </w:r>
          </w:p>
        </w:tc>
        <w:tc>
          <w:tcPr>
            <w:tcW w:w="2410" w:type="dxa"/>
            <w:tcBorders>
              <w:top w:val="single" w:sz="4" w:space="0" w:color="auto"/>
              <w:left w:val="single" w:sz="4" w:space="0" w:color="auto"/>
              <w:bottom w:val="single" w:sz="4" w:space="0" w:color="auto"/>
              <w:right w:val="single" w:sz="4" w:space="0" w:color="auto"/>
            </w:tcBorders>
            <w:hideMark/>
          </w:tcPr>
          <w:p w14:paraId="1B8EE8FE"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3,6 and  12</w:t>
            </w:r>
          </w:p>
        </w:tc>
        <w:tc>
          <w:tcPr>
            <w:tcW w:w="850" w:type="dxa"/>
            <w:tcBorders>
              <w:top w:val="single" w:sz="4" w:space="0" w:color="auto"/>
              <w:left w:val="single" w:sz="4" w:space="0" w:color="auto"/>
              <w:bottom w:val="single" w:sz="4" w:space="0" w:color="auto"/>
              <w:right w:val="single" w:sz="4" w:space="0" w:color="auto"/>
            </w:tcBorders>
            <w:hideMark/>
          </w:tcPr>
          <w:p w14:paraId="548D1AF5" w14:textId="77777777" w:rsidR="00D3479C" w:rsidRPr="00407E38" w:rsidRDefault="00D3479C" w:rsidP="00407E38">
            <w:pPr>
              <w:spacing w:line="360" w:lineRule="auto"/>
              <w:jc w:val="both"/>
              <w:rPr>
                <w:rFonts w:ascii="Times New Roman" w:hAnsi="Times New Roman"/>
                <w:sz w:val="24"/>
                <w:szCs w:val="24"/>
              </w:rPr>
            </w:pPr>
            <w:r w:rsidRPr="00407E38">
              <w:rPr>
                <w:rFonts w:ascii="Times New Roman" w:hAnsi="Times New Roman"/>
                <w:sz w:val="24"/>
                <w:szCs w:val="24"/>
              </w:rPr>
              <w:t>3</w:t>
            </w:r>
          </w:p>
        </w:tc>
      </w:tr>
      <w:tr w:rsidR="00D3479C" w:rsidRPr="00407E38" w14:paraId="521D62CA" w14:textId="77777777" w:rsidTr="00D3479C">
        <w:tc>
          <w:tcPr>
            <w:tcW w:w="1576" w:type="dxa"/>
            <w:tcBorders>
              <w:top w:val="single" w:sz="4" w:space="0" w:color="auto"/>
              <w:left w:val="single" w:sz="4" w:space="0" w:color="auto"/>
              <w:bottom w:val="single" w:sz="4" w:space="0" w:color="auto"/>
              <w:right w:val="single" w:sz="4" w:space="0" w:color="auto"/>
            </w:tcBorders>
          </w:tcPr>
          <w:p w14:paraId="50557E6E" w14:textId="77777777" w:rsidR="00D3479C" w:rsidRPr="00407E38" w:rsidRDefault="00D3479C" w:rsidP="00407E38">
            <w:pPr>
              <w:spacing w:line="360" w:lineRule="auto"/>
              <w:jc w:val="both"/>
              <w:rPr>
                <w:rFonts w:ascii="Times New Roman" w:hAnsi="Times New Roman"/>
                <w:b/>
                <w:bCs/>
                <w:sz w:val="24"/>
                <w:szCs w:val="24"/>
              </w:rPr>
            </w:pPr>
          </w:p>
        </w:tc>
        <w:tc>
          <w:tcPr>
            <w:tcW w:w="2818" w:type="dxa"/>
            <w:tcBorders>
              <w:top w:val="single" w:sz="4" w:space="0" w:color="auto"/>
              <w:left w:val="single" w:sz="4" w:space="0" w:color="auto"/>
              <w:bottom w:val="single" w:sz="4" w:space="0" w:color="auto"/>
              <w:right w:val="single" w:sz="4" w:space="0" w:color="auto"/>
            </w:tcBorders>
          </w:tcPr>
          <w:p w14:paraId="7AE00F82" w14:textId="77777777" w:rsidR="00D3479C" w:rsidRPr="00407E38" w:rsidRDefault="00D3479C" w:rsidP="00407E38">
            <w:pPr>
              <w:spacing w:line="360" w:lineRule="auto"/>
              <w:jc w:val="both"/>
              <w:rPr>
                <w:rFonts w:ascii="Times New Roman" w:hAnsi="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0BFEE5C" w14:textId="77777777" w:rsidR="00D3479C" w:rsidRPr="00407E38" w:rsidRDefault="00D3479C" w:rsidP="00407E38">
            <w:pPr>
              <w:spacing w:line="360" w:lineRule="auto"/>
              <w:jc w:val="both"/>
              <w:rPr>
                <w:rFonts w:ascii="Times New Roman" w:hAnsi="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E27E3E9" w14:textId="77777777" w:rsidR="00D3479C" w:rsidRPr="00407E38" w:rsidRDefault="00D3479C" w:rsidP="00407E38">
            <w:pPr>
              <w:spacing w:line="360" w:lineRule="auto"/>
              <w:jc w:val="both"/>
              <w:rPr>
                <w:rFonts w:ascii="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3B5F4D18" w14:textId="77777777" w:rsidR="00D3479C" w:rsidRPr="00407E38" w:rsidRDefault="00D3479C" w:rsidP="00407E38">
            <w:pPr>
              <w:spacing w:line="360" w:lineRule="auto"/>
              <w:jc w:val="both"/>
              <w:rPr>
                <w:rFonts w:ascii="Times New Roman" w:hAnsi="Times New Roman"/>
                <w:b/>
                <w:bCs/>
                <w:sz w:val="24"/>
                <w:szCs w:val="24"/>
              </w:rPr>
            </w:pPr>
          </w:p>
        </w:tc>
      </w:tr>
    </w:tbl>
    <w:p w14:paraId="0BC93749" w14:textId="77777777" w:rsidR="00637E5C" w:rsidRPr="00407E38" w:rsidRDefault="00637E5C" w:rsidP="00407E38">
      <w:pPr>
        <w:spacing w:line="360" w:lineRule="auto"/>
        <w:jc w:val="both"/>
        <w:rPr>
          <w:rFonts w:ascii="Times New Roman" w:hAnsi="Times New Roman"/>
          <w:b/>
          <w:bCs/>
          <w:sz w:val="24"/>
          <w:szCs w:val="24"/>
          <w:lang w:val="en-ZA"/>
        </w:rPr>
      </w:pPr>
    </w:p>
    <w:p w14:paraId="0AC9A409" w14:textId="77777777" w:rsidR="00B46E15" w:rsidRPr="00407E38" w:rsidRDefault="00B46E15" w:rsidP="00407E38">
      <w:pPr>
        <w:spacing w:line="360" w:lineRule="auto"/>
        <w:jc w:val="both"/>
        <w:rPr>
          <w:rFonts w:ascii="Times New Roman" w:hAnsi="Times New Roman"/>
          <w:b/>
          <w:bCs/>
          <w:sz w:val="24"/>
          <w:szCs w:val="24"/>
          <w:lang w:val="en-ZA"/>
        </w:rPr>
      </w:pPr>
    </w:p>
    <w:p w14:paraId="13B799AF" w14:textId="3A1200A2" w:rsidR="00004CE5" w:rsidRPr="00407E38" w:rsidRDefault="00792313" w:rsidP="00407E38">
      <w:pPr>
        <w:pStyle w:val="Heading2"/>
        <w:spacing w:line="360" w:lineRule="auto"/>
        <w:rPr>
          <w:rFonts w:ascii="Times New Roman" w:eastAsia="Aptos" w:hAnsi="Times New Roman" w:cs="Times New Roman"/>
          <w:lang w:val="en-US"/>
        </w:rPr>
      </w:pPr>
      <w:bookmarkStart w:id="13" w:name="_Toc187315432"/>
      <w:r w:rsidRPr="00407E38">
        <w:rPr>
          <w:rFonts w:ascii="Times New Roman" w:eastAsia="Aptos" w:hAnsi="Times New Roman" w:cs="Times New Roman"/>
          <w:lang w:val="en-US"/>
        </w:rPr>
        <w:t>4.4</w:t>
      </w:r>
      <w:r w:rsidR="00004CE5" w:rsidRPr="00407E38">
        <w:rPr>
          <w:rFonts w:ascii="Times New Roman" w:eastAsia="Aptos" w:hAnsi="Times New Roman" w:cs="Times New Roman"/>
          <w:lang w:val="en-US"/>
        </w:rPr>
        <w:t xml:space="preserve"> Model specification</w:t>
      </w:r>
      <w:bookmarkEnd w:id="13"/>
    </w:p>
    <w:p w14:paraId="1A0B613E" w14:textId="77777777" w:rsidR="003B043A" w:rsidRPr="00407E38" w:rsidRDefault="003B043A" w:rsidP="00407E38">
      <w:pPr>
        <w:widowControl w:val="0"/>
        <w:autoSpaceDE w:val="0"/>
        <w:autoSpaceDN w:val="0"/>
        <w:adjustRightInd w:val="0"/>
        <w:spacing w:line="360" w:lineRule="auto"/>
        <w:jc w:val="both"/>
        <w:rPr>
          <w:rFonts w:ascii="Times New Roman" w:eastAsia="Aptos" w:hAnsi="Times New Roman"/>
          <w:bCs/>
          <w:sz w:val="24"/>
          <w:szCs w:val="24"/>
          <w14:ligatures w14:val="standardContextual"/>
        </w:rPr>
      </w:pPr>
      <w:r w:rsidRPr="00407E38">
        <w:rPr>
          <w:rFonts w:ascii="Times New Roman" w:eastAsia="Aptos" w:hAnsi="Times New Roman"/>
          <w:bCs/>
          <w:sz w:val="24"/>
          <w:szCs w:val="24"/>
          <w14:ligatures w14:val="standardContextual"/>
        </w:rPr>
        <w:t>The study follows the study by Reynaud and Nguyen, (2018) that uses a conditional logit model in the assessment of the demand for flood insurance in Venezuela. The study models individual choices in two main categories. The fourth category is the one that is deterministic whilst the second component is the one that is stochastic these can be represented algebraically in equation 1 below</w:t>
      </w:r>
    </w:p>
    <w:p w14:paraId="419E4A49" w14:textId="617DBF1B" w:rsidR="003B043A" w:rsidRPr="00407E38" w:rsidRDefault="00000000" w:rsidP="00407E38">
      <w:pPr>
        <w:widowControl w:val="0"/>
        <w:autoSpaceDE w:val="0"/>
        <w:autoSpaceDN w:val="0"/>
        <w:adjustRightInd w:val="0"/>
        <w:spacing w:line="360" w:lineRule="auto"/>
        <w:jc w:val="both"/>
        <w:rPr>
          <w:rFonts w:ascii="Times New Roman" w:eastAsia="Aptos" w:hAnsi="Times New Roman"/>
          <w:bCs/>
          <w:sz w:val="24"/>
          <w:szCs w:val="24"/>
          <w14:ligatures w14:val="standardContextual"/>
        </w:rPr>
      </w:pPr>
      <m:oMath>
        <m:sSub>
          <m:sSubPr>
            <m:ctrlPr>
              <w:rPr>
                <w:rFonts w:ascii="Cambria Math" w:eastAsia="Aptos" w:hAnsi="Cambria Math"/>
                <w:bCs/>
                <w:i/>
                <w:sz w:val="24"/>
                <w:szCs w:val="24"/>
                <w14:ligatures w14:val="standardContextual"/>
              </w:rPr>
            </m:ctrlPr>
          </m:sSubPr>
          <m:e>
            <m:r>
              <w:rPr>
                <w:rFonts w:ascii="Cambria Math" w:eastAsia="Aptos" w:hAnsi="Cambria Math"/>
                <w:sz w:val="24"/>
                <w:szCs w:val="24"/>
                <w14:ligatures w14:val="standardContextual"/>
              </w:rPr>
              <m:t>U</m:t>
            </m:r>
          </m:e>
          <m:sub>
            <m:r>
              <w:rPr>
                <w:rFonts w:ascii="Cambria Math" w:eastAsia="Aptos" w:hAnsi="Cambria Math"/>
                <w:sz w:val="24"/>
                <w:szCs w:val="24"/>
                <w14:ligatures w14:val="standardContextual"/>
              </w:rPr>
              <m:t>ijk</m:t>
            </m:r>
          </m:sub>
        </m:sSub>
        <m:r>
          <w:rPr>
            <w:rFonts w:ascii="Cambria Math" w:eastAsia="Aptos" w:hAnsi="Cambria Math"/>
            <w:sz w:val="24"/>
            <w:szCs w:val="24"/>
            <w14:ligatures w14:val="standardContextual"/>
          </w:rPr>
          <m:t>=V</m:t>
        </m:r>
        <m:d>
          <m:dPr>
            <m:ctrlPr>
              <w:rPr>
                <w:rFonts w:ascii="Cambria Math" w:eastAsia="Aptos" w:hAnsi="Cambria Math"/>
                <w:bCs/>
                <w:i/>
                <w:sz w:val="24"/>
                <w:szCs w:val="24"/>
                <w14:ligatures w14:val="standardContextual"/>
              </w:rPr>
            </m:ctrlPr>
          </m:dPr>
          <m:e>
            <m:sSub>
              <m:sSubPr>
                <m:ctrlPr>
                  <w:rPr>
                    <w:rFonts w:ascii="Cambria Math" w:eastAsia="Aptos" w:hAnsi="Cambria Math"/>
                    <w:bCs/>
                    <w:i/>
                    <w:sz w:val="24"/>
                    <w:szCs w:val="24"/>
                    <w14:ligatures w14:val="standardContextual"/>
                  </w:rPr>
                </m:ctrlPr>
              </m:sSubPr>
              <m:e>
                <m:r>
                  <w:rPr>
                    <w:rFonts w:ascii="Cambria Math" w:eastAsia="Aptos" w:hAnsi="Cambria Math"/>
                    <w:sz w:val="24"/>
                    <w:szCs w:val="24"/>
                    <w14:ligatures w14:val="standardContextual"/>
                  </w:rPr>
                  <m:t>X</m:t>
                </m:r>
              </m:e>
              <m:sub>
                <m:r>
                  <w:rPr>
                    <w:rFonts w:ascii="Cambria Math" w:eastAsia="Aptos" w:hAnsi="Cambria Math"/>
                    <w:sz w:val="24"/>
                    <w:szCs w:val="24"/>
                    <w14:ligatures w14:val="standardContextual"/>
                  </w:rPr>
                  <m:t>IJK</m:t>
                </m:r>
              </m:sub>
            </m:sSub>
            <m:r>
              <w:rPr>
                <w:rFonts w:ascii="Cambria Math" w:eastAsia="Aptos" w:hAnsi="Cambria Math"/>
                <w:sz w:val="24"/>
                <w:szCs w:val="24"/>
                <w14:ligatures w14:val="standardContextual"/>
              </w:rPr>
              <m:t>..β</m:t>
            </m:r>
          </m:e>
        </m:d>
        <m:r>
          <w:rPr>
            <w:rFonts w:ascii="Cambria Math" w:eastAsia="Aptos" w:hAnsi="Cambria Math"/>
            <w:sz w:val="24"/>
            <w:szCs w:val="24"/>
            <w14:ligatures w14:val="standardContextual"/>
          </w:rPr>
          <m:t xml:space="preserve">+ </m:t>
        </m:r>
        <m:sSub>
          <m:sSubPr>
            <m:ctrlPr>
              <w:rPr>
                <w:rFonts w:ascii="Cambria Math" w:eastAsia="Aptos" w:hAnsi="Cambria Math"/>
                <w:bCs/>
                <w:i/>
                <w:sz w:val="24"/>
                <w:szCs w:val="24"/>
                <w14:ligatures w14:val="standardContextual"/>
              </w:rPr>
            </m:ctrlPr>
          </m:sSubPr>
          <m:e>
            <m:r>
              <w:rPr>
                <w:rFonts w:ascii="Cambria Math" w:eastAsia="Aptos" w:hAnsi="Cambria Math"/>
                <w:sz w:val="24"/>
                <w:szCs w:val="24"/>
                <w14:ligatures w14:val="standardContextual"/>
              </w:rPr>
              <m:t>ε</m:t>
            </m:r>
          </m:e>
          <m:sub>
            <m:r>
              <w:rPr>
                <w:rFonts w:ascii="Cambria Math" w:eastAsia="Aptos" w:hAnsi="Cambria Math"/>
                <w:sz w:val="24"/>
                <w:szCs w:val="24"/>
                <w14:ligatures w14:val="standardContextual"/>
              </w:rPr>
              <m:t>IJK</m:t>
            </m:r>
          </m:sub>
        </m:sSub>
        <m:r>
          <w:rPr>
            <w:rFonts w:ascii="Cambria Math" w:eastAsia="Aptos" w:hAnsi="Cambria Math"/>
            <w:sz w:val="24"/>
            <w:szCs w:val="24"/>
            <w14:ligatures w14:val="standardContextual"/>
          </w:rPr>
          <m:t xml:space="preserve">= </m:t>
        </m:r>
        <m:sSub>
          <m:sSubPr>
            <m:ctrlPr>
              <w:rPr>
                <w:rFonts w:ascii="Cambria Math" w:eastAsia="Aptos" w:hAnsi="Cambria Math"/>
                <w:bCs/>
                <w:i/>
                <w:sz w:val="24"/>
                <w:szCs w:val="24"/>
                <w14:ligatures w14:val="standardContextual"/>
              </w:rPr>
            </m:ctrlPr>
          </m:sSubPr>
          <m:e>
            <m:r>
              <w:rPr>
                <w:rFonts w:ascii="Cambria Math" w:eastAsia="Aptos" w:hAnsi="Cambria Math"/>
                <w:sz w:val="24"/>
                <w:szCs w:val="24"/>
                <w14:ligatures w14:val="standardContextual"/>
              </w:rPr>
              <m:t>V</m:t>
            </m:r>
          </m:e>
          <m:sub>
            <m:r>
              <w:rPr>
                <w:rFonts w:ascii="Cambria Math" w:eastAsia="Aptos" w:hAnsi="Cambria Math"/>
                <w:sz w:val="24"/>
                <w:szCs w:val="24"/>
                <w14:ligatures w14:val="standardContextual"/>
              </w:rPr>
              <m:t>IJK</m:t>
            </m:r>
          </m:sub>
        </m:sSub>
        <m:r>
          <w:rPr>
            <w:rFonts w:ascii="Cambria Math" w:eastAsia="Aptos" w:hAnsi="Cambria Math"/>
            <w:sz w:val="24"/>
            <w:szCs w:val="24"/>
            <w14:ligatures w14:val="standardContextual"/>
          </w:rPr>
          <m:t>+</m:t>
        </m:r>
        <m:sSub>
          <m:sSubPr>
            <m:ctrlPr>
              <w:rPr>
                <w:rFonts w:ascii="Cambria Math" w:eastAsia="Aptos" w:hAnsi="Cambria Math"/>
                <w:bCs/>
                <w:i/>
                <w:sz w:val="24"/>
                <w:szCs w:val="24"/>
                <w14:ligatures w14:val="standardContextual"/>
              </w:rPr>
            </m:ctrlPr>
          </m:sSubPr>
          <m:e>
            <m:r>
              <w:rPr>
                <w:rFonts w:ascii="Cambria Math" w:eastAsia="Aptos" w:hAnsi="Cambria Math"/>
                <w:sz w:val="24"/>
                <w:szCs w:val="24"/>
                <w14:ligatures w14:val="standardContextual"/>
              </w:rPr>
              <m:t>ε</m:t>
            </m:r>
          </m:e>
          <m:sub>
            <m:r>
              <w:rPr>
                <w:rFonts w:ascii="Cambria Math" w:eastAsia="Aptos" w:hAnsi="Cambria Math"/>
                <w:sz w:val="24"/>
                <w:szCs w:val="24"/>
                <w14:ligatures w14:val="standardContextual"/>
              </w:rPr>
              <m:t>IJK</m:t>
            </m:r>
          </m:sub>
        </m:sSub>
      </m:oMath>
      <w:r w:rsidR="003B043A" w:rsidRPr="00407E38">
        <w:rPr>
          <w:rFonts w:ascii="Times New Roman" w:eastAsia="Aptos" w:hAnsi="Times New Roman"/>
          <w:bCs/>
          <w:sz w:val="24"/>
          <w:szCs w:val="24"/>
          <w14:ligatures w14:val="standardContextual"/>
        </w:rPr>
        <w:t>………………………………………………… (1)</w:t>
      </w:r>
    </w:p>
    <w:p w14:paraId="7094A649" w14:textId="77777777" w:rsidR="003B043A" w:rsidRPr="00407E38" w:rsidRDefault="003B043A" w:rsidP="00407E38">
      <w:pPr>
        <w:widowControl w:val="0"/>
        <w:autoSpaceDE w:val="0"/>
        <w:autoSpaceDN w:val="0"/>
        <w:adjustRightInd w:val="0"/>
        <w:spacing w:line="360" w:lineRule="auto"/>
        <w:jc w:val="both"/>
        <w:rPr>
          <w:rFonts w:ascii="Times New Roman" w:eastAsia="Aptos" w:hAnsi="Times New Roman"/>
          <w:bCs/>
          <w:sz w:val="24"/>
          <w:szCs w:val="24"/>
          <w:lang w:val="en-ZA"/>
          <w14:ligatures w14:val="standardContextual"/>
        </w:rPr>
      </w:pPr>
      <w:r w:rsidRPr="00407E38">
        <w:rPr>
          <w:rFonts w:ascii="Times New Roman" w:eastAsia="Aptos" w:hAnsi="Times New Roman"/>
          <w:bCs/>
          <w:sz w:val="24"/>
          <w:szCs w:val="24"/>
          <w14:ligatures w14:val="standardContextual"/>
        </w:rPr>
        <w:t xml:space="preserve">Where U = Utility V= deterministic component (indirect utility) </w:t>
      </w:r>
      <w:r w:rsidRPr="00407E38">
        <w:rPr>
          <w:rFonts w:ascii="Cambria Math" w:eastAsia="Aptos" w:hAnsi="Cambria Math" w:cs="Cambria Math"/>
          <w:bCs/>
          <w:sz w:val="24"/>
          <w:szCs w:val="24"/>
          <w14:ligatures w14:val="standardContextual"/>
        </w:rPr>
        <w:t>𝜀𝜀𝜀𝜀</w:t>
      </w:r>
      <w:r w:rsidRPr="00407E38">
        <w:rPr>
          <w:rFonts w:ascii="Times New Roman" w:eastAsia="Aptos" w:hAnsi="Times New Roman"/>
          <w:bCs/>
          <w:sz w:val="24"/>
          <w:szCs w:val="24"/>
          <w14:ligatures w14:val="standardContextual"/>
        </w:rPr>
        <w:t xml:space="preserve">= the stochastic component J= program, I =responded /individual, K = is a particular choice task. Since v is the deterministic component that is determined by characteristics of individuals, the attributes of alternatives to disaster insurance policies and a set of unknown parameters and </w:t>
      </w:r>
      <w:proofErr w:type="spellStart"/>
      <w:r w:rsidRPr="00407E38">
        <w:rPr>
          <w:rFonts w:ascii="Times New Roman" w:eastAsia="Aptos" w:hAnsi="Times New Roman"/>
          <w:bCs/>
          <w:sz w:val="24"/>
          <w:szCs w:val="24"/>
          <w14:ligatures w14:val="standardContextual"/>
        </w:rPr>
        <w:t>Xijk</w:t>
      </w:r>
      <w:proofErr w:type="spellEnd"/>
      <w:r w:rsidRPr="00407E38">
        <w:rPr>
          <w:rFonts w:ascii="Times New Roman" w:eastAsia="Aptos" w:hAnsi="Times New Roman"/>
          <w:bCs/>
          <w:sz w:val="24"/>
          <w:szCs w:val="24"/>
          <w14:ligatures w14:val="standardContextual"/>
        </w:rPr>
        <w:t xml:space="preserve"> Is a vector of explanatory variables describing program j and responded </w:t>
      </w:r>
      <w:proofErr w:type="spellStart"/>
      <w:r w:rsidRPr="00407E38">
        <w:rPr>
          <w:rFonts w:ascii="Times New Roman" w:eastAsia="Aptos" w:hAnsi="Times New Roman"/>
          <w:bCs/>
          <w:sz w:val="24"/>
          <w:szCs w:val="24"/>
          <w14:ligatures w14:val="standardContextual"/>
        </w:rPr>
        <w:t>i</w:t>
      </w:r>
      <w:proofErr w:type="spellEnd"/>
      <w:r w:rsidRPr="00407E38">
        <w:rPr>
          <w:rFonts w:ascii="Times New Roman" w:eastAsia="Aptos" w:hAnsi="Times New Roman"/>
          <w:bCs/>
          <w:sz w:val="24"/>
          <w:szCs w:val="24"/>
          <w14:ligatures w14:val="standardContextual"/>
        </w:rPr>
        <w:t xml:space="preserve">. The assumption of rationality and the quest to maximize utility is used and in a context, it is that the individual I will choose </w:t>
      </w:r>
      <w:r w:rsidRPr="00407E38">
        <w:rPr>
          <w:rFonts w:ascii="Times New Roman" w:eastAsia="Aptos" w:hAnsi="Times New Roman"/>
          <w:bCs/>
          <w:sz w:val="24"/>
          <w:szCs w:val="24"/>
          <w14:ligatures w14:val="standardContextual"/>
        </w:rPr>
        <w:lastRenderedPageBreak/>
        <w:t>program j if he/she derived higher utility in that program than the available alternatives J’. The study uses a basic specification of the indirect utility function presented algebraically as follows.</w:t>
      </w:r>
    </w:p>
    <w:p w14:paraId="11BC4193" w14:textId="68EDE085" w:rsidR="003B043A" w:rsidRPr="00407E38" w:rsidRDefault="003B043A" w:rsidP="00407E38">
      <w:pPr>
        <w:widowControl w:val="0"/>
        <w:autoSpaceDE w:val="0"/>
        <w:autoSpaceDN w:val="0"/>
        <w:adjustRightInd w:val="0"/>
        <w:spacing w:line="360" w:lineRule="auto"/>
        <w:jc w:val="both"/>
        <w:rPr>
          <w:rFonts w:ascii="Times New Roman" w:eastAsia="Aptos" w:hAnsi="Times New Roman"/>
          <w:bCs/>
          <w:sz w:val="24"/>
          <w:szCs w:val="24"/>
          <w14:ligatures w14:val="standardContextual"/>
        </w:rPr>
      </w:pPr>
      <w:r w:rsidRPr="00407E38">
        <w:rPr>
          <w:rFonts w:ascii="Times New Roman" w:eastAsia="Aptos" w:hAnsi="Times New Roman"/>
          <w:bCs/>
          <w:sz w:val="24"/>
          <w:szCs w:val="24"/>
          <w14:ligatures w14:val="standardContextual"/>
        </w:rPr>
        <w:t xml:space="preserve"> </w:t>
      </w:r>
      <m:oMath>
        <m:r>
          <w:rPr>
            <w:rFonts w:ascii="Cambria Math" w:eastAsia="Aptos" w:hAnsi="Cambria Math"/>
            <w:sz w:val="24"/>
            <w:szCs w:val="24"/>
            <w14:ligatures w14:val="standardContextual"/>
          </w:rPr>
          <m:t>V=</m:t>
        </m:r>
        <m:d>
          <m:dPr>
            <m:ctrlPr>
              <w:rPr>
                <w:rFonts w:ascii="Cambria Math" w:eastAsia="Aptos" w:hAnsi="Cambria Math"/>
                <w:bCs/>
                <w:i/>
                <w:sz w:val="24"/>
                <w:szCs w:val="24"/>
                <w14:ligatures w14:val="standardContextual"/>
              </w:rPr>
            </m:ctrlPr>
          </m:dPr>
          <m:e>
            <m:r>
              <w:rPr>
                <w:rFonts w:ascii="Cambria Math" w:eastAsia="Aptos" w:hAnsi="Cambria Math"/>
                <w:sz w:val="24"/>
                <w:szCs w:val="24"/>
                <w14:ligatures w14:val="standardContextual"/>
              </w:rPr>
              <m:t>α</m:t>
            </m:r>
          </m:e>
        </m:d>
        <m:r>
          <w:rPr>
            <w:rFonts w:ascii="Cambria Math" w:eastAsia="Aptos" w:hAnsi="Cambria Math"/>
            <w:sz w:val="24"/>
            <w:szCs w:val="24"/>
            <w14:ligatures w14:val="standardContextual"/>
          </w:rPr>
          <m:t xml:space="preserve"> ASC.+</m:t>
        </m:r>
        <m:d>
          <m:dPr>
            <m:ctrlPr>
              <w:rPr>
                <w:rFonts w:ascii="Cambria Math" w:eastAsia="Aptos" w:hAnsi="Cambria Math"/>
                <w:bCs/>
                <w:i/>
                <w:sz w:val="24"/>
                <w:szCs w:val="24"/>
                <w14:ligatures w14:val="standardContextual"/>
              </w:rPr>
            </m:ctrlPr>
          </m:dPr>
          <m:e>
            <m:r>
              <w:rPr>
                <w:rFonts w:ascii="Cambria Math" w:eastAsia="Aptos" w:hAnsi="Cambria Math"/>
                <w:sz w:val="24"/>
                <w:szCs w:val="24"/>
                <w14:ligatures w14:val="standardContextual"/>
              </w:rPr>
              <m:t>β</m:t>
            </m:r>
          </m:e>
        </m:d>
        <m:r>
          <w:rPr>
            <w:rFonts w:ascii="Cambria Math" w:eastAsia="Aptos" w:hAnsi="Cambria Math"/>
            <w:sz w:val="24"/>
            <w:szCs w:val="24"/>
            <w14:ligatures w14:val="standardContextual"/>
          </w:rPr>
          <m:t>Type AG.+.</m:t>
        </m:r>
        <m:d>
          <m:dPr>
            <m:ctrlPr>
              <w:rPr>
                <w:rFonts w:ascii="Cambria Math" w:eastAsia="Aptos" w:hAnsi="Cambria Math"/>
                <w:bCs/>
                <w:i/>
                <w:sz w:val="24"/>
                <w:szCs w:val="24"/>
                <w14:ligatures w14:val="standardContextual"/>
              </w:rPr>
            </m:ctrlPr>
          </m:dPr>
          <m:e>
            <m:r>
              <w:rPr>
                <w:rFonts w:ascii="Cambria Math" w:eastAsia="Aptos" w:hAnsi="Cambria Math"/>
                <w:sz w:val="24"/>
                <w:szCs w:val="24"/>
                <w14:ligatures w14:val="standardContextual"/>
              </w:rPr>
              <m:t>γ</m:t>
            </m:r>
          </m:e>
        </m:d>
        <m:r>
          <w:rPr>
            <w:rFonts w:ascii="Cambria Math" w:eastAsia="Aptos" w:hAnsi="Cambria Math"/>
            <w:sz w:val="24"/>
            <w:szCs w:val="24"/>
            <w14:ligatures w14:val="standardContextual"/>
          </w:rPr>
          <m:t>type Pro+</m:t>
        </m:r>
        <m:d>
          <m:dPr>
            <m:ctrlPr>
              <w:rPr>
                <w:rFonts w:ascii="Cambria Math" w:eastAsia="Aptos" w:hAnsi="Cambria Math"/>
                <w:bCs/>
                <w:i/>
                <w:sz w:val="24"/>
                <w:szCs w:val="24"/>
                <w14:ligatures w14:val="standardContextual"/>
              </w:rPr>
            </m:ctrlPr>
          </m:dPr>
          <m:e>
            <m:r>
              <w:rPr>
                <w:rFonts w:ascii="Cambria Math" w:eastAsia="Aptos" w:hAnsi="Cambria Math"/>
                <w:sz w:val="24"/>
                <w:szCs w:val="24"/>
                <w14:ligatures w14:val="standardContextual"/>
              </w:rPr>
              <m:t>ϑ</m:t>
            </m:r>
          </m:e>
        </m:d>
        <m:r>
          <w:rPr>
            <w:rFonts w:ascii="Cambria Math" w:eastAsia="Aptos" w:hAnsi="Cambria Math"/>
            <w:sz w:val="24"/>
            <w:szCs w:val="24"/>
            <w14:ligatures w14:val="standardContextual"/>
          </w:rPr>
          <m:t>M.Payment .+.φProv.State+</m:t>
        </m:r>
        <m:d>
          <m:dPr>
            <m:ctrlPr>
              <w:rPr>
                <w:rFonts w:ascii="Cambria Math" w:eastAsia="Aptos" w:hAnsi="Cambria Math"/>
                <w:bCs/>
                <w:i/>
                <w:sz w:val="24"/>
                <w:szCs w:val="24"/>
                <w14:ligatures w14:val="standardContextual"/>
              </w:rPr>
            </m:ctrlPr>
          </m:dPr>
          <m:e>
            <m:r>
              <w:rPr>
                <w:rFonts w:ascii="Cambria Math" w:eastAsia="Aptos" w:hAnsi="Cambria Math"/>
                <w:sz w:val="24"/>
                <w:szCs w:val="24"/>
                <w14:ligatures w14:val="standardContextual"/>
              </w:rPr>
              <m:t>ρ</m:t>
            </m:r>
          </m:e>
        </m:d>
        <m:r>
          <w:rPr>
            <w:rFonts w:ascii="Cambria Math" w:eastAsia="Aptos" w:hAnsi="Cambria Math"/>
            <w:sz w:val="24"/>
            <w:szCs w:val="24"/>
            <w14:ligatures w14:val="standardContextual"/>
          </w:rPr>
          <m:t xml:space="preserve">ProvNGO.+ </m:t>
        </m:r>
        <m:d>
          <m:dPr>
            <m:ctrlPr>
              <w:rPr>
                <w:rFonts w:ascii="Cambria Math" w:eastAsia="Aptos" w:hAnsi="Cambria Math"/>
                <w:bCs/>
                <w:i/>
                <w:sz w:val="24"/>
                <w:szCs w:val="24"/>
                <w14:ligatures w14:val="standardContextual"/>
              </w:rPr>
            </m:ctrlPr>
          </m:dPr>
          <m:e>
            <m:r>
              <w:rPr>
                <w:rFonts w:ascii="Cambria Math" w:eastAsia="Aptos" w:hAnsi="Cambria Math"/>
                <w:sz w:val="24"/>
                <w:szCs w:val="24"/>
                <w14:ligatures w14:val="standardContextual"/>
              </w:rPr>
              <m:t>δ</m:t>
            </m:r>
          </m:e>
        </m:d>
        <m:r>
          <w:rPr>
            <w:rFonts w:ascii="Cambria Math" w:eastAsia="Aptos" w:hAnsi="Cambria Math"/>
            <w:sz w:val="24"/>
            <w:szCs w:val="24"/>
            <w14:ligatures w14:val="standardContextual"/>
          </w:rPr>
          <m:t>MaxiCoverage .+∅ Trans+τ.payout time +</m:t>
        </m:r>
        <m:d>
          <m:dPr>
            <m:ctrlPr>
              <w:rPr>
                <w:rFonts w:ascii="Cambria Math" w:eastAsia="Aptos" w:hAnsi="Cambria Math"/>
                <w:bCs/>
                <w:i/>
                <w:sz w:val="24"/>
                <w:szCs w:val="24"/>
                <w14:ligatures w14:val="standardContextual"/>
              </w:rPr>
            </m:ctrlPr>
          </m:dPr>
          <m:e>
            <m:r>
              <w:rPr>
                <w:rFonts w:ascii="Cambria Math" w:eastAsia="Aptos" w:hAnsi="Cambria Math"/>
                <w:sz w:val="24"/>
                <w:szCs w:val="24"/>
                <w14:ligatures w14:val="standardContextual"/>
              </w:rPr>
              <m:t>K</m:t>
            </m:r>
          </m:e>
        </m:d>
        <m:r>
          <w:rPr>
            <w:rFonts w:ascii="Cambria Math" w:eastAsia="Aptos" w:hAnsi="Cambria Math"/>
            <w:sz w:val="24"/>
            <w:szCs w:val="24"/>
            <w14:ligatures w14:val="standardContextual"/>
          </w:rPr>
          <m:t>C………………………………………………….(2)</m:t>
        </m:r>
      </m:oMath>
    </w:p>
    <w:p w14:paraId="72EDC658" w14:textId="6FB1AA43" w:rsidR="00004CE5" w:rsidRPr="00407E38" w:rsidRDefault="003B043A" w:rsidP="00407E38">
      <w:pPr>
        <w:widowControl w:val="0"/>
        <w:autoSpaceDE w:val="0"/>
        <w:autoSpaceDN w:val="0"/>
        <w:adjustRightInd w:val="0"/>
        <w:spacing w:line="360" w:lineRule="auto"/>
        <w:jc w:val="both"/>
        <w:rPr>
          <w:rFonts w:ascii="Times New Roman" w:eastAsia="Aptos" w:hAnsi="Times New Roman"/>
          <w:bCs/>
          <w:sz w:val="24"/>
          <w:szCs w:val="24"/>
          <w14:ligatures w14:val="standardContextual"/>
        </w:rPr>
      </w:pPr>
      <w:r w:rsidRPr="00407E38">
        <w:rPr>
          <w:rFonts w:ascii="Times New Roman" w:eastAsia="Aptos" w:hAnsi="Times New Roman"/>
          <w:bCs/>
          <w:sz w:val="24"/>
          <w:szCs w:val="24"/>
          <w14:ligatures w14:val="standardContextual"/>
        </w:rPr>
        <w:t xml:space="preserve">Where ASC is status quo, Type Ag is the Dummy variable for agriculture insurance, Type </w:t>
      </w:r>
      <w:r w:rsidR="00A80E3D" w:rsidRPr="00407E38">
        <w:rPr>
          <w:rFonts w:ascii="Times New Roman" w:eastAsia="Aptos" w:hAnsi="Times New Roman"/>
          <w:bCs/>
          <w:sz w:val="24"/>
          <w:szCs w:val="24"/>
          <w14:ligatures w14:val="standardContextual"/>
        </w:rPr>
        <w:t>Pro</w:t>
      </w:r>
      <w:r w:rsidRPr="00407E38">
        <w:rPr>
          <w:rFonts w:ascii="Times New Roman" w:eastAsia="Aptos" w:hAnsi="Times New Roman"/>
          <w:bCs/>
          <w:sz w:val="24"/>
          <w:szCs w:val="24"/>
          <w14:ligatures w14:val="standardContextual"/>
        </w:rPr>
        <w:t xml:space="preserve"> is the dummy variable for </w:t>
      </w:r>
      <w:r w:rsidR="00A80E3D" w:rsidRPr="00407E38">
        <w:rPr>
          <w:rFonts w:ascii="Times New Roman" w:eastAsia="Aptos" w:hAnsi="Times New Roman"/>
          <w:bCs/>
          <w:sz w:val="24"/>
          <w:szCs w:val="24"/>
          <w14:ligatures w14:val="standardContextual"/>
        </w:rPr>
        <w:t xml:space="preserve">Property </w:t>
      </w:r>
      <w:r w:rsidRPr="00407E38">
        <w:rPr>
          <w:rFonts w:ascii="Times New Roman" w:eastAsia="Aptos" w:hAnsi="Times New Roman"/>
          <w:bCs/>
          <w:sz w:val="24"/>
          <w:szCs w:val="24"/>
          <w14:ligatures w14:val="standardContextual"/>
        </w:rPr>
        <w:t xml:space="preserve"> insurance, </w:t>
      </w:r>
      <w:proofErr w:type="spellStart"/>
      <w:r w:rsidRPr="00407E38">
        <w:rPr>
          <w:rFonts w:ascii="Times New Roman" w:eastAsia="Aptos" w:hAnsi="Times New Roman"/>
          <w:bCs/>
          <w:sz w:val="24"/>
          <w:szCs w:val="24"/>
          <w14:ligatures w14:val="standardContextual"/>
        </w:rPr>
        <w:t>M.payment</w:t>
      </w:r>
      <w:proofErr w:type="spellEnd"/>
      <w:r w:rsidRPr="00407E38">
        <w:rPr>
          <w:rFonts w:ascii="Times New Roman" w:eastAsia="Aptos" w:hAnsi="Times New Roman"/>
          <w:bCs/>
          <w:sz w:val="24"/>
          <w:szCs w:val="24"/>
          <w14:ligatures w14:val="standardContextual"/>
        </w:rPr>
        <w:t xml:space="preserve"> represents a dummy for a monthly payment , </w:t>
      </w:r>
      <w:proofErr w:type="spellStart"/>
      <w:r w:rsidRPr="00407E38">
        <w:rPr>
          <w:rFonts w:ascii="Times New Roman" w:eastAsia="Aptos" w:hAnsi="Times New Roman"/>
          <w:bCs/>
          <w:sz w:val="24"/>
          <w:szCs w:val="24"/>
          <w14:ligatures w14:val="standardContextual"/>
        </w:rPr>
        <w:t>Prov</w:t>
      </w:r>
      <w:proofErr w:type="spellEnd"/>
      <w:r w:rsidRPr="00407E38">
        <w:rPr>
          <w:rFonts w:ascii="Times New Roman" w:eastAsia="Aptos" w:hAnsi="Times New Roman"/>
          <w:bCs/>
          <w:sz w:val="24"/>
          <w:szCs w:val="24"/>
          <w14:ligatures w14:val="standardContextual"/>
        </w:rPr>
        <w:t xml:space="preserve"> state represents state-owned insurance program </w:t>
      </w:r>
      <w:proofErr w:type="spellStart"/>
      <w:r w:rsidRPr="00407E38">
        <w:rPr>
          <w:rFonts w:ascii="Times New Roman" w:eastAsia="Aptos" w:hAnsi="Times New Roman"/>
          <w:bCs/>
          <w:sz w:val="24"/>
          <w:szCs w:val="24"/>
          <w14:ligatures w14:val="standardContextual"/>
        </w:rPr>
        <w:t>ProvNGO</w:t>
      </w:r>
      <w:proofErr w:type="spellEnd"/>
      <w:r w:rsidRPr="00407E38">
        <w:rPr>
          <w:rFonts w:ascii="Times New Roman" w:eastAsia="Aptos" w:hAnsi="Times New Roman"/>
          <w:bCs/>
          <w:sz w:val="24"/>
          <w:szCs w:val="24"/>
          <w14:ligatures w14:val="standardContextual"/>
        </w:rPr>
        <w:t xml:space="preserve"> represents a non- governmental organization insurance program and </w:t>
      </w:r>
      <w:proofErr w:type="spellStart"/>
      <w:r w:rsidRPr="00407E38">
        <w:rPr>
          <w:rFonts w:ascii="Times New Roman" w:eastAsia="Aptos" w:hAnsi="Times New Roman"/>
          <w:bCs/>
          <w:sz w:val="24"/>
          <w:szCs w:val="24"/>
          <w14:ligatures w14:val="standardContextual"/>
        </w:rPr>
        <w:t>MaxiCoverage</w:t>
      </w:r>
      <w:proofErr w:type="spellEnd"/>
      <w:r w:rsidRPr="00407E38">
        <w:rPr>
          <w:rFonts w:ascii="Times New Roman" w:eastAsia="Aptos" w:hAnsi="Times New Roman"/>
          <w:bCs/>
          <w:sz w:val="24"/>
          <w:szCs w:val="24"/>
          <w14:ligatures w14:val="standardContextual"/>
        </w:rPr>
        <w:t xml:space="preserve"> is maximum level of insurance coverage </w:t>
      </w:r>
      <w:r w:rsidR="00D43C70" w:rsidRPr="00407E38">
        <w:rPr>
          <w:rFonts w:ascii="Times New Roman" w:eastAsia="Aptos" w:hAnsi="Times New Roman"/>
          <w:bCs/>
          <w:sz w:val="24"/>
          <w:szCs w:val="24"/>
          <w14:ligatures w14:val="standardContextual"/>
        </w:rPr>
        <w:t>,</w:t>
      </w:r>
      <w:r w:rsidR="00D43C70" w:rsidRPr="00407E38">
        <w:rPr>
          <w:rFonts w:ascii="Times New Roman" w:eastAsia="Aptos" w:hAnsi="Times New Roman"/>
          <w:bCs/>
          <w:i/>
          <w:sz w:val="24"/>
          <w:szCs w:val="24"/>
          <w14:ligatures w14:val="standardContextual"/>
        </w:rPr>
        <w:t xml:space="preserve"> </w:t>
      </w:r>
      <m:oMath>
        <m:r>
          <w:rPr>
            <w:rFonts w:ascii="Cambria Math" w:eastAsia="Aptos" w:hAnsi="Cambria Math"/>
            <w:sz w:val="24"/>
            <w:szCs w:val="24"/>
            <w14:ligatures w14:val="standardContextual"/>
          </w:rPr>
          <m:t>Trans</m:t>
        </m:r>
      </m:oMath>
      <w:r w:rsidR="000B7B6F" w:rsidRPr="00407E38">
        <w:rPr>
          <w:rFonts w:ascii="Times New Roman" w:eastAsia="Aptos" w:hAnsi="Times New Roman"/>
          <w:bCs/>
          <w:i/>
          <w:sz w:val="24"/>
          <w:szCs w:val="24"/>
          <w14:ligatures w14:val="standardContextual"/>
        </w:rPr>
        <w:t xml:space="preserve"> represents transpatemcy in the process a and finaly </w:t>
      </w:r>
      <m:oMath>
        <m:r>
          <w:rPr>
            <w:rFonts w:ascii="Cambria Math" w:eastAsia="Aptos" w:hAnsi="Cambria Math"/>
            <w:sz w:val="24"/>
            <w:szCs w:val="24"/>
            <w14:ligatures w14:val="standardContextual"/>
          </w:rPr>
          <m:t>τ</m:t>
        </m:r>
      </m:oMath>
      <w:r w:rsidRPr="00407E38">
        <w:rPr>
          <w:rFonts w:ascii="Times New Roman" w:eastAsia="Aptos" w:hAnsi="Times New Roman"/>
          <w:bCs/>
          <w:sz w:val="24"/>
          <w:szCs w:val="24"/>
          <w14:ligatures w14:val="standardContextual"/>
        </w:rPr>
        <w:t xml:space="preserve"> </w:t>
      </w:r>
      <w:r w:rsidR="000B7B6F" w:rsidRPr="00407E38">
        <w:rPr>
          <w:rFonts w:ascii="Times New Roman" w:eastAsia="Aptos" w:hAnsi="Times New Roman"/>
          <w:bCs/>
          <w:sz w:val="24"/>
          <w:szCs w:val="24"/>
          <w14:ligatures w14:val="standardContextual"/>
        </w:rPr>
        <w:t xml:space="preserve"> represents payout time </w:t>
      </w:r>
      <w:r w:rsidR="00F200EF" w:rsidRPr="00407E38">
        <w:rPr>
          <w:rFonts w:ascii="Times New Roman" w:eastAsia="Aptos" w:hAnsi="Times New Roman"/>
          <w:bCs/>
          <w:sz w:val="24"/>
          <w:szCs w:val="24"/>
          <w14:ligatures w14:val="standardContextual"/>
        </w:rPr>
        <w:t xml:space="preserve">from the submission of claim </w:t>
      </w:r>
      <w:r w:rsidRPr="00407E38">
        <w:rPr>
          <w:rFonts w:ascii="Times New Roman" w:eastAsia="Aptos" w:hAnsi="Times New Roman"/>
          <w:bCs/>
          <w:sz w:val="24"/>
          <w:szCs w:val="24"/>
          <w14:ligatures w14:val="standardContextual"/>
        </w:rPr>
        <w:t xml:space="preserve">. </w:t>
      </w:r>
      <w:r w:rsidR="00004CE5" w:rsidRPr="00407E38">
        <w:rPr>
          <w:rFonts w:ascii="Times New Roman" w:eastAsia="Aptos" w:hAnsi="Times New Roman"/>
          <w:bCs/>
          <w:sz w:val="24"/>
          <w:szCs w:val="24"/>
          <w:lang w:val="en-US"/>
          <w14:ligatures w14:val="standardContextual"/>
        </w:rPr>
        <w:t xml:space="preserve">The priory expectations of the alternative specific variables and the case-specific variables have been denoted in Table 2 below: </w:t>
      </w:r>
    </w:p>
    <w:p w14:paraId="26DF219F" w14:textId="77777777" w:rsidR="00004CE5" w:rsidRPr="00407E38" w:rsidRDefault="00004CE5" w:rsidP="00407E38">
      <w:pPr>
        <w:widowControl w:val="0"/>
        <w:autoSpaceDE w:val="0"/>
        <w:autoSpaceDN w:val="0"/>
        <w:adjustRightInd w:val="0"/>
        <w:spacing w:line="360" w:lineRule="auto"/>
        <w:jc w:val="both"/>
        <w:rPr>
          <w:rFonts w:ascii="Times New Roman" w:eastAsia="Aptos" w:hAnsi="Times New Roman"/>
          <w:b/>
          <w:bCs/>
          <w:sz w:val="24"/>
          <w:szCs w:val="24"/>
          <w:lang w:val="en-US"/>
          <w14:ligatures w14:val="standardContextual"/>
        </w:rPr>
      </w:pPr>
    </w:p>
    <w:p w14:paraId="591989C8" w14:textId="5AEDCA56" w:rsidR="00004CE5" w:rsidRPr="00407E38" w:rsidRDefault="00004CE5" w:rsidP="00407E38">
      <w:pPr>
        <w:widowControl w:val="0"/>
        <w:autoSpaceDE w:val="0"/>
        <w:autoSpaceDN w:val="0"/>
        <w:adjustRightInd w:val="0"/>
        <w:spacing w:line="360" w:lineRule="auto"/>
        <w:jc w:val="both"/>
        <w:rPr>
          <w:rFonts w:ascii="Times New Roman" w:eastAsia="Aptos" w:hAnsi="Times New Roman"/>
          <w:b/>
          <w:bCs/>
          <w:sz w:val="24"/>
          <w:szCs w:val="24"/>
          <w:lang w:val="en-US"/>
          <w14:ligatures w14:val="standardContextual"/>
        </w:rPr>
      </w:pPr>
      <w:r w:rsidRPr="00407E38">
        <w:rPr>
          <w:rFonts w:ascii="Times New Roman" w:eastAsia="Aptos" w:hAnsi="Times New Roman"/>
          <w:b/>
          <w:bCs/>
          <w:sz w:val="24"/>
          <w:szCs w:val="24"/>
          <w:lang w:val="en-US"/>
          <w14:ligatures w14:val="standardContextual"/>
        </w:rPr>
        <w:t xml:space="preserve">Table 2  A priory expectation </w:t>
      </w:r>
    </w:p>
    <w:tbl>
      <w:tblPr>
        <w:tblStyle w:val="PlainTable11"/>
        <w:tblW w:w="9265" w:type="dxa"/>
        <w:tblLook w:val="04A0" w:firstRow="1" w:lastRow="0" w:firstColumn="1" w:lastColumn="0" w:noHBand="0" w:noVBand="1"/>
      </w:tblPr>
      <w:tblGrid>
        <w:gridCol w:w="1981"/>
        <w:gridCol w:w="1974"/>
        <w:gridCol w:w="1890"/>
        <w:gridCol w:w="1620"/>
        <w:gridCol w:w="1800"/>
      </w:tblGrid>
      <w:tr w:rsidR="00004CE5" w:rsidRPr="00407E38" w14:paraId="7E730DA1" w14:textId="77777777" w:rsidTr="009478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Pr>
          <w:p w14:paraId="43C7A043" w14:textId="77777777" w:rsidR="00004CE5" w:rsidRPr="00407E38" w:rsidRDefault="00004CE5" w:rsidP="00407E38">
            <w:pPr>
              <w:spacing w:line="360" w:lineRule="auto"/>
              <w:jc w:val="both"/>
              <w:rPr>
                <w:rFonts w:ascii="Times New Roman" w:hAnsi="Times New Roman"/>
                <w:lang w:val="en-ZA"/>
              </w:rPr>
            </w:pPr>
            <w:r w:rsidRPr="00407E38">
              <w:rPr>
                <w:rFonts w:ascii="Times New Roman" w:hAnsi="Times New Roman"/>
                <w:lang w:val="en-ZA"/>
              </w:rPr>
              <w:t xml:space="preserve">Variable </w:t>
            </w:r>
          </w:p>
        </w:tc>
        <w:tc>
          <w:tcPr>
            <w:tcW w:w="1974" w:type="dxa"/>
          </w:tcPr>
          <w:p w14:paraId="5C5C05AD" w14:textId="77777777" w:rsidR="00004CE5" w:rsidRPr="00407E38" w:rsidRDefault="00004CE5" w:rsidP="00407E3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lang w:val="en-ZA"/>
              </w:rPr>
            </w:pPr>
            <w:r w:rsidRPr="00407E38">
              <w:rPr>
                <w:rFonts w:ascii="Times New Roman" w:hAnsi="Times New Roman"/>
                <w:lang w:val="en-ZA"/>
              </w:rPr>
              <w:t xml:space="preserve">Definition </w:t>
            </w:r>
          </w:p>
        </w:tc>
        <w:tc>
          <w:tcPr>
            <w:tcW w:w="1890" w:type="dxa"/>
          </w:tcPr>
          <w:p w14:paraId="5152A7CC" w14:textId="77777777" w:rsidR="00004CE5" w:rsidRPr="00407E38" w:rsidRDefault="00004CE5" w:rsidP="00407E3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lang w:val="en-ZA"/>
              </w:rPr>
            </w:pPr>
            <w:r w:rsidRPr="00407E38">
              <w:rPr>
                <w:rFonts w:ascii="Times New Roman" w:hAnsi="Times New Roman"/>
                <w:lang w:val="en-ZA"/>
              </w:rPr>
              <w:t xml:space="preserve">Measurement </w:t>
            </w:r>
          </w:p>
        </w:tc>
        <w:tc>
          <w:tcPr>
            <w:tcW w:w="1620" w:type="dxa"/>
          </w:tcPr>
          <w:p w14:paraId="6AFC10CD" w14:textId="77777777" w:rsidR="00004CE5" w:rsidRPr="00407E38" w:rsidRDefault="00004CE5" w:rsidP="00407E3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lang w:val="en-ZA"/>
              </w:rPr>
            </w:pPr>
            <w:r w:rsidRPr="00407E38">
              <w:rPr>
                <w:rFonts w:ascii="Times New Roman" w:hAnsi="Times New Roman"/>
                <w:lang w:val="en-ZA"/>
              </w:rPr>
              <w:t xml:space="preserve">Base category </w:t>
            </w:r>
          </w:p>
        </w:tc>
        <w:tc>
          <w:tcPr>
            <w:tcW w:w="1800" w:type="dxa"/>
          </w:tcPr>
          <w:p w14:paraId="631D848D" w14:textId="77777777" w:rsidR="00004CE5" w:rsidRPr="00407E38" w:rsidRDefault="00004CE5" w:rsidP="00407E3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lang w:val="en-ZA"/>
              </w:rPr>
            </w:pPr>
            <w:r w:rsidRPr="00407E38">
              <w:rPr>
                <w:rFonts w:ascii="Times New Roman" w:hAnsi="Times New Roman"/>
                <w:lang w:val="en-ZA"/>
              </w:rPr>
              <w:t xml:space="preserve">Expected sign </w:t>
            </w:r>
          </w:p>
        </w:tc>
      </w:tr>
      <w:tr w:rsidR="00004CE5" w:rsidRPr="00407E38" w14:paraId="10ED4E91" w14:textId="77777777" w:rsidTr="009478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Pr>
          <w:p w14:paraId="1EDED5B9" w14:textId="77777777" w:rsidR="00004CE5" w:rsidRPr="00407E38" w:rsidRDefault="00004CE5" w:rsidP="00407E38">
            <w:pPr>
              <w:spacing w:line="360" w:lineRule="auto"/>
              <w:jc w:val="both"/>
              <w:rPr>
                <w:rFonts w:ascii="Times New Roman" w:hAnsi="Times New Roman"/>
                <w:lang w:val="en-ZA"/>
              </w:rPr>
            </w:pPr>
            <w:r w:rsidRPr="00407E38">
              <w:rPr>
                <w:rFonts w:ascii="Times New Roman" w:hAnsi="Times New Roman"/>
                <w:lang w:val="en-ZA"/>
              </w:rPr>
              <w:t>Domain</w:t>
            </w:r>
          </w:p>
        </w:tc>
        <w:tc>
          <w:tcPr>
            <w:tcW w:w="1974" w:type="dxa"/>
          </w:tcPr>
          <w:p w14:paraId="65B9D3FA" w14:textId="77777777" w:rsidR="00004CE5" w:rsidRPr="00407E38" w:rsidRDefault="00004CE5" w:rsidP="00407E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ZA"/>
              </w:rPr>
            </w:pPr>
            <w:r w:rsidRPr="00407E38">
              <w:rPr>
                <w:rFonts w:ascii="Times New Roman" w:hAnsi="Times New Roman"/>
                <w:lang w:val="en-ZA"/>
              </w:rPr>
              <w:t xml:space="preserve">Type of insurance and what it covers </w:t>
            </w:r>
          </w:p>
        </w:tc>
        <w:tc>
          <w:tcPr>
            <w:tcW w:w="1890" w:type="dxa"/>
          </w:tcPr>
          <w:p w14:paraId="2505F962" w14:textId="77777777" w:rsidR="00004CE5" w:rsidRPr="00407E38" w:rsidRDefault="00004CE5" w:rsidP="00407E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ZA"/>
              </w:rPr>
            </w:pPr>
            <w:r w:rsidRPr="00407E38">
              <w:rPr>
                <w:rFonts w:ascii="Times New Roman" w:hAnsi="Times New Roman"/>
                <w:lang w:val="en-ZA"/>
              </w:rPr>
              <w:t xml:space="preserve">Health, Agriculture and Property </w:t>
            </w:r>
          </w:p>
        </w:tc>
        <w:tc>
          <w:tcPr>
            <w:tcW w:w="1620" w:type="dxa"/>
          </w:tcPr>
          <w:p w14:paraId="713CFD17" w14:textId="77777777" w:rsidR="00004CE5" w:rsidRPr="00407E38" w:rsidRDefault="00004CE5" w:rsidP="00407E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ZA"/>
              </w:rPr>
            </w:pPr>
            <w:r w:rsidRPr="00407E38">
              <w:rPr>
                <w:rFonts w:ascii="Times New Roman" w:hAnsi="Times New Roman"/>
                <w:lang w:val="en-ZA"/>
              </w:rPr>
              <w:t xml:space="preserve">Health </w:t>
            </w:r>
          </w:p>
        </w:tc>
        <w:tc>
          <w:tcPr>
            <w:tcW w:w="1800" w:type="dxa"/>
          </w:tcPr>
          <w:p w14:paraId="4BC6490D" w14:textId="77777777" w:rsidR="00004CE5" w:rsidRPr="00407E38" w:rsidRDefault="00004CE5" w:rsidP="00407E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ZA"/>
              </w:rPr>
            </w:pPr>
            <w:r w:rsidRPr="00407E38">
              <w:rPr>
                <w:rFonts w:ascii="Times New Roman" w:hAnsi="Times New Roman"/>
                <w:lang w:val="en-ZA"/>
              </w:rPr>
              <w:t>-/+</w:t>
            </w:r>
          </w:p>
        </w:tc>
      </w:tr>
      <w:tr w:rsidR="00004CE5" w:rsidRPr="00407E38" w14:paraId="1514AAB9" w14:textId="77777777" w:rsidTr="009478A8">
        <w:tc>
          <w:tcPr>
            <w:cnfStyle w:val="001000000000" w:firstRow="0" w:lastRow="0" w:firstColumn="1" w:lastColumn="0" w:oddVBand="0" w:evenVBand="0" w:oddHBand="0" w:evenHBand="0" w:firstRowFirstColumn="0" w:firstRowLastColumn="0" w:lastRowFirstColumn="0" w:lastRowLastColumn="0"/>
            <w:tcW w:w="1981" w:type="dxa"/>
          </w:tcPr>
          <w:p w14:paraId="7AEBD827" w14:textId="77777777" w:rsidR="00004CE5" w:rsidRPr="00407E38" w:rsidRDefault="00004CE5" w:rsidP="00407E38">
            <w:pPr>
              <w:spacing w:line="360" w:lineRule="auto"/>
              <w:jc w:val="both"/>
              <w:rPr>
                <w:rFonts w:ascii="Times New Roman" w:hAnsi="Times New Roman"/>
                <w:lang w:val="en-ZA"/>
              </w:rPr>
            </w:pPr>
            <w:r w:rsidRPr="00407E38">
              <w:rPr>
                <w:rFonts w:ascii="Times New Roman" w:hAnsi="Times New Roman"/>
                <w:lang w:val="en-ZA"/>
              </w:rPr>
              <w:t>ASC</w:t>
            </w:r>
          </w:p>
        </w:tc>
        <w:tc>
          <w:tcPr>
            <w:tcW w:w="1974" w:type="dxa"/>
          </w:tcPr>
          <w:p w14:paraId="44D05B4F" w14:textId="77777777" w:rsidR="00004CE5" w:rsidRPr="00407E38" w:rsidRDefault="00004CE5" w:rsidP="00407E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ZA"/>
              </w:rPr>
            </w:pPr>
            <w:r w:rsidRPr="00407E38">
              <w:rPr>
                <w:rFonts w:ascii="Times New Roman" w:hAnsi="Times New Roman"/>
                <w:lang w:val="en-ZA"/>
              </w:rPr>
              <w:t xml:space="preserve">If an individual said Yes =0 </w:t>
            </w:r>
          </w:p>
          <w:p w14:paraId="084BCB61" w14:textId="77777777" w:rsidR="00004CE5" w:rsidRPr="00407E38" w:rsidRDefault="00004CE5" w:rsidP="00407E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ZA"/>
              </w:rPr>
            </w:pPr>
            <w:r w:rsidRPr="00407E38">
              <w:rPr>
                <w:rFonts w:ascii="Times New Roman" w:hAnsi="Times New Roman"/>
                <w:lang w:val="en-ZA"/>
              </w:rPr>
              <w:t xml:space="preserve"> No=1 </w:t>
            </w:r>
          </w:p>
          <w:p w14:paraId="5EC60E5F" w14:textId="77777777" w:rsidR="00004CE5" w:rsidRPr="00407E38" w:rsidRDefault="00004CE5" w:rsidP="00407E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ZA"/>
              </w:rPr>
            </w:pPr>
            <w:r w:rsidRPr="00407E38">
              <w:rPr>
                <w:rFonts w:ascii="Times New Roman" w:hAnsi="Times New Roman"/>
                <w:lang w:val="en-ZA"/>
              </w:rPr>
              <w:t xml:space="preserve"> To purchasing insurance </w:t>
            </w:r>
          </w:p>
        </w:tc>
        <w:tc>
          <w:tcPr>
            <w:tcW w:w="1890" w:type="dxa"/>
          </w:tcPr>
          <w:p w14:paraId="6F222CF3" w14:textId="77777777" w:rsidR="00004CE5" w:rsidRPr="00407E38" w:rsidRDefault="00004CE5" w:rsidP="00407E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ZA"/>
              </w:rPr>
            </w:pPr>
            <w:r w:rsidRPr="00407E38">
              <w:rPr>
                <w:rFonts w:ascii="Times New Roman" w:hAnsi="Times New Roman"/>
                <w:lang w:val="en-ZA"/>
              </w:rPr>
              <w:t xml:space="preserve">No/Yes </w:t>
            </w:r>
          </w:p>
        </w:tc>
        <w:tc>
          <w:tcPr>
            <w:tcW w:w="1620" w:type="dxa"/>
          </w:tcPr>
          <w:p w14:paraId="0D234956" w14:textId="77777777" w:rsidR="00004CE5" w:rsidRPr="00407E38" w:rsidRDefault="00004CE5" w:rsidP="00407E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ZA"/>
              </w:rPr>
            </w:pPr>
          </w:p>
        </w:tc>
        <w:tc>
          <w:tcPr>
            <w:tcW w:w="1800" w:type="dxa"/>
          </w:tcPr>
          <w:p w14:paraId="1DC120D1" w14:textId="77777777" w:rsidR="00004CE5" w:rsidRPr="00407E38" w:rsidRDefault="00004CE5" w:rsidP="00407E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ZA"/>
              </w:rPr>
            </w:pPr>
            <w:r w:rsidRPr="00407E38">
              <w:rPr>
                <w:rFonts w:ascii="Times New Roman" w:hAnsi="Times New Roman"/>
                <w:lang w:val="en-ZA"/>
              </w:rPr>
              <w:t>-/+</w:t>
            </w:r>
          </w:p>
        </w:tc>
      </w:tr>
      <w:tr w:rsidR="00004CE5" w:rsidRPr="00407E38" w14:paraId="2684EA04" w14:textId="77777777" w:rsidTr="009478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Pr>
          <w:p w14:paraId="54E648E8" w14:textId="77777777" w:rsidR="00004CE5" w:rsidRPr="00407E38" w:rsidRDefault="00004CE5" w:rsidP="00407E38">
            <w:pPr>
              <w:spacing w:line="360" w:lineRule="auto"/>
              <w:jc w:val="both"/>
              <w:rPr>
                <w:rFonts w:ascii="Times New Roman" w:hAnsi="Times New Roman"/>
                <w:lang w:val="en-ZA"/>
              </w:rPr>
            </w:pPr>
            <w:r w:rsidRPr="00407E38">
              <w:rPr>
                <w:rFonts w:ascii="Times New Roman" w:hAnsi="Times New Roman"/>
                <w:lang w:val="en-ZA"/>
              </w:rPr>
              <w:t xml:space="preserve">Provider </w:t>
            </w:r>
          </w:p>
        </w:tc>
        <w:tc>
          <w:tcPr>
            <w:tcW w:w="1974" w:type="dxa"/>
          </w:tcPr>
          <w:p w14:paraId="2187D3FC" w14:textId="77777777" w:rsidR="00004CE5" w:rsidRPr="00407E38" w:rsidRDefault="00004CE5" w:rsidP="00407E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ZA"/>
              </w:rPr>
            </w:pPr>
            <w:r w:rsidRPr="00407E38">
              <w:rPr>
                <w:rFonts w:ascii="Times New Roman" w:hAnsi="Times New Roman"/>
                <w:lang w:val="en-ZA"/>
              </w:rPr>
              <w:t xml:space="preserve"> The company that the community prefers and trusts to provide insurance </w:t>
            </w:r>
          </w:p>
        </w:tc>
        <w:tc>
          <w:tcPr>
            <w:tcW w:w="1890" w:type="dxa"/>
          </w:tcPr>
          <w:p w14:paraId="72DC2D01" w14:textId="77777777" w:rsidR="00004CE5" w:rsidRPr="00407E38" w:rsidRDefault="00004CE5" w:rsidP="00407E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ZA"/>
              </w:rPr>
            </w:pPr>
            <w:r w:rsidRPr="00407E38">
              <w:rPr>
                <w:rFonts w:ascii="Times New Roman" w:hAnsi="Times New Roman"/>
                <w:lang w:val="en-ZA"/>
              </w:rPr>
              <w:t xml:space="preserve">NGO, Government and private companies </w:t>
            </w:r>
          </w:p>
        </w:tc>
        <w:tc>
          <w:tcPr>
            <w:tcW w:w="1620" w:type="dxa"/>
          </w:tcPr>
          <w:p w14:paraId="03B783FE" w14:textId="77777777" w:rsidR="00004CE5" w:rsidRPr="00407E38" w:rsidRDefault="00004CE5" w:rsidP="00407E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ZA"/>
              </w:rPr>
            </w:pPr>
            <w:r w:rsidRPr="00407E38">
              <w:rPr>
                <w:rFonts w:ascii="Times New Roman" w:hAnsi="Times New Roman"/>
                <w:lang w:val="en-ZA"/>
              </w:rPr>
              <w:t xml:space="preserve">Private companies </w:t>
            </w:r>
          </w:p>
        </w:tc>
        <w:tc>
          <w:tcPr>
            <w:tcW w:w="1800" w:type="dxa"/>
          </w:tcPr>
          <w:p w14:paraId="324F47DE" w14:textId="77777777" w:rsidR="00004CE5" w:rsidRPr="00407E38" w:rsidRDefault="00004CE5" w:rsidP="00407E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ZA"/>
              </w:rPr>
            </w:pPr>
            <w:r w:rsidRPr="00407E38">
              <w:rPr>
                <w:rFonts w:ascii="Times New Roman" w:hAnsi="Times New Roman"/>
                <w:lang w:val="en-ZA"/>
              </w:rPr>
              <w:t>-/+</w:t>
            </w:r>
          </w:p>
        </w:tc>
      </w:tr>
      <w:tr w:rsidR="00004CE5" w:rsidRPr="00407E38" w14:paraId="3405A689" w14:textId="77777777" w:rsidTr="009478A8">
        <w:tc>
          <w:tcPr>
            <w:cnfStyle w:val="001000000000" w:firstRow="0" w:lastRow="0" w:firstColumn="1" w:lastColumn="0" w:oddVBand="0" w:evenVBand="0" w:oddHBand="0" w:evenHBand="0" w:firstRowFirstColumn="0" w:firstRowLastColumn="0" w:lastRowFirstColumn="0" w:lastRowLastColumn="0"/>
            <w:tcW w:w="1981" w:type="dxa"/>
          </w:tcPr>
          <w:p w14:paraId="5412512D" w14:textId="77777777" w:rsidR="00004CE5" w:rsidRPr="00407E38" w:rsidRDefault="00004CE5" w:rsidP="00407E38">
            <w:pPr>
              <w:spacing w:line="360" w:lineRule="auto"/>
              <w:jc w:val="both"/>
              <w:rPr>
                <w:rFonts w:ascii="Times New Roman" w:hAnsi="Times New Roman"/>
                <w:lang w:val="en-ZA"/>
              </w:rPr>
            </w:pPr>
            <w:r w:rsidRPr="00407E38">
              <w:rPr>
                <w:rFonts w:ascii="Times New Roman" w:hAnsi="Times New Roman"/>
                <w:lang w:val="en-ZA"/>
              </w:rPr>
              <w:t>Maximum Insurance cover</w:t>
            </w:r>
          </w:p>
        </w:tc>
        <w:tc>
          <w:tcPr>
            <w:tcW w:w="1974" w:type="dxa"/>
          </w:tcPr>
          <w:p w14:paraId="5DC10E40" w14:textId="77777777" w:rsidR="00004CE5" w:rsidRPr="00407E38" w:rsidRDefault="00004CE5" w:rsidP="00407E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ZA"/>
              </w:rPr>
            </w:pPr>
            <w:r w:rsidRPr="00407E38">
              <w:rPr>
                <w:rFonts w:ascii="Times New Roman" w:hAnsi="Times New Roman"/>
                <w:lang w:val="en-ZA"/>
              </w:rPr>
              <w:t xml:space="preserve">The maximum indemnity cover  pay-out in the even </w:t>
            </w:r>
          </w:p>
        </w:tc>
        <w:tc>
          <w:tcPr>
            <w:tcW w:w="1890" w:type="dxa"/>
          </w:tcPr>
          <w:p w14:paraId="524CA476" w14:textId="77777777" w:rsidR="00004CE5" w:rsidRPr="00407E38" w:rsidRDefault="00004CE5" w:rsidP="00407E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ZA"/>
              </w:rPr>
            </w:pPr>
          </w:p>
        </w:tc>
        <w:tc>
          <w:tcPr>
            <w:tcW w:w="1620" w:type="dxa"/>
          </w:tcPr>
          <w:p w14:paraId="614E1C54" w14:textId="77777777" w:rsidR="00004CE5" w:rsidRPr="00407E38" w:rsidRDefault="00004CE5" w:rsidP="00407E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ZA"/>
              </w:rPr>
            </w:pPr>
          </w:p>
        </w:tc>
        <w:tc>
          <w:tcPr>
            <w:tcW w:w="1800" w:type="dxa"/>
          </w:tcPr>
          <w:p w14:paraId="0CA1BE13" w14:textId="77777777" w:rsidR="00004CE5" w:rsidRPr="00407E38" w:rsidRDefault="00004CE5" w:rsidP="00407E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ZA"/>
              </w:rPr>
            </w:pPr>
            <w:r w:rsidRPr="00407E38">
              <w:rPr>
                <w:rFonts w:ascii="Times New Roman" w:hAnsi="Times New Roman"/>
                <w:lang w:val="en-ZA"/>
              </w:rPr>
              <w:t>+</w:t>
            </w:r>
          </w:p>
        </w:tc>
      </w:tr>
      <w:tr w:rsidR="00004CE5" w:rsidRPr="00407E38" w14:paraId="74800D44" w14:textId="77777777" w:rsidTr="009478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Pr>
          <w:p w14:paraId="57D2A21F" w14:textId="77777777" w:rsidR="00004CE5" w:rsidRPr="00407E38" w:rsidRDefault="00004CE5" w:rsidP="00407E38">
            <w:pPr>
              <w:spacing w:line="360" w:lineRule="auto"/>
              <w:jc w:val="both"/>
              <w:rPr>
                <w:rFonts w:ascii="Times New Roman" w:hAnsi="Times New Roman"/>
                <w:lang w:val="en-ZA"/>
              </w:rPr>
            </w:pPr>
            <w:r w:rsidRPr="00407E38">
              <w:rPr>
                <w:rFonts w:ascii="Times New Roman" w:hAnsi="Times New Roman"/>
                <w:lang w:val="en-ZA"/>
              </w:rPr>
              <w:t>Insurance Premium</w:t>
            </w:r>
          </w:p>
        </w:tc>
        <w:tc>
          <w:tcPr>
            <w:tcW w:w="1974" w:type="dxa"/>
          </w:tcPr>
          <w:p w14:paraId="46A25C9F" w14:textId="77777777" w:rsidR="00004CE5" w:rsidRPr="00407E38" w:rsidRDefault="00004CE5" w:rsidP="00407E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ZA"/>
              </w:rPr>
            </w:pPr>
          </w:p>
        </w:tc>
        <w:tc>
          <w:tcPr>
            <w:tcW w:w="1890" w:type="dxa"/>
          </w:tcPr>
          <w:p w14:paraId="5DC8260A" w14:textId="77777777" w:rsidR="00004CE5" w:rsidRPr="00407E38" w:rsidRDefault="00004CE5" w:rsidP="00407E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ZA"/>
              </w:rPr>
            </w:pPr>
          </w:p>
        </w:tc>
        <w:tc>
          <w:tcPr>
            <w:tcW w:w="1620" w:type="dxa"/>
          </w:tcPr>
          <w:p w14:paraId="62682526" w14:textId="77777777" w:rsidR="00004CE5" w:rsidRPr="00407E38" w:rsidRDefault="00004CE5" w:rsidP="00407E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ZA"/>
              </w:rPr>
            </w:pPr>
          </w:p>
        </w:tc>
        <w:tc>
          <w:tcPr>
            <w:tcW w:w="1800" w:type="dxa"/>
          </w:tcPr>
          <w:p w14:paraId="506602A3" w14:textId="77777777" w:rsidR="00004CE5" w:rsidRPr="00407E38" w:rsidRDefault="00004CE5" w:rsidP="00407E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ZA"/>
              </w:rPr>
            </w:pPr>
            <w:r w:rsidRPr="00407E38">
              <w:rPr>
                <w:rFonts w:ascii="Times New Roman" w:hAnsi="Times New Roman"/>
                <w:lang w:val="en-ZA"/>
              </w:rPr>
              <w:t>-</w:t>
            </w:r>
          </w:p>
        </w:tc>
      </w:tr>
      <w:tr w:rsidR="00004CE5" w:rsidRPr="00407E38" w14:paraId="2998035D" w14:textId="77777777" w:rsidTr="009478A8">
        <w:tc>
          <w:tcPr>
            <w:cnfStyle w:val="001000000000" w:firstRow="0" w:lastRow="0" w:firstColumn="1" w:lastColumn="0" w:oddVBand="0" w:evenVBand="0" w:oddHBand="0" w:evenHBand="0" w:firstRowFirstColumn="0" w:firstRowLastColumn="0" w:lastRowFirstColumn="0" w:lastRowLastColumn="0"/>
            <w:tcW w:w="1981" w:type="dxa"/>
          </w:tcPr>
          <w:p w14:paraId="6F89D2AD" w14:textId="77777777" w:rsidR="00004CE5" w:rsidRPr="00407E38" w:rsidRDefault="00004CE5" w:rsidP="00407E38">
            <w:pPr>
              <w:spacing w:line="360" w:lineRule="auto"/>
              <w:jc w:val="both"/>
              <w:rPr>
                <w:rFonts w:ascii="Times New Roman" w:hAnsi="Times New Roman"/>
                <w:lang w:val="en-ZA"/>
              </w:rPr>
            </w:pPr>
            <w:r w:rsidRPr="00407E38">
              <w:rPr>
                <w:rFonts w:ascii="Times New Roman" w:hAnsi="Times New Roman"/>
                <w:lang w:val="en-ZA"/>
              </w:rPr>
              <w:t>Transparency=Yes</w:t>
            </w:r>
          </w:p>
        </w:tc>
        <w:tc>
          <w:tcPr>
            <w:tcW w:w="1974" w:type="dxa"/>
          </w:tcPr>
          <w:p w14:paraId="1564231F" w14:textId="77777777" w:rsidR="00004CE5" w:rsidRPr="00407E38" w:rsidRDefault="00004CE5" w:rsidP="00407E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ZA"/>
              </w:rPr>
            </w:pPr>
            <w:r w:rsidRPr="00407E38">
              <w:rPr>
                <w:rFonts w:ascii="Times New Roman" w:hAnsi="Times New Roman"/>
                <w:lang w:val="en-ZA"/>
              </w:rPr>
              <w:t xml:space="preserve">The level of transparency on the pay-out process to the individuals including </w:t>
            </w:r>
            <w:proofErr w:type="spellStart"/>
            <w:r w:rsidRPr="00407E38">
              <w:rPr>
                <w:rFonts w:ascii="Times New Roman" w:hAnsi="Times New Roman"/>
                <w:lang w:val="en-ZA"/>
              </w:rPr>
              <w:t>sms’s</w:t>
            </w:r>
            <w:proofErr w:type="spellEnd"/>
            <w:r w:rsidRPr="00407E38">
              <w:rPr>
                <w:rFonts w:ascii="Times New Roman" w:hAnsi="Times New Roman"/>
                <w:lang w:val="en-ZA"/>
              </w:rPr>
              <w:t xml:space="preserve"> and stages of the pay-out process </w:t>
            </w:r>
          </w:p>
        </w:tc>
        <w:tc>
          <w:tcPr>
            <w:tcW w:w="1890" w:type="dxa"/>
          </w:tcPr>
          <w:p w14:paraId="3DA421DF" w14:textId="77777777" w:rsidR="00004CE5" w:rsidRPr="00407E38" w:rsidRDefault="00004CE5" w:rsidP="00407E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ZA"/>
              </w:rPr>
            </w:pPr>
            <w:r w:rsidRPr="00407E38">
              <w:rPr>
                <w:rFonts w:ascii="Times New Roman" w:hAnsi="Times New Roman"/>
                <w:lang w:val="en-ZA"/>
              </w:rPr>
              <w:t xml:space="preserve">Yes/ NO </w:t>
            </w:r>
          </w:p>
        </w:tc>
        <w:tc>
          <w:tcPr>
            <w:tcW w:w="1620" w:type="dxa"/>
          </w:tcPr>
          <w:p w14:paraId="5CB43809" w14:textId="77777777" w:rsidR="00004CE5" w:rsidRPr="00407E38" w:rsidRDefault="00004CE5" w:rsidP="00407E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ZA"/>
              </w:rPr>
            </w:pPr>
            <w:r w:rsidRPr="00407E38">
              <w:rPr>
                <w:rFonts w:ascii="Times New Roman" w:hAnsi="Times New Roman"/>
                <w:lang w:val="en-ZA"/>
              </w:rPr>
              <w:t xml:space="preserve">No </w:t>
            </w:r>
          </w:p>
        </w:tc>
        <w:tc>
          <w:tcPr>
            <w:tcW w:w="1800" w:type="dxa"/>
          </w:tcPr>
          <w:p w14:paraId="08D68AD0" w14:textId="77777777" w:rsidR="00004CE5" w:rsidRPr="00407E38" w:rsidRDefault="00004CE5" w:rsidP="00407E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ZA"/>
              </w:rPr>
            </w:pPr>
            <w:r w:rsidRPr="00407E38">
              <w:rPr>
                <w:rFonts w:ascii="Times New Roman" w:hAnsi="Times New Roman"/>
                <w:lang w:val="en-ZA"/>
              </w:rPr>
              <w:t>+</w:t>
            </w:r>
          </w:p>
        </w:tc>
      </w:tr>
    </w:tbl>
    <w:p w14:paraId="43F1A479" w14:textId="77777777" w:rsidR="00004CE5" w:rsidRPr="00407E38" w:rsidRDefault="00004CE5" w:rsidP="00407E38">
      <w:pPr>
        <w:widowControl w:val="0"/>
        <w:autoSpaceDE w:val="0"/>
        <w:autoSpaceDN w:val="0"/>
        <w:adjustRightInd w:val="0"/>
        <w:spacing w:line="360" w:lineRule="auto"/>
        <w:jc w:val="both"/>
        <w:rPr>
          <w:rFonts w:ascii="Times New Roman" w:eastAsia="Aptos" w:hAnsi="Times New Roman"/>
          <w:sz w:val="24"/>
          <w:szCs w:val="24"/>
          <w:lang w:val="en-US"/>
          <w14:ligatures w14:val="standardContextual"/>
        </w:rPr>
      </w:pPr>
      <w:r w:rsidRPr="00407E38">
        <w:rPr>
          <w:rFonts w:ascii="Times New Roman" w:eastAsia="Aptos" w:hAnsi="Times New Roman"/>
          <w:sz w:val="24"/>
          <w:szCs w:val="24"/>
          <w:lang w:val="en-US"/>
          <w14:ligatures w14:val="standardContextual"/>
        </w:rPr>
        <w:lastRenderedPageBreak/>
        <w:t xml:space="preserve">Source: Author Compilation </w:t>
      </w:r>
    </w:p>
    <w:p w14:paraId="008D1648" w14:textId="3736D59B" w:rsidR="00AD1FB1" w:rsidRPr="00407E38" w:rsidRDefault="00AD1FB1" w:rsidP="00407E38">
      <w:pPr>
        <w:pStyle w:val="Heading2"/>
        <w:numPr>
          <w:ilvl w:val="0"/>
          <w:numId w:val="2"/>
        </w:numPr>
        <w:spacing w:line="360" w:lineRule="auto"/>
        <w:rPr>
          <w:rFonts w:ascii="Times New Roman" w:hAnsi="Times New Roman" w:cs="Times New Roman"/>
        </w:rPr>
      </w:pPr>
      <w:bookmarkStart w:id="14" w:name="_Toc187315428"/>
      <w:r w:rsidRPr="00407E38">
        <w:rPr>
          <w:rFonts w:ascii="Times New Roman" w:hAnsi="Times New Roman" w:cs="Times New Roman"/>
        </w:rPr>
        <w:t xml:space="preserve">Demand for natural disaster insurance Survey results </w:t>
      </w:r>
      <w:bookmarkEnd w:id="14"/>
    </w:p>
    <w:p w14:paraId="3F9C6ED2" w14:textId="77777777" w:rsidR="00AD1FB1" w:rsidRPr="00407E38" w:rsidRDefault="00AD1FB1" w:rsidP="00407E38">
      <w:pPr>
        <w:pStyle w:val="ListParagraph"/>
        <w:spacing w:line="360" w:lineRule="auto"/>
        <w:ind w:left="540"/>
        <w:rPr>
          <w:rFonts w:ascii="Times New Roman" w:eastAsia="Aptos" w:hAnsi="Times New Roman"/>
          <w:lang w:val="en-ZA"/>
        </w:rPr>
      </w:pPr>
    </w:p>
    <w:p w14:paraId="6F543DA3" w14:textId="1A768876" w:rsidR="00AD1FB1" w:rsidRPr="00407E38" w:rsidRDefault="00792313" w:rsidP="00407E38">
      <w:pPr>
        <w:pStyle w:val="Heading3"/>
        <w:spacing w:line="360" w:lineRule="auto"/>
        <w:rPr>
          <w:rFonts w:ascii="Times New Roman" w:eastAsia="Aptos" w:hAnsi="Times New Roman" w:cs="Times New Roman"/>
        </w:rPr>
      </w:pPr>
      <w:bookmarkStart w:id="15" w:name="_Toc187315429"/>
      <w:r w:rsidRPr="00407E38">
        <w:rPr>
          <w:rFonts w:ascii="Times New Roman" w:eastAsia="Aptos" w:hAnsi="Times New Roman" w:cs="Times New Roman"/>
        </w:rPr>
        <w:t>5</w:t>
      </w:r>
      <w:r w:rsidR="00AD1FB1" w:rsidRPr="00407E38">
        <w:rPr>
          <w:rFonts w:ascii="Times New Roman" w:eastAsia="Aptos" w:hAnsi="Times New Roman" w:cs="Times New Roman"/>
        </w:rPr>
        <w:t xml:space="preserve">.1.1 Willingness to pay for natural disaster insurance </w:t>
      </w:r>
      <w:bookmarkEnd w:id="15"/>
    </w:p>
    <w:p w14:paraId="44913D02" w14:textId="2D419398" w:rsidR="00383C8E" w:rsidRPr="00407E38" w:rsidRDefault="00AD1FB1" w:rsidP="00407E38">
      <w:pPr>
        <w:spacing w:line="360" w:lineRule="auto"/>
        <w:jc w:val="both"/>
        <w:rPr>
          <w:rFonts w:ascii="Times New Roman" w:eastAsia="Aptos" w:hAnsi="Times New Roman"/>
          <w:bCs/>
          <w:sz w:val="24"/>
          <w:szCs w:val="24"/>
          <w:lang w:val="en-US"/>
          <w14:ligatures w14:val="standardContextual"/>
        </w:rPr>
      </w:pPr>
      <w:r w:rsidRPr="00407E38">
        <w:rPr>
          <w:rFonts w:ascii="Times New Roman" w:eastAsia="Aptos" w:hAnsi="Times New Roman"/>
          <w:bCs/>
          <w:sz w:val="24"/>
          <w:szCs w:val="24"/>
          <w:lang w:val="en-US"/>
          <w14:ligatures w14:val="standardContextual"/>
        </w:rPr>
        <w:t xml:space="preserve">The analysis of the demand for natural disaster insurance initially asks the respondents if they are willing to pay for natural disaster insurance to which they can answer either “Yes” or “No”. For the respondents that answered yes, the follow-up question was what they are willing to pay for between health, agriculture or property insurance. The results of the willingness to study identified that for Zimbabwe 67% of the respondents answered “Yes” whilst 33% of the respondents answered “No”.  </w:t>
      </w:r>
      <w:r w:rsidR="00383C8E" w:rsidRPr="00407E38">
        <w:rPr>
          <w:rFonts w:ascii="Times New Roman" w:eastAsia="Aptos" w:hAnsi="Times New Roman"/>
          <w:bCs/>
          <w:sz w:val="24"/>
          <w:szCs w:val="24"/>
          <w:lang w:val="en-US"/>
          <w14:ligatures w14:val="standardContextual"/>
        </w:rPr>
        <w:t xml:space="preserve"> whilst the demand for willingness to pay (WIP) for natural hazard insurance in South Africa shows that in Tongaat (Durban) based on the sample in the study the WIP for natural disaster insurance is 63% and those that are not willing to pay constituted 37%. These results of high willingness to pay can also be found in studies of other types of insurance such as Goudge, </w:t>
      </w:r>
      <w:proofErr w:type="spellStart"/>
      <w:r w:rsidR="00383C8E" w:rsidRPr="00407E38">
        <w:rPr>
          <w:rFonts w:ascii="Times New Roman" w:eastAsia="Aptos" w:hAnsi="Times New Roman"/>
          <w:bCs/>
          <w:sz w:val="24"/>
          <w:szCs w:val="24"/>
          <w:lang w:val="en-US"/>
          <w14:ligatures w14:val="standardContextual"/>
        </w:rPr>
        <w:t>Akazili</w:t>
      </w:r>
      <w:proofErr w:type="spellEnd"/>
      <w:r w:rsidR="00383C8E" w:rsidRPr="00407E38">
        <w:rPr>
          <w:rFonts w:ascii="Times New Roman" w:eastAsia="Aptos" w:hAnsi="Times New Roman"/>
          <w:bCs/>
          <w:sz w:val="24"/>
          <w:szCs w:val="24"/>
          <w:lang w:val="en-US"/>
          <w14:ligatures w14:val="standardContextual"/>
        </w:rPr>
        <w:t xml:space="preserve">, </w:t>
      </w:r>
      <w:proofErr w:type="spellStart"/>
      <w:r w:rsidR="00383C8E" w:rsidRPr="00407E38">
        <w:rPr>
          <w:rFonts w:ascii="Times New Roman" w:eastAsia="Aptos" w:hAnsi="Times New Roman"/>
          <w:bCs/>
          <w:sz w:val="24"/>
          <w:szCs w:val="24"/>
          <w:lang w:val="en-US"/>
          <w14:ligatures w14:val="standardContextual"/>
        </w:rPr>
        <w:t>Ataguba</w:t>
      </w:r>
      <w:proofErr w:type="spellEnd"/>
      <w:r w:rsidR="00383C8E" w:rsidRPr="00407E38">
        <w:rPr>
          <w:rFonts w:ascii="Times New Roman" w:eastAsia="Aptos" w:hAnsi="Times New Roman"/>
          <w:bCs/>
          <w:sz w:val="24"/>
          <w:szCs w:val="24"/>
          <w:lang w:val="en-US"/>
          <w14:ligatures w14:val="standardContextual"/>
        </w:rPr>
        <w:t xml:space="preserve">, </w:t>
      </w:r>
      <w:proofErr w:type="spellStart"/>
      <w:r w:rsidR="00383C8E" w:rsidRPr="00407E38">
        <w:rPr>
          <w:rFonts w:ascii="Times New Roman" w:eastAsia="Aptos" w:hAnsi="Times New Roman"/>
          <w:bCs/>
          <w:sz w:val="24"/>
          <w:szCs w:val="24"/>
          <w:lang w:val="en-US"/>
          <w14:ligatures w14:val="standardContextual"/>
        </w:rPr>
        <w:t>Kuwawenaruwa</w:t>
      </w:r>
      <w:proofErr w:type="spellEnd"/>
      <w:r w:rsidR="00383C8E" w:rsidRPr="00407E38">
        <w:rPr>
          <w:rFonts w:ascii="Times New Roman" w:eastAsia="Aptos" w:hAnsi="Times New Roman"/>
          <w:bCs/>
          <w:sz w:val="24"/>
          <w:szCs w:val="24"/>
          <w:lang w:val="en-US"/>
          <w14:ligatures w14:val="standardContextual"/>
        </w:rPr>
        <w:t xml:space="preserve">, Borghi, Haris&amp; Mills (2012) and Chummun&amp; </w:t>
      </w:r>
      <w:proofErr w:type="spellStart"/>
      <w:r w:rsidR="00383C8E" w:rsidRPr="00407E38">
        <w:rPr>
          <w:rFonts w:ascii="Times New Roman" w:eastAsia="Aptos" w:hAnsi="Times New Roman"/>
          <w:bCs/>
          <w:sz w:val="24"/>
          <w:szCs w:val="24"/>
          <w:lang w:val="en-US"/>
          <w14:ligatures w14:val="standardContextual"/>
        </w:rPr>
        <w:t>Mathinthibane</w:t>
      </w:r>
      <w:proofErr w:type="spellEnd"/>
      <w:r w:rsidR="00383C8E" w:rsidRPr="00407E38">
        <w:rPr>
          <w:rFonts w:ascii="Times New Roman" w:eastAsia="Aptos" w:hAnsi="Times New Roman"/>
          <w:bCs/>
          <w:sz w:val="24"/>
          <w:szCs w:val="24"/>
          <w:lang w:val="en-US"/>
          <w14:ligatures w14:val="standardContextual"/>
        </w:rPr>
        <w:t xml:space="preserve"> (2022) who found 75% and 86% WIP for health and Weather based insurance respectively. Whilst </w:t>
      </w:r>
      <w:proofErr w:type="spellStart"/>
      <w:r w:rsidR="00383C8E" w:rsidRPr="00407E38">
        <w:rPr>
          <w:rFonts w:ascii="Times New Roman" w:eastAsia="Aptos" w:hAnsi="Times New Roman"/>
          <w:bCs/>
          <w:sz w:val="24"/>
          <w:szCs w:val="24"/>
          <w:lang w:val="en-US"/>
          <w14:ligatures w14:val="standardContextual"/>
        </w:rPr>
        <w:t>Oduniyi</w:t>
      </w:r>
      <w:proofErr w:type="spellEnd"/>
      <w:r w:rsidR="00383C8E" w:rsidRPr="00407E38">
        <w:rPr>
          <w:rFonts w:ascii="Times New Roman" w:eastAsia="Aptos" w:hAnsi="Times New Roman"/>
          <w:bCs/>
          <w:sz w:val="24"/>
          <w:szCs w:val="24"/>
          <w:lang w:val="en-US"/>
          <w14:ligatures w14:val="standardContextual"/>
        </w:rPr>
        <w:t xml:space="preserve">, Antwi and </w:t>
      </w:r>
      <w:proofErr w:type="spellStart"/>
      <w:r w:rsidR="00383C8E" w:rsidRPr="00407E38">
        <w:rPr>
          <w:rFonts w:ascii="Times New Roman" w:eastAsia="Aptos" w:hAnsi="Times New Roman"/>
          <w:bCs/>
          <w:sz w:val="24"/>
          <w:szCs w:val="24"/>
          <w:lang w:val="en-US"/>
          <w14:ligatures w14:val="standardContextual"/>
        </w:rPr>
        <w:t>Tekana</w:t>
      </w:r>
      <w:proofErr w:type="spellEnd"/>
      <w:r w:rsidR="00383C8E" w:rsidRPr="00407E38">
        <w:rPr>
          <w:rFonts w:ascii="Times New Roman" w:eastAsia="Aptos" w:hAnsi="Times New Roman"/>
          <w:bCs/>
          <w:sz w:val="24"/>
          <w:szCs w:val="24"/>
          <w:lang w:val="en-US"/>
          <w14:ligatures w14:val="standardContextual"/>
        </w:rPr>
        <w:t xml:space="preserve"> (2020) found a 10% willingness to pay for cattle insurance. </w:t>
      </w:r>
    </w:p>
    <w:p w14:paraId="0DCD893C" w14:textId="12DE59FC" w:rsidR="00AD1FB1" w:rsidRPr="00407E38" w:rsidRDefault="00AD1FB1" w:rsidP="00407E38">
      <w:pPr>
        <w:spacing w:after="160" w:line="360" w:lineRule="auto"/>
        <w:jc w:val="both"/>
        <w:rPr>
          <w:rFonts w:ascii="Times New Roman" w:eastAsia="Aptos" w:hAnsi="Times New Roman"/>
          <w:bCs/>
          <w:sz w:val="24"/>
          <w:szCs w:val="24"/>
          <w:lang w:val="en-US"/>
          <w14:ligatures w14:val="standardContextual"/>
        </w:rPr>
      </w:pPr>
    </w:p>
    <w:p w14:paraId="21166F62" w14:textId="26C65D77" w:rsidR="00AD1FB1" w:rsidRPr="00407E38" w:rsidRDefault="00AD1FB1" w:rsidP="00407E38">
      <w:pPr>
        <w:spacing w:after="160" w:line="360" w:lineRule="auto"/>
        <w:jc w:val="both"/>
        <w:rPr>
          <w:rFonts w:ascii="Times New Roman" w:eastAsia="Aptos" w:hAnsi="Times New Roman"/>
          <w:bCs/>
          <w:sz w:val="24"/>
          <w:szCs w:val="24"/>
          <w:lang w:val="en-US"/>
          <w14:ligatures w14:val="standardContextual"/>
        </w:rPr>
      </w:pPr>
      <w:r w:rsidRPr="00407E38">
        <w:rPr>
          <w:rFonts w:ascii="Times New Roman" w:eastAsia="Aptos" w:hAnsi="Times New Roman"/>
          <w:bCs/>
          <w:sz w:val="24"/>
          <w:szCs w:val="24"/>
          <w:lang w:val="en-US"/>
          <w14:ligatures w14:val="standardContextual"/>
        </w:rPr>
        <w:t>The survey identified that the reasons for the respondents stating that they do not want insurance include affordability</w:t>
      </w:r>
      <w:r w:rsidR="00BC68E5" w:rsidRPr="00407E38">
        <w:rPr>
          <w:rFonts w:ascii="Times New Roman" w:eastAsia="Aptos" w:hAnsi="Times New Roman"/>
          <w:bCs/>
          <w:sz w:val="24"/>
          <w:szCs w:val="24"/>
          <w:lang w:val="en-US"/>
          <w14:ligatures w14:val="standardContextual"/>
        </w:rPr>
        <w:t>, trust and a negative experience with the</w:t>
      </w:r>
      <w:r w:rsidR="00D51DED" w:rsidRPr="00407E38">
        <w:rPr>
          <w:rFonts w:ascii="Times New Roman" w:eastAsia="Aptos" w:hAnsi="Times New Roman"/>
          <w:bCs/>
          <w:sz w:val="24"/>
          <w:szCs w:val="24"/>
          <w:lang w:val="en-US"/>
          <w14:ligatures w14:val="standardContextual"/>
        </w:rPr>
        <w:t xml:space="preserve"> stability factor of the </w:t>
      </w:r>
      <w:r w:rsidR="00BC68E5" w:rsidRPr="00407E38">
        <w:rPr>
          <w:rFonts w:ascii="Times New Roman" w:eastAsia="Aptos" w:hAnsi="Times New Roman"/>
          <w:bCs/>
          <w:sz w:val="24"/>
          <w:szCs w:val="24"/>
          <w:lang w:val="en-US"/>
          <w14:ligatures w14:val="standardContextual"/>
        </w:rPr>
        <w:t xml:space="preserve"> financial systems over the past years </w:t>
      </w:r>
      <w:r w:rsidRPr="00407E38">
        <w:rPr>
          <w:rFonts w:ascii="Times New Roman" w:eastAsia="Aptos" w:hAnsi="Times New Roman"/>
          <w:bCs/>
          <w:sz w:val="24"/>
          <w:szCs w:val="24"/>
          <w:lang w:val="en-US"/>
          <w14:ligatures w14:val="standardContextual"/>
        </w:rPr>
        <w:t xml:space="preserve">. </w:t>
      </w:r>
    </w:p>
    <w:p w14:paraId="3D28E0C4" w14:textId="77777777" w:rsidR="0069639F" w:rsidRPr="00407E38" w:rsidRDefault="0069639F" w:rsidP="00407E38">
      <w:pPr>
        <w:spacing w:line="360" w:lineRule="auto"/>
        <w:rPr>
          <w:rFonts w:ascii="Times New Roman" w:hAnsi="Times New Roman"/>
        </w:rPr>
      </w:pPr>
    </w:p>
    <w:p w14:paraId="6443A1A8" w14:textId="3D897134" w:rsidR="0069639F" w:rsidRPr="00407E38" w:rsidRDefault="00792313" w:rsidP="00407E38">
      <w:pPr>
        <w:pStyle w:val="Heading2"/>
        <w:spacing w:line="360" w:lineRule="auto"/>
        <w:rPr>
          <w:rFonts w:ascii="Times New Roman" w:eastAsia="Aptos" w:hAnsi="Times New Roman" w:cs="Times New Roman"/>
          <w:lang w:val="en-US"/>
        </w:rPr>
      </w:pPr>
      <w:bookmarkStart w:id="16" w:name="_Toc187315431"/>
      <w:r w:rsidRPr="00407E38">
        <w:rPr>
          <w:rFonts w:ascii="Times New Roman" w:eastAsia="Aptos" w:hAnsi="Times New Roman" w:cs="Times New Roman"/>
          <w:lang w:val="en-US"/>
        </w:rPr>
        <w:t>5</w:t>
      </w:r>
      <w:r w:rsidR="0069639F" w:rsidRPr="00407E38">
        <w:rPr>
          <w:rFonts w:ascii="Times New Roman" w:eastAsia="Aptos" w:hAnsi="Times New Roman" w:cs="Times New Roman"/>
          <w:lang w:val="en-US"/>
        </w:rPr>
        <w:t>.2 Demand for natural hazard insurance Choice experiment Results</w:t>
      </w:r>
      <w:bookmarkEnd w:id="16"/>
      <w:r w:rsidR="0069639F" w:rsidRPr="00407E38">
        <w:rPr>
          <w:rFonts w:ascii="Times New Roman" w:eastAsia="Aptos" w:hAnsi="Times New Roman" w:cs="Times New Roman"/>
          <w:lang w:val="en-US"/>
        </w:rPr>
        <w:t xml:space="preserve"> </w:t>
      </w:r>
    </w:p>
    <w:p w14:paraId="119D9DCC" w14:textId="77777777" w:rsidR="0069639F" w:rsidRPr="00407E38" w:rsidRDefault="0069639F" w:rsidP="00407E38">
      <w:pPr>
        <w:widowControl w:val="0"/>
        <w:autoSpaceDE w:val="0"/>
        <w:autoSpaceDN w:val="0"/>
        <w:adjustRightInd w:val="0"/>
        <w:spacing w:line="360" w:lineRule="auto"/>
        <w:jc w:val="both"/>
        <w:rPr>
          <w:rFonts w:ascii="Times New Roman" w:eastAsia="Aptos" w:hAnsi="Times New Roman"/>
          <w:bCs/>
          <w:sz w:val="24"/>
          <w:szCs w:val="24"/>
          <w:lang w:val="en-US"/>
          <w14:ligatures w14:val="standardContextual"/>
        </w:rPr>
      </w:pPr>
      <w:r w:rsidRPr="00407E38">
        <w:rPr>
          <w:rFonts w:ascii="Times New Roman" w:eastAsia="Aptos" w:hAnsi="Times New Roman"/>
          <w:bCs/>
          <w:sz w:val="24"/>
          <w:szCs w:val="24"/>
          <w:lang w:val="en-US"/>
          <w14:ligatures w14:val="standardContextual"/>
        </w:rPr>
        <w:t xml:space="preserve">The study further undertook an analysis of demand for natural disaster insurance using 8 choice sets with three insurance types of categories which are Health, Agriculture and Property and status quo, the results of the choice experiment identified that the demand for insurance is dominated by Agriculture insurance with approximately 43.3% probability of being selected followed by health insurance with 31.2% probability of being selected and property insurance with 25.4%.  Whilst for South Africa </w:t>
      </w:r>
      <w:r w:rsidRPr="00407E38">
        <w:rPr>
          <w:rFonts w:ascii="Times New Roman" w:eastAsia="Aptos" w:hAnsi="Times New Roman"/>
          <w:kern w:val="2"/>
          <w:sz w:val="24"/>
          <w:szCs w:val="24"/>
          <w:lang w:val="en-ZA"/>
          <w14:ligatures w14:val="standardContextual"/>
        </w:rPr>
        <w:t xml:space="preserve">the results of the study show that based on the choice sets analysis the dominant domain that the respondents selected was property insurance followed by health insurance and agriculture insurance with 37%, 36.5% and 28 % respectively as </w:t>
      </w:r>
      <w:r w:rsidRPr="00407E38">
        <w:rPr>
          <w:rFonts w:ascii="Times New Roman" w:eastAsia="Aptos" w:hAnsi="Times New Roman"/>
          <w:kern w:val="2"/>
          <w:sz w:val="24"/>
          <w:szCs w:val="24"/>
          <w:lang w:val="en-ZA"/>
          <w14:ligatures w14:val="standardContextual"/>
        </w:rPr>
        <w:lastRenderedPageBreak/>
        <w:t>presented in Table 7.1 below</w:t>
      </w:r>
    </w:p>
    <w:p w14:paraId="66BB66EF" w14:textId="77777777" w:rsidR="0069639F" w:rsidRPr="00407E38" w:rsidRDefault="0069639F" w:rsidP="00407E38">
      <w:pPr>
        <w:widowControl w:val="0"/>
        <w:autoSpaceDE w:val="0"/>
        <w:autoSpaceDN w:val="0"/>
        <w:adjustRightInd w:val="0"/>
        <w:spacing w:line="360" w:lineRule="auto"/>
        <w:jc w:val="both"/>
        <w:rPr>
          <w:rFonts w:ascii="Times New Roman" w:eastAsia="Aptos" w:hAnsi="Times New Roman"/>
          <w:bCs/>
          <w:sz w:val="24"/>
          <w:szCs w:val="24"/>
          <w:lang w:val="en-US"/>
          <w14:ligatures w14:val="standardContextual"/>
        </w:rPr>
      </w:pPr>
    </w:p>
    <w:p w14:paraId="3E68D822" w14:textId="28ECEAA9" w:rsidR="0069639F" w:rsidRPr="00407E38" w:rsidRDefault="0069639F" w:rsidP="00407E38">
      <w:pPr>
        <w:widowControl w:val="0"/>
        <w:autoSpaceDE w:val="0"/>
        <w:autoSpaceDN w:val="0"/>
        <w:adjustRightInd w:val="0"/>
        <w:spacing w:line="360" w:lineRule="auto"/>
        <w:jc w:val="both"/>
        <w:rPr>
          <w:rFonts w:ascii="Times New Roman" w:eastAsia="Aptos" w:hAnsi="Times New Roman"/>
          <w:bCs/>
          <w:sz w:val="24"/>
          <w:szCs w:val="24"/>
          <w:lang w:val="en-US"/>
          <w14:ligatures w14:val="standardContextual"/>
        </w:rPr>
      </w:pPr>
      <w:r w:rsidRPr="00407E38">
        <w:rPr>
          <w:rFonts w:ascii="Times New Roman" w:eastAsia="Aptos" w:hAnsi="Times New Roman"/>
          <w:bCs/>
          <w:sz w:val="24"/>
          <w:szCs w:val="24"/>
          <w:lang w:val="en-US"/>
          <w14:ligatures w14:val="standardContextual"/>
        </w:rPr>
        <w:t xml:space="preserve">The explanation of the dominance in the selection of agriculture insurance in Zimbabwe on the choice sets includes factors such as occupation which show that in Chimanimani 25% of the respondents are involved in small-scale farming coupled with the current drought that Zimbabwe is facing which has been labelled the worst in 4 decades. Secondly, the poor performance in the selection of property insurance includes the fact that the government response might have diluted the demand for property insurance in the area by the provision of new houses and relocation of those whose houses were impacted significantly, and this impact of relocation can also be identified in a study by (Arnaud, Nguyen &amp;Aubert 2018).  The analysis further investigates the demand for natural disaster insurance using choice sets to analyze the demand for natural hazard insurance attributes and the domain-specific analysis section </w:t>
      </w:r>
      <w:r w:rsidR="00792313" w:rsidRPr="00407E38">
        <w:rPr>
          <w:rFonts w:ascii="Times New Roman" w:eastAsia="Aptos" w:hAnsi="Times New Roman"/>
          <w:bCs/>
          <w:sz w:val="24"/>
          <w:szCs w:val="24"/>
          <w:lang w:val="en-US"/>
          <w14:ligatures w14:val="standardContextual"/>
        </w:rPr>
        <w:t xml:space="preserve">3 </w:t>
      </w:r>
      <w:r w:rsidRPr="00407E38">
        <w:rPr>
          <w:rFonts w:ascii="Times New Roman" w:eastAsia="Aptos" w:hAnsi="Times New Roman"/>
          <w:bCs/>
          <w:sz w:val="24"/>
          <w:szCs w:val="24"/>
          <w:lang w:val="en-US"/>
          <w14:ligatures w14:val="standardContextual"/>
        </w:rPr>
        <w:t xml:space="preserve">below </w:t>
      </w:r>
    </w:p>
    <w:p w14:paraId="73CF3C14" w14:textId="77777777" w:rsidR="0069639F" w:rsidRPr="00EC7A31" w:rsidRDefault="0069639F" w:rsidP="004801FE">
      <w:pPr>
        <w:widowControl w:val="0"/>
        <w:autoSpaceDE w:val="0"/>
        <w:autoSpaceDN w:val="0"/>
        <w:adjustRightInd w:val="0"/>
        <w:jc w:val="both"/>
        <w:rPr>
          <w:rFonts w:ascii="Times New Roman" w:eastAsia="Aptos" w:hAnsi="Times New Roman"/>
          <w:sz w:val="24"/>
          <w:szCs w:val="24"/>
          <w:lang w:val="en-US"/>
          <w14:ligatures w14:val="standardContextual"/>
        </w:rPr>
      </w:pPr>
    </w:p>
    <w:p w14:paraId="7040CE76" w14:textId="4FF868F3" w:rsidR="0069639F" w:rsidRPr="00EC7A31" w:rsidRDefault="0069639F" w:rsidP="004801FE">
      <w:pPr>
        <w:pStyle w:val="Caption"/>
        <w:keepNext/>
        <w:rPr>
          <w:rFonts w:ascii="Times New Roman" w:hAnsi="Times New Roman" w:cs="Times New Roman"/>
          <w:sz w:val="24"/>
          <w:szCs w:val="24"/>
        </w:rPr>
      </w:pPr>
      <w:r>
        <w:rPr>
          <w:rFonts w:ascii="Times New Roman" w:hAnsi="Times New Roman" w:cs="Times New Roman"/>
          <w:sz w:val="24"/>
          <w:szCs w:val="24"/>
        </w:rPr>
        <w:t xml:space="preserve">Table </w:t>
      </w:r>
      <w:r w:rsidR="00792313">
        <w:rPr>
          <w:rFonts w:ascii="Times New Roman" w:hAnsi="Times New Roman" w:cs="Times New Roman"/>
          <w:sz w:val="24"/>
          <w:szCs w:val="24"/>
        </w:rPr>
        <w:t>3 The</w:t>
      </w:r>
      <w:r w:rsidRPr="00EC7A31">
        <w:rPr>
          <w:rFonts w:ascii="Times New Roman" w:hAnsi="Times New Roman" w:cs="Times New Roman"/>
          <w:sz w:val="24"/>
          <w:szCs w:val="24"/>
        </w:rPr>
        <w:t xml:space="preserve"> </w:t>
      </w:r>
      <w:r>
        <w:rPr>
          <w:rFonts w:ascii="Times New Roman" w:hAnsi="Times New Roman" w:cs="Times New Roman"/>
          <w:sz w:val="24"/>
          <w:szCs w:val="24"/>
        </w:rPr>
        <w:t>D</w:t>
      </w:r>
      <w:r w:rsidRPr="00EC7A31">
        <w:rPr>
          <w:rFonts w:ascii="Times New Roman" w:hAnsi="Times New Roman" w:cs="Times New Roman"/>
          <w:sz w:val="24"/>
          <w:szCs w:val="24"/>
        </w:rPr>
        <w:t xml:space="preserve">escriptive </w:t>
      </w:r>
      <w:r>
        <w:rPr>
          <w:rFonts w:ascii="Times New Roman" w:hAnsi="Times New Roman" w:cs="Times New Roman"/>
          <w:sz w:val="24"/>
          <w:szCs w:val="24"/>
        </w:rPr>
        <w:t>S</w:t>
      </w:r>
      <w:r w:rsidRPr="00EC7A31">
        <w:rPr>
          <w:rFonts w:ascii="Times New Roman" w:hAnsi="Times New Roman" w:cs="Times New Roman"/>
          <w:sz w:val="24"/>
          <w:szCs w:val="24"/>
        </w:rPr>
        <w:t xml:space="preserve">tatistics of </w:t>
      </w:r>
      <w:r>
        <w:rPr>
          <w:rFonts w:ascii="Times New Roman" w:hAnsi="Times New Roman" w:cs="Times New Roman"/>
          <w:sz w:val="24"/>
          <w:szCs w:val="24"/>
        </w:rPr>
        <w:t>C</w:t>
      </w:r>
      <w:r w:rsidRPr="00EC7A31">
        <w:rPr>
          <w:rFonts w:ascii="Times New Roman" w:hAnsi="Times New Roman" w:cs="Times New Roman"/>
          <w:sz w:val="24"/>
          <w:szCs w:val="24"/>
        </w:rPr>
        <w:t xml:space="preserve">hoice sets </w:t>
      </w:r>
      <w:r>
        <w:rPr>
          <w:rFonts w:ascii="Times New Roman" w:hAnsi="Times New Roman" w:cs="Times New Roman"/>
          <w:sz w:val="24"/>
          <w:szCs w:val="24"/>
        </w:rPr>
        <w:t>D</w:t>
      </w:r>
      <w:r w:rsidRPr="00EC7A31">
        <w:rPr>
          <w:rFonts w:ascii="Times New Roman" w:hAnsi="Times New Roman" w:cs="Times New Roman"/>
          <w:sz w:val="24"/>
          <w:szCs w:val="24"/>
        </w:rPr>
        <w:t xml:space="preserve">omain </w:t>
      </w:r>
      <w:r>
        <w:rPr>
          <w:rFonts w:ascii="Times New Roman" w:hAnsi="Times New Roman" w:cs="Times New Roman"/>
          <w:sz w:val="24"/>
          <w:szCs w:val="24"/>
        </w:rPr>
        <w:t>S</w:t>
      </w:r>
      <w:r w:rsidRPr="00EC7A31">
        <w:rPr>
          <w:rFonts w:ascii="Times New Roman" w:hAnsi="Times New Roman" w:cs="Times New Roman"/>
          <w:sz w:val="24"/>
          <w:szCs w:val="24"/>
        </w:rPr>
        <w:t xml:space="preserve">election </w:t>
      </w:r>
    </w:p>
    <w:tbl>
      <w:tblPr>
        <w:tblStyle w:val="PlainTable31"/>
        <w:tblW w:w="0" w:type="auto"/>
        <w:tblLayout w:type="fixed"/>
        <w:tblLook w:val="0000" w:firstRow="0" w:lastRow="0" w:firstColumn="0" w:lastColumn="0" w:noHBand="0" w:noVBand="0"/>
      </w:tblPr>
      <w:tblGrid>
        <w:gridCol w:w="2508"/>
        <w:gridCol w:w="2000"/>
        <w:gridCol w:w="2000"/>
        <w:gridCol w:w="2000"/>
      </w:tblGrid>
      <w:tr w:rsidR="0069639F" w:rsidRPr="00EC7A31" w14:paraId="7DF54B2F" w14:textId="77777777" w:rsidTr="00872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8" w:type="dxa"/>
          </w:tcPr>
          <w:p w14:paraId="013D872C" w14:textId="77777777" w:rsidR="0069639F" w:rsidRPr="00EC7A31" w:rsidRDefault="0069639F" w:rsidP="004801FE">
            <w:pPr>
              <w:widowControl w:val="0"/>
              <w:autoSpaceDE w:val="0"/>
              <w:autoSpaceDN w:val="0"/>
              <w:adjustRightInd w:val="0"/>
              <w:jc w:val="both"/>
              <w:rPr>
                <w:rFonts w:ascii="Times New Roman" w:hAnsi="Times New Roman"/>
                <w:lang w:val="en-US"/>
              </w:rPr>
            </w:pPr>
            <w:r w:rsidRPr="00EC7A31">
              <w:rPr>
                <w:rFonts w:ascii="Times New Roman" w:hAnsi="Times New Roman"/>
                <w:lang w:val="en-US"/>
              </w:rPr>
              <w:t xml:space="preserve">Domain </w:t>
            </w:r>
          </w:p>
        </w:tc>
        <w:tc>
          <w:tcPr>
            <w:tcW w:w="2000" w:type="dxa"/>
          </w:tcPr>
          <w:p w14:paraId="307751AA" w14:textId="77777777" w:rsidR="0069639F" w:rsidRPr="00EC7A31" w:rsidRDefault="0069639F" w:rsidP="004801FE">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EC7A31">
              <w:rPr>
                <w:rFonts w:ascii="Times New Roman" w:hAnsi="Times New Roman"/>
                <w:lang w:val="en-US"/>
              </w:rPr>
              <w:t>Freq.</w:t>
            </w:r>
          </w:p>
        </w:tc>
        <w:tc>
          <w:tcPr>
            <w:cnfStyle w:val="000010000000" w:firstRow="0" w:lastRow="0" w:firstColumn="0" w:lastColumn="0" w:oddVBand="1" w:evenVBand="0" w:oddHBand="0" w:evenHBand="0" w:firstRowFirstColumn="0" w:firstRowLastColumn="0" w:lastRowFirstColumn="0" w:lastRowLastColumn="0"/>
            <w:tcW w:w="2000" w:type="dxa"/>
          </w:tcPr>
          <w:p w14:paraId="6C84C6D1" w14:textId="77777777" w:rsidR="0069639F" w:rsidRPr="00EC7A31" w:rsidRDefault="0069639F" w:rsidP="004801FE">
            <w:pPr>
              <w:widowControl w:val="0"/>
              <w:autoSpaceDE w:val="0"/>
              <w:autoSpaceDN w:val="0"/>
              <w:adjustRightInd w:val="0"/>
              <w:jc w:val="both"/>
              <w:rPr>
                <w:rFonts w:ascii="Times New Roman" w:hAnsi="Times New Roman"/>
                <w:lang w:val="en-US"/>
              </w:rPr>
            </w:pPr>
            <w:r w:rsidRPr="00EC7A31">
              <w:rPr>
                <w:rFonts w:ascii="Times New Roman" w:hAnsi="Times New Roman"/>
                <w:lang w:val="en-US"/>
              </w:rPr>
              <w:t>Percent</w:t>
            </w:r>
          </w:p>
        </w:tc>
        <w:tc>
          <w:tcPr>
            <w:tcW w:w="2000" w:type="dxa"/>
          </w:tcPr>
          <w:p w14:paraId="3CCC2006" w14:textId="77777777" w:rsidR="0069639F" w:rsidRPr="00EC7A31" w:rsidRDefault="0069639F" w:rsidP="004801FE">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EC7A31">
              <w:rPr>
                <w:rFonts w:ascii="Times New Roman" w:hAnsi="Times New Roman"/>
                <w:lang w:val="en-US"/>
              </w:rPr>
              <w:t>Cum.</w:t>
            </w:r>
          </w:p>
        </w:tc>
      </w:tr>
    </w:tbl>
    <w:p w14:paraId="46525571" w14:textId="77777777" w:rsidR="0069639F" w:rsidRPr="00EC7A31" w:rsidRDefault="0069639F" w:rsidP="004801FE">
      <w:pPr>
        <w:widowControl w:val="0"/>
        <w:autoSpaceDE w:val="0"/>
        <w:autoSpaceDN w:val="0"/>
        <w:adjustRightInd w:val="0"/>
        <w:jc w:val="both"/>
        <w:rPr>
          <w:rFonts w:ascii="Times New Roman" w:eastAsia="Aptos" w:hAnsi="Times New Roman"/>
          <w:sz w:val="24"/>
          <w:szCs w:val="24"/>
          <w:lang w:val="en-US"/>
          <w14:ligatures w14:val="standardContextual"/>
        </w:rPr>
      </w:pPr>
    </w:p>
    <w:tbl>
      <w:tblPr>
        <w:tblStyle w:val="PlainTable31"/>
        <w:tblW w:w="0" w:type="auto"/>
        <w:tblLayout w:type="fixed"/>
        <w:tblLook w:val="0000" w:firstRow="0" w:lastRow="0" w:firstColumn="0" w:lastColumn="0" w:noHBand="0" w:noVBand="0"/>
      </w:tblPr>
      <w:tblGrid>
        <w:gridCol w:w="2508"/>
        <w:gridCol w:w="2000"/>
        <w:gridCol w:w="2000"/>
        <w:gridCol w:w="2000"/>
      </w:tblGrid>
      <w:tr w:rsidR="0069639F" w:rsidRPr="00EC7A31" w14:paraId="0CDDCDCC" w14:textId="77777777" w:rsidTr="00872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8" w:type="dxa"/>
          </w:tcPr>
          <w:p w14:paraId="5FA4A432" w14:textId="77777777" w:rsidR="0069639F" w:rsidRPr="00EC7A31" w:rsidRDefault="0069639F" w:rsidP="004801FE">
            <w:pPr>
              <w:widowControl w:val="0"/>
              <w:autoSpaceDE w:val="0"/>
              <w:autoSpaceDN w:val="0"/>
              <w:adjustRightInd w:val="0"/>
              <w:jc w:val="both"/>
              <w:rPr>
                <w:rFonts w:ascii="Times New Roman" w:hAnsi="Times New Roman"/>
                <w:lang w:val="en-US"/>
              </w:rPr>
            </w:pPr>
            <w:r w:rsidRPr="00EC7A31">
              <w:rPr>
                <w:rFonts w:ascii="Times New Roman" w:hAnsi="Times New Roman"/>
                <w:lang w:val="en-US"/>
              </w:rPr>
              <w:t xml:space="preserve">Health </w:t>
            </w:r>
          </w:p>
        </w:tc>
        <w:tc>
          <w:tcPr>
            <w:tcW w:w="2000" w:type="dxa"/>
          </w:tcPr>
          <w:p w14:paraId="4A3BEB54" w14:textId="77777777" w:rsidR="0069639F" w:rsidRPr="00EC7A31" w:rsidRDefault="0069639F" w:rsidP="004801FE">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EC7A31">
              <w:rPr>
                <w:rFonts w:ascii="Times New Roman" w:hAnsi="Times New Roman"/>
                <w:lang w:val="en-US"/>
              </w:rPr>
              <w:t>191</w:t>
            </w:r>
          </w:p>
        </w:tc>
        <w:tc>
          <w:tcPr>
            <w:cnfStyle w:val="000010000000" w:firstRow="0" w:lastRow="0" w:firstColumn="0" w:lastColumn="0" w:oddVBand="1" w:evenVBand="0" w:oddHBand="0" w:evenHBand="0" w:firstRowFirstColumn="0" w:firstRowLastColumn="0" w:lastRowFirstColumn="0" w:lastRowLastColumn="0"/>
            <w:tcW w:w="2000" w:type="dxa"/>
          </w:tcPr>
          <w:p w14:paraId="77BFD532" w14:textId="77777777" w:rsidR="0069639F" w:rsidRPr="00EC7A31" w:rsidRDefault="0069639F" w:rsidP="004801FE">
            <w:pPr>
              <w:widowControl w:val="0"/>
              <w:autoSpaceDE w:val="0"/>
              <w:autoSpaceDN w:val="0"/>
              <w:adjustRightInd w:val="0"/>
              <w:jc w:val="both"/>
              <w:rPr>
                <w:rFonts w:ascii="Times New Roman" w:hAnsi="Times New Roman"/>
                <w:lang w:val="en-US"/>
              </w:rPr>
            </w:pPr>
            <w:r w:rsidRPr="00EC7A31">
              <w:rPr>
                <w:rFonts w:ascii="Times New Roman" w:hAnsi="Times New Roman"/>
                <w:lang w:val="en-US"/>
              </w:rPr>
              <w:t xml:space="preserve">   31.210</w:t>
            </w:r>
          </w:p>
        </w:tc>
        <w:tc>
          <w:tcPr>
            <w:tcW w:w="2000" w:type="dxa"/>
          </w:tcPr>
          <w:p w14:paraId="1562DDA5" w14:textId="77777777" w:rsidR="0069639F" w:rsidRPr="00EC7A31" w:rsidRDefault="0069639F" w:rsidP="004801FE">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EC7A31">
              <w:rPr>
                <w:rFonts w:ascii="Times New Roman" w:hAnsi="Times New Roman"/>
                <w:lang w:val="en-US"/>
              </w:rPr>
              <w:t xml:space="preserve">   31.210</w:t>
            </w:r>
          </w:p>
        </w:tc>
      </w:tr>
    </w:tbl>
    <w:p w14:paraId="342CD032" w14:textId="77777777" w:rsidR="0069639F" w:rsidRPr="00EC7A31" w:rsidRDefault="0069639F" w:rsidP="004801FE">
      <w:pPr>
        <w:widowControl w:val="0"/>
        <w:autoSpaceDE w:val="0"/>
        <w:autoSpaceDN w:val="0"/>
        <w:adjustRightInd w:val="0"/>
        <w:jc w:val="both"/>
        <w:rPr>
          <w:rFonts w:ascii="Times New Roman" w:eastAsia="Aptos" w:hAnsi="Times New Roman"/>
          <w:sz w:val="24"/>
          <w:szCs w:val="24"/>
          <w:lang w:val="en-US"/>
          <w14:ligatures w14:val="standardContextual"/>
        </w:rPr>
      </w:pPr>
    </w:p>
    <w:tbl>
      <w:tblPr>
        <w:tblStyle w:val="PlainTable31"/>
        <w:tblW w:w="0" w:type="auto"/>
        <w:tblLayout w:type="fixed"/>
        <w:tblLook w:val="0000" w:firstRow="0" w:lastRow="0" w:firstColumn="0" w:lastColumn="0" w:noHBand="0" w:noVBand="0"/>
      </w:tblPr>
      <w:tblGrid>
        <w:gridCol w:w="2462"/>
        <w:gridCol w:w="1964"/>
        <w:gridCol w:w="1964"/>
        <w:gridCol w:w="1964"/>
      </w:tblGrid>
      <w:tr w:rsidR="0069639F" w:rsidRPr="00EC7A31" w14:paraId="1C91F90A" w14:textId="77777777" w:rsidTr="00872168">
        <w:trPr>
          <w:cnfStyle w:val="000000100000" w:firstRow="0" w:lastRow="0" w:firstColumn="0" w:lastColumn="0" w:oddVBand="0" w:evenVBand="0" w:oddHBand="1" w:evenHBand="0" w:firstRowFirstColumn="0" w:firstRowLastColumn="0" w:lastRowFirstColumn="0" w:lastRowLastColumn="0"/>
          <w:trHeight w:val="484"/>
        </w:trPr>
        <w:tc>
          <w:tcPr>
            <w:cnfStyle w:val="000010000000" w:firstRow="0" w:lastRow="0" w:firstColumn="0" w:lastColumn="0" w:oddVBand="1" w:evenVBand="0" w:oddHBand="0" w:evenHBand="0" w:firstRowFirstColumn="0" w:firstRowLastColumn="0" w:lastRowFirstColumn="0" w:lastRowLastColumn="0"/>
            <w:tcW w:w="2462" w:type="dxa"/>
          </w:tcPr>
          <w:p w14:paraId="363BD3C6" w14:textId="77777777" w:rsidR="0069639F" w:rsidRPr="00EC7A31" w:rsidRDefault="0069639F" w:rsidP="004801FE">
            <w:pPr>
              <w:widowControl w:val="0"/>
              <w:autoSpaceDE w:val="0"/>
              <w:autoSpaceDN w:val="0"/>
              <w:adjustRightInd w:val="0"/>
              <w:jc w:val="both"/>
              <w:rPr>
                <w:rFonts w:ascii="Times New Roman" w:hAnsi="Times New Roman"/>
                <w:lang w:val="en-US"/>
              </w:rPr>
            </w:pPr>
            <w:r w:rsidRPr="00EC7A31">
              <w:rPr>
                <w:rFonts w:ascii="Times New Roman" w:hAnsi="Times New Roman"/>
                <w:lang w:val="en-US"/>
              </w:rPr>
              <w:t xml:space="preserve">Agriculture </w:t>
            </w:r>
          </w:p>
        </w:tc>
        <w:tc>
          <w:tcPr>
            <w:tcW w:w="1964" w:type="dxa"/>
          </w:tcPr>
          <w:p w14:paraId="303822F4" w14:textId="77777777" w:rsidR="0069639F" w:rsidRPr="00EC7A31" w:rsidRDefault="0069639F" w:rsidP="004801FE">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EC7A31">
              <w:rPr>
                <w:rFonts w:ascii="Times New Roman" w:hAnsi="Times New Roman"/>
                <w:lang w:val="en-US"/>
              </w:rPr>
              <w:t>265</w:t>
            </w:r>
          </w:p>
        </w:tc>
        <w:tc>
          <w:tcPr>
            <w:cnfStyle w:val="000010000000" w:firstRow="0" w:lastRow="0" w:firstColumn="0" w:lastColumn="0" w:oddVBand="1" w:evenVBand="0" w:oddHBand="0" w:evenHBand="0" w:firstRowFirstColumn="0" w:firstRowLastColumn="0" w:lastRowFirstColumn="0" w:lastRowLastColumn="0"/>
            <w:tcW w:w="1964" w:type="dxa"/>
          </w:tcPr>
          <w:p w14:paraId="74A1C42D" w14:textId="77777777" w:rsidR="0069639F" w:rsidRPr="00EC7A31" w:rsidRDefault="0069639F" w:rsidP="004801FE">
            <w:pPr>
              <w:widowControl w:val="0"/>
              <w:autoSpaceDE w:val="0"/>
              <w:autoSpaceDN w:val="0"/>
              <w:adjustRightInd w:val="0"/>
              <w:jc w:val="both"/>
              <w:rPr>
                <w:rFonts w:ascii="Times New Roman" w:hAnsi="Times New Roman"/>
                <w:lang w:val="en-US"/>
              </w:rPr>
            </w:pPr>
            <w:r w:rsidRPr="00EC7A31">
              <w:rPr>
                <w:rFonts w:ascii="Times New Roman" w:hAnsi="Times New Roman"/>
                <w:lang w:val="en-US"/>
              </w:rPr>
              <w:t xml:space="preserve">   43.300</w:t>
            </w:r>
          </w:p>
        </w:tc>
        <w:tc>
          <w:tcPr>
            <w:tcW w:w="1964" w:type="dxa"/>
          </w:tcPr>
          <w:p w14:paraId="7CEFF4DF" w14:textId="77777777" w:rsidR="0069639F" w:rsidRPr="00EC7A31" w:rsidRDefault="0069639F" w:rsidP="004801FE">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EC7A31">
              <w:rPr>
                <w:rFonts w:ascii="Times New Roman" w:hAnsi="Times New Roman"/>
                <w:lang w:val="en-US"/>
              </w:rPr>
              <w:t xml:space="preserve">   74.510</w:t>
            </w:r>
          </w:p>
        </w:tc>
      </w:tr>
    </w:tbl>
    <w:p w14:paraId="270BA902" w14:textId="77777777" w:rsidR="0069639F" w:rsidRPr="00EC7A31" w:rsidRDefault="0069639F" w:rsidP="004801FE">
      <w:pPr>
        <w:widowControl w:val="0"/>
        <w:autoSpaceDE w:val="0"/>
        <w:autoSpaceDN w:val="0"/>
        <w:adjustRightInd w:val="0"/>
        <w:jc w:val="both"/>
        <w:rPr>
          <w:rFonts w:ascii="Times New Roman" w:eastAsia="Aptos" w:hAnsi="Times New Roman"/>
          <w:sz w:val="24"/>
          <w:szCs w:val="24"/>
          <w:lang w:val="en-US"/>
          <w14:ligatures w14:val="standardContextual"/>
        </w:rPr>
      </w:pPr>
    </w:p>
    <w:tbl>
      <w:tblPr>
        <w:tblStyle w:val="PlainTable31"/>
        <w:tblW w:w="0" w:type="auto"/>
        <w:tblLayout w:type="fixed"/>
        <w:tblLook w:val="0000" w:firstRow="0" w:lastRow="0" w:firstColumn="0" w:lastColumn="0" w:noHBand="0" w:noVBand="0"/>
      </w:tblPr>
      <w:tblGrid>
        <w:gridCol w:w="2508"/>
        <w:gridCol w:w="2000"/>
        <w:gridCol w:w="2000"/>
        <w:gridCol w:w="2000"/>
      </w:tblGrid>
      <w:tr w:rsidR="0069639F" w:rsidRPr="00EC7A31" w14:paraId="566E49CE" w14:textId="77777777" w:rsidTr="00872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8" w:type="dxa"/>
          </w:tcPr>
          <w:p w14:paraId="055F8A4C" w14:textId="77777777" w:rsidR="0069639F" w:rsidRPr="00EC7A31" w:rsidRDefault="0069639F" w:rsidP="004801FE">
            <w:pPr>
              <w:widowControl w:val="0"/>
              <w:autoSpaceDE w:val="0"/>
              <w:autoSpaceDN w:val="0"/>
              <w:adjustRightInd w:val="0"/>
              <w:jc w:val="both"/>
              <w:rPr>
                <w:rFonts w:ascii="Times New Roman" w:hAnsi="Times New Roman"/>
                <w:lang w:val="en-US"/>
              </w:rPr>
            </w:pPr>
            <w:r w:rsidRPr="00EC7A31">
              <w:rPr>
                <w:rFonts w:ascii="Times New Roman" w:hAnsi="Times New Roman"/>
                <w:lang w:val="en-US"/>
              </w:rPr>
              <w:t xml:space="preserve">Property </w:t>
            </w:r>
          </w:p>
        </w:tc>
        <w:tc>
          <w:tcPr>
            <w:tcW w:w="2000" w:type="dxa"/>
          </w:tcPr>
          <w:p w14:paraId="3D492D8C" w14:textId="77777777" w:rsidR="0069639F" w:rsidRPr="00EC7A31" w:rsidRDefault="0069639F" w:rsidP="004801FE">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EC7A31">
              <w:rPr>
                <w:rFonts w:ascii="Times New Roman" w:hAnsi="Times New Roman"/>
                <w:lang w:val="en-US"/>
              </w:rPr>
              <w:t>156</w:t>
            </w:r>
          </w:p>
        </w:tc>
        <w:tc>
          <w:tcPr>
            <w:cnfStyle w:val="000010000000" w:firstRow="0" w:lastRow="0" w:firstColumn="0" w:lastColumn="0" w:oddVBand="1" w:evenVBand="0" w:oddHBand="0" w:evenHBand="0" w:firstRowFirstColumn="0" w:firstRowLastColumn="0" w:lastRowFirstColumn="0" w:lastRowLastColumn="0"/>
            <w:tcW w:w="2000" w:type="dxa"/>
          </w:tcPr>
          <w:p w14:paraId="3B652695" w14:textId="77777777" w:rsidR="0069639F" w:rsidRPr="00EC7A31" w:rsidRDefault="0069639F" w:rsidP="004801FE">
            <w:pPr>
              <w:widowControl w:val="0"/>
              <w:autoSpaceDE w:val="0"/>
              <w:autoSpaceDN w:val="0"/>
              <w:adjustRightInd w:val="0"/>
              <w:jc w:val="both"/>
              <w:rPr>
                <w:rFonts w:ascii="Times New Roman" w:hAnsi="Times New Roman"/>
                <w:lang w:val="en-US"/>
              </w:rPr>
            </w:pPr>
            <w:r w:rsidRPr="00EC7A31">
              <w:rPr>
                <w:rFonts w:ascii="Times New Roman" w:hAnsi="Times New Roman"/>
                <w:lang w:val="en-US"/>
              </w:rPr>
              <w:t xml:space="preserve">   25.490</w:t>
            </w:r>
          </w:p>
        </w:tc>
        <w:tc>
          <w:tcPr>
            <w:tcW w:w="2000" w:type="dxa"/>
          </w:tcPr>
          <w:p w14:paraId="3285E9FC" w14:textId="77777777" w:rsidR="0069639F" w:rsidRPr="00EC7A31" w:rsidRDefault="0069639F" w:rsidP="004801FE">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EC7A31">
              <w:rPr>
                <w:rFonts w:ascii="Times New Roman" w:hAnsi="Times New Roman"/>
                <w:lang w:val="en-US"/>
              </w:rPr>
              <w:t xml:space="preserve">  100.000</w:t>
            </w:r>
          </w:p>
        </w:tc>
      </w:tr>
    </w:tbl>
    <w:p w14:paraId="601234D5" w14:textId="77777777" w:rsidR="0069639F" w:rsidRPr="00EC7A31" w:rsidRDefault="0069639F" w:rsidP="004801FE">
      <w:pPr>
        <w:widowControl w:val="0"/>
        <w:autoSpaceDE w:val="0"/>
        <w:autoSpaceDN w:val="0"/>
        <w:adjustRightInd w:val="0"/>
        <w:jc w:val="both"/>
        <w:rPr>
          <w:rFonts w:ascii="Times New Roman" w:eastAsia="Aptos" w:hAnsi="Times New Roman"/>
          <w:sz w:val="24"/>
          <w:szCs w:val="24"/>
          <w:lang w:val="en-US"/>
          <w14:ligatures w14:val="standardContextual"/>
        </w:rPr>
      </w:pPr>
    </w:p>
    <w:tbl>
      <w:tblPr>
        <w:tblStyle w:val="PlainTable31"/>
        <w:tblW w:w="0" w:type="auto"/>
        <w:tblLayout w:type="fixed"/>
        <w:tblLook w:val="0000" w:firstRow="0" w:lastRow="0" w:firstColumn="0" w:lastColumn="0" w:noHBand="0" w:noVBand="0"/>
      </w:tblPr>
      <w:tblGrid>
        <w:gridCol w:w="2547"/>
        <w:gridCol w:w="3969"/>
        <w:gridCol w:w="1984"/>
      </w:tblGrid>
      <w:tr w:rsidR="0069639F" w:rsidRPr="00EC7A31" w14:paraId="1C05FE66" w14:textId="77777777" w:rsidTr="00872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7" w:type="dxa"/>
          </w:tcPr>
          <w:p w14:paraId="3581B6C8" w14:textId="77777777" w:rsidR="0069639F" w:rsidRPr="00EC7A31" w:rsidRDefault="0069639F" w:rsidP="004801FE">
            <w:pPr>
              <w:widowControl w:val="0"/>
              <w:autoSpaceDE w:val="0"/>
              <w:autoSpaceDN w:val="0"/>
              <w:adjustRightInd w:val="0"/>
              <w:jc w:val="both"/>
              <w:rPr>
                <w:rFonts w:ascii="Times New Roman" w:hAnsi="Times New Roman"/>
                <w:lang w:val="en-US"/>
              </w:rPr>
            </w:pPr>
            <w:r w:rsidRPr="00EC7A31">
              <w:rPr>
                <w:rFonts w:ascii="Times New Roman" w:hAnsi="Times New Roman"/>
                <w:lang w:val="en-US"/>
              </w:rPr>
              <w:t xml:space="preserve">Total </w:t>
            </w:r>
          </w:p>
        </w:tc>
        <w:tc>
          <w:tcPr>
            <w:tcW w:w="3969" w:type="dxa"/>
          </w:tcPr>
          <w:p w14:paraId="4C4DE39B" w14:textId="77777777" w:rsidR="0069639F" w:rsidRPr="00EC7A31" w:rsidRDefault="0069639F" w:rsidP="004801FE">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EC7A31">
              <w:rPr>
                <w:rFonts w:ascii="Times New Roman" w:hAnsi="Times New Roman"/>
                <w:lang w:val="en-US"/>
              </w:rPr>
              <w:t>612</w:t>
            </w:r>
          </w:p>
        </w:tc>
        <w:tc>
          <w:tcPr>
            <w:cnfStyle w:val="000010000000" w:firstRow="0" w:lastRow="0" w:firstColumn="0" w:lastColumn="0" w:oddVBand="1" w:evenVBand="0" w:oddHBand="0" w:evenHBand="0" w:firstRowFirstColumn="0" w:firstRowLastColumn="0" w:lastRowFirstColumn="0" w:lastRowLastColumn="0"/>
            <w:tcW w:w="1984" w:type="dxa"/>
          </w:tcPr>
          <w:p w14:paraId="6321A00D" w14:textId="77777777" w:rsidR="0069639F" w:rsidRPr="00EC7A31" w:rsidRDefault="0069639F" w:rsidP="004801FE">
            <w:pPr>
              <w:widowControl w:val="0"/>
              <w:autoSpaceDE w:val="0"/>
              <w:autoSpaceDN w:val="0"/>
              <w:adjustRightInd w:val="0"/>
              <w:jc w:val="both"/>
              <w:rPr>
                <w:rFonts w:ascii="Times New Roman" w:hAnsi="Times New Roman"/>
                <w:lang w:val="en-US"/>
              </w:rPr>
            </w:pPr>
            <w:r w:rsidRPr="00EC7A31">
              <w:rPr>
                <w:rFonts w:ascii="Times New Roman" w:hAnsi="Times New Roman"/>
                <w:lang w:val="en-US"/>
              </w:rPr>
              <w:t xml:space="preserve">  100.000</w:t>
            </w:r>
          </w:p>
        </w:tc>
      </w:tr>
    </w:tbl>
    <w:p w14:paraId="2CFD4335" w14:textId="77777777" w:rsidR="0069639F" w:rsidRPr="000C3D51" w:rsidRDefault="0069639F" w:rsidP="004801FE">
      <w:pPr>
        <w:rPr>
          <w:rFonts w:eastAsia="Aptos"/>
          <w:lang w:val="en-US"/>
        </w:rPr>
      </w:pPr>
    </w:p>
    <w:p w14:paraId="0B080BEB" w14:textId="407EED2C" w:rsidR="0069639F" w:rsidRPr="00792313" w:rsidRDefault="00792313" w:rsidP="00407E38">
      <w:pPr>
        <w:spacing w:after="160" w:line="360" w:lineRule="auto"/>
        <w:jc w:val="both"/>
        <w:rPr>
          <w:rFonts w:ascii="Times New Roman" w:eastAsia="Aptos" w:hAnsi="Times New Roman"/>
          <w:b/>
          <w:bCs/>
          <w:kern w:val="2"/>
          <w:sz w:val="24"/>
          <w:szCs w:val="24"/>
          <w:lang w:val="en-ZA"/>
          <w14:ligatures w14:val="standardContextual"/>
        </w:rPr>
      </w:pPr>
      <w:r>
        <w:rPr>
          <w:rFonts w:ascii="Times New Roman" w:eastAsia="Aptos" w:hAnsi="Times New Roman"/>
          <w:kern w:val="2"/>
          <w:sz w:val="24"/>
          <w:szCs w:val="24"/>
          <w:lang w:val="en-ZA"/>
          <w14:ligatures w14:val="standardContextual"/>
        </w:rPr>
        <w:t>Whereas t</w:t>
      </w:r>
      <w:r w:rsidRPr="00EC7A31">
        <w:rPr>
          <w:rFonts w:ascii="Times New Roman" w:eastAsia="Aptos" w:hAnsi="Times New Roman"/>
          <w:kern w:val="2"/>
          <w:sz w:val="24"/>
          <w:szCs w:val="24"/>
          <w:lang w:val="en-ZA"/>
          <w14:ligatures w14:val="standardContextual"/>
        </w:rPr>
        <w:t xml:space="preserve">he dominance of property and health insurance in Tongaat may be mainly attributed </w:t>
      </w:r>
      <w:r>
        <w:rPr>
          <w:rFonts w:ascii="Times New Roman" w:eastAsia="Aptos" w:hAnsi="Times New Roman"/>
          <w:kern w:val="2"/>
          <w:sz w:val="24"/>
          <w:szCs w:val="24"/>
          <w:lang w:val="en-ZA"/>
          <w14:ligatures w14:val="standardContextual"/>
        </w:rPr>
        <w:t xml:space="preserve">to </w:t>
      </w:r>
      <w:r w:rsidRPr="00EC7A31">
        <w:rPr>
          <w:rFonts w:ascii="Times New Roman" w:eastAsia="Aptos" w:hAnsi="Times New Roman"/>
          <w:kern w:val="2"/>
          <w:sz w:val="24"/>
          <w:szCs w:val="24"/>
          <w:lang w:val="en-ZA"/>
          <w14:ligatures w14:val="standardContextual"/>
        </w:rPr>
        <w:t xml:space="preserve">experience. The recent experience of the people in Tongaat is the </w:t>
      </w:r>
      <w:r>
        <w:rPr>
          <w:rFonts w:ascii="Times New Roman" w:eastAsia="Aptos" w:hAnsi="Times New Roman"/>
          <w:kern w:val="2"/>
          <w:sz w:val="24"/>
          <w:szCs w:val="24"/>
          <w:lang w:val="en-ZA"/>
          <w14:ligatures w14:val="standardContextual"/>
        </w:rPr>
        <w:t>Tornado</w:t>
      </w:r>
      <w:r w:rsidRPr="00EC7A31">
        <w:rPr>
          <w:rFonts w:ascii="Times New Roman" w:eastAsia="Aptos" w:hAnsi="Times New Roman"/>
          <w:kern w:val="2"/>
          <w:sz w:val="24"/>
          <w:szCs w:val="24"/>
          <w:lang w:val="en-ZA"/>
          <w14:ligatures w14:val="standardContextual"/>
        </w:rPr>
        <w:t xml:space="preserve"> which caused property damage </w:t>
      </w:r>
      <w:r>
        <w:rPr>
          <w:rFonts w:ascii="Times New Roman" w:eastAsia="Aptos" w:hAnsi="Times New Roman"/>
          <w:kern w:val="2"/>
          <w:sz w:val="24"/>
          <w:szCs w:val="24"/>
          <w:lang w:val="en-ZA"/>
          <w14:ligatures w14:val="standardContextual"/>
        </w:rPr>
        <w:t>to</w:t>
      </w:r>
      <w:r w:rsidRPr="00EC7A31">
        <w:rPr>
          <w:rFonts w:ascii="Times New Roman" w:eastAsia="Aptos" w:hAnsi="Times New Roman"/>
          <w:kern w:val="2"/>
          <w:sz w:val="24"/>
          <w:szCs w:val="24"/>
          <w:lang w:val="en-ZA"/>
          <w14:ligatures w14:val="standardContextual"/>
        </w:rPr>
        <w:t xml:space="preserve"> both private and public goods.</w:t>
      </w:r>
      <w:r>
        <w:rPr>
          <w:rFonts w:ascii="Times New Roman" w:eastAsia="Aptos" w:hAnsi="Times New Roman"/>
          <w:kern w:val="2"/>
          <w:sz w:val="24"/>
          <w:szCs w:val="24"/>
          <w:lang w:val="en-ZA"/>
          <w14:ligatures w14:val="standardContextual"/>
        </w:rPr>
        <w:t xml:space="preserve"> The argument of experience has a significant impact on insurance preference can be found in studies such as Doherty et al (2021). </w:t>
      </w:r>
      <w:r w:rsidRPr="00EC7A31">
        <w:rPr>
          <w:rFonts w:ascii="Times New Roman" w:eastAsia="Aptos" w:hAnsi="Times New Roman"/>
          <w:kern w:val="2"/>
          <w:sz w:val="24"/>
          <w:szCs w:val="24"/>
          <w:lang w:val="en-ZA"/>
          <w14:ligatures w14:val="standardContextual"/>
        </w:rPr>
        <w:t xml:space="preserve"> </w:t>
      </w:r>
    </w:p>
    <w:p w14:paraId="4EBDEAAC" w14:textId="7289A7E3" w:rsidR="0069639F" w:rsidRPr="00EC7A31" w:rsidRDefault="0069639F" w:rsidP="004801FE">
      <w:pPr>
        <w:pStyle w:val="Caption"/>
        <w:keepNext/>
        <w:rPr>
          <w:rFonts w:ascii="Times New Roman" w:hAnsi="Times New Roman" w:cs="Times New Roman"/>
          <w:sz w:val="24"/>
          <w:szCs w:val="24"/>
        </w:rPr>
      </w:pPr>
      <w:r w:rsidRPr="00EC7A31">
        <w:rPr>
          <w:rFonts w:ascii="Times New Roman" w:hAnsi="Times New Roman" w:cs="Times New Roman"/>
          <w:sz w:val="24"/>
          <w:szCs w:val="24"/>
        </w:rPr>
        <w:t xml:space="preserve">Table </w:t>
      </w:r>
      <w:r w:rsidR="00792313">
        <w:rPr>
          <w:rFonts w:ascii="Times New Roman" w:hAnsi="Times New Roman" w:cs="Times New Roman"/>
          <w:sz w:val="24"/>
          <w:szCs w:val="24"/>
        </w:rPr>
        <w:t xml:space="preserve">4 </w:t>
      </w:r>
      <w:r w:rsidRPr="00EC7A31">
        <w:rPr>
          <w:rFonts w:ascii="Times New Roman" w:hAnsi="Times New Roman" w:cs="Times New Roman"/>
          <w:sz w:val="24"/>
          <w:szCs w:val="24"/>
        </w:rPr>
        <w:t xml:space="preserve"> Descriptive statistics of choice sets selection (South Africa) </w:t>
      </w:r>
    </w:p>
    <w:tbl>
      <w:tblPr>
        <w:tblStyle w:val="PlainTable41"/>
        <w:tblW w:w="0" w:type="auto"/>
        <w:tblLayout w:type="fixed"/>
        <w:tblLook w:val="0000" w:firstRow="0" w:lastRow="0" w:firstColumn="0" w:lastColumn="0" w:noHBand="0" w:noVBand="0"/>
      </w:tblPr>
      <w:tblGrid>
        <w:gridCol w:w="2508"/>
        <w:gridCol w:w="2000"/>
        <w:gridCol w:w="2000"/>
        <w:gridCol w:w="2000"/>
      </w:tblGrid>
      <w:tr w:rsidR="0069639F" w:rsidRPr="00EC7A31" w14:paraId="61CBAEDE" w14:textId="77777777" w:rsidTr="001111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8" w:type="dxa"/>
          </w:tcPr>
          <w:p w14:paraId="66E09A14" w14:textId="77777777" w:rsidR="0069639F" w:rsidRPr="00EC7A31" w:rsidRDefault="0069639F" w:rsidP="004801FE">
            <w:pPr>
              <w:widowControl w:val="0"/>
              <w:autoSpaceDE w:val="0"/>
              <w:autoSpaceDN w:val="0"/>
              <w:adjustRightInd w:val="0"/>
              <w:jc w:val="both"/>
              <w:rPr>
                <w:rFonts w:ascii="Times New Roman" w:hAnsi="Times New Roman"/>
                <w:lang w:val="en-US"/>
              </w:rPr>
            </w:pPr>
            <w:r w:rsidRPr="00EC7A31">
              <w:rPr>
                <w:rFonts w:ascii="Times New Roman" w:hAnsi="Times New Roman"/>
                <w:lang w:val="en-US"/>
              </w:rPr>
              <w:t xml:space="preserve">Domain </w:t>
            </w:r>
          </w:p>
        </w:tc>
        <w:tc>
          <w:tcPr>
            <w:tcW w:w="2000" w:type="dxa"/>
          </w:tcPr>
          <w:p w14:paraId="5183EA0D" w14:textId="77777777" w:rsidR="0069639F" w:rsidRPr="00EC7A31" w:rsidRDefault="0069639F" w:rsidP="004801FE">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EC7A31">
              <w:rPr>
                <w:rFonts w:ascii="Times New Roman" w:hAnsi="Times New Roman"/>
                <w:lang w:val="en-US"/>
              </w:rPr>
              <w:t>Freq.</w:t>
            </w:r>
          </w:p>
        </w:tc>
        <w:tc>
          <w:tcPr>
            <w:cnfStyle w:val="000010000000" w:firstRow="0" w:lastRow="0" w:firstColumn="0" w:lastColumn="0" w:oddVBand="1" w:evenVBand="0" w:oddHBand="0" w:evenHBand="0" w:firstRowFirstColumn="0" w:firstRowLastColumn="0" w:lastRowFirstColumn="0" w:lastRowLastColumn="0"/>
            <w:tcW w:w="2000" w:type="dxa"/>
          </w:tcPr>
          <w:p w14:paraId="4CB6C712" w14:textId="77777777" w:rsidR="0069639F" w:rsidRPr="00EC7A31" w:rsidRDefault="0069639F" w:rsidP="004801FE">
            <w:pPr>
              <w:widowControl w:val="0"/>
              <w:autoSpaceDE w:val="0"/>
              <w:autoSpaceDN w:val="0"/>
              <w:adjustRightInd w:val="0"/>
              <w:jc w:val="both"/>
              <w:rPr>
                <w:rFonts w:ascii="Times New Roman" w:hAnsi="Times New Roman"/>
                <w:lang w:val="en-US"/>
              </w:rPr>
            </w:pPr>
            <w:r w:rsidRPr="00EC7A31">
              <w:rPr>
                <w:rFonts w:ascii="Times New Roman" w:hAnsi="Times New Roman"/>
                <w:lang w:val="en-US"/>
              </w:rPr>
              <w:t>Percent</w:t>
            </w:r>
          </w:p>
        </w:tc>
        <w:tc>
          <w:tcPr>
            <w:tcW w:w="2000" w:type="dxa"/>
          </w:tcPr>
          <w:p w14:paraId="1AFFC8EB" w14:textId="77777777" w:rsidR="0069639F" w:rsidRPr="00EC7A31" w:rsidRDefault="0069639F" w:rsidP="004801FE">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EC7A31">
              <w:rPr>
                <w:rFonts w:ascii="Times New Roman" w:hAnsi="Times New Roman"/>
                <w:lang w:val="en-US"/>
              </w:rPr>
              <w:t>Cum.</w:t>
            </w:r>
          </w:p>
        </w:tc>
      </w:tr>
    </w:tbl>
    <w:p w14:paraId="5E007022" w14:textId="77777777" w:rsidR="0069639F" w:rsidRPr="00EC7A31" w:rsidRDefault="0069639F" w:rsidP="004801FE">
      <w:pPr>
        <w:widowControl w:val="0"/>
        <w:autoSpaceDE w:val="0"/>
        <w:autoSpaceDN w:val="0"/>
        <w:adjustRightInd w:val="0"/>
        <w:jc w:val="both"/>
        <w:rPr>
          <w:rFonts w:ascii="Times New Roman" w:eastAsia="Aptos" w:hAnsi="Times New Roman"/>
          <w:sz w:val="24"/>
          <w:szCs w:val="24"/>
          <w:lang w:val="en-US"/>
          <w14:ligatures w14:val="standardContextual"/>
        </w:rPr>
      </w:pPr>
    </w:p>
    <w:tbl>
      <w:tblPr>
        <w:tblStyle w:val="PlainTable31"/>
        <w:tblW w:w="0" w:type="auto"/>
        <w:tblLayout w:type="fixed"/>
        <w:tblLook w:val="0000" w:firstRow="0" w:lastRow="0" w:firstColumn="0" w:lastColumn="0" w:noHBand="0" w:noVBand="0"/>
      </w:tblPr>
      <w:tblGrid>
        <w:gridCol w:w="2508"/>
        <w:gridCol w:w="2000"/>
        <w:gridCol w:w="2000"/>
        <w:gridCol w:w="2000"/>
      </w:tblGrid>
      <w:tr w:rsidR="0069639F" w:rsidRPr="00EC7A31" w14:paraId="27126935" w14:textId="77777777" w:rsidTr="001111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8" w:type="dxa"/>
          </w:tcPr>
          <w:p w14:paraId="51DAC15C" w14:textId="77777777" w:rsidR="0069639F" w:rsidRPr="00EC7A31" w:rsidRDefault="0069639F" w:rsidP="004801FE">
            <w:pPr>
              <w:widowControl w:val="0"/>
              <w:autoSpaceDE w:val="0"/>
              <w:autoSpaceDN w:val="0"/>
              <w:adjustRightInd w:val="0"/>
              <w:jc w:val="both"/>
              <w:rPr>
                <w:rFonts w:ascii="Times New Roman" w:hAnsi="Times New Roman"/>
                <w:lang w:val="en-US"/>
              </w:rPr>
            </w:pPr>
            <w:r w:rsidRPr="00EC7A31">
              <w:rPr>
                <w:rFonts w:ascii="Times New Roman" w:hAnsi="Times New Roman"/>
                <w:lang w:val="en-US"/>
              </w:rPr>
              <w:t xml:space="preserve">Health </w:t>
            </w:r>
          </w:p>
        </w:tc>
        <w:tc>
          <w:tcPr>
            <w:tcW w:w="2000" w:type="dxa"/>
          </w:tcPr>
          <w:p w14:paraId="5038CDAC" w14:textId="77777777" w:rsidR="0069639F" w:rsidRPr="00EC7A31" w:rsidRDefault="0069639F" w:rsidP="004801FE">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EC7A31">
              <w:rPr>
                <w:rFonts w:ascii="Times New Roman" w:hAnsi="Times New Roman"/>
                <w:lang w:val="en-US"/>
              </w:rPr>
              <w:t>150</w:t>
            </w:r>
          </w:p>
        </w:tc>
        <w:tc>
          <w:tcPr>
            <w:cnfStyle w:val="000010000000" w:firstRow="0" w:lastRow="0" w:firstColumn="0" w:lastColumn="0" w:oddVBand="1" w:evenVBand="0" w:oddHBand="0" w:evenHBand="0" w:firstRowFirstColumn="0" w:firstRowLastColumn="0" w:lastRowFirstColumn="0" w:lastRowLastColumn="0"/>
            <w:tcW w:w="2000" w:type="dxa"/>
          </w:tcPr>
          <w:p w14:paraId="2E3724DD" w14:textId="77777777" w:rsidR="0069639F" w:rsidRPr="00EC7A31" w:rsidRDefault="0069639F" w:rsidP="004801FE">
            <w:pPr>
              <w:widowControl w:val="0"/>
              <w:autoSpaceDE w:val="0"/>
              <w:autoSpaceDN w:val="0"/>
              <w:adjustRightInd w:val="0"/>
              <w:jc w:val="both"/>
              <w:rPr>
                <w:rFonts w:ascii="Times New Roman" w:hAnsi="Times New Roman"/>
                <w:lang w:val="en-US"/>
              </w:rPr>
            </w:pPr>
            <w:r w:rsidRPr="00EC7A31">
              <w:rPr>
                <w:rFonts w:ascii="Times New Roman" w:hAnsi="Times New Roman"/>
                <w:lang w:val="en-US"/>
              </w:rPr>
              <w:t xml:space="preserve">   35.550</w:t>
            </w:r>
          </w:p>
        </w:tc>
        <w:tc>
          <w:tcPr>
            <w:tcW w:w="2000" w:type="dxa"/>
          </w:tcPr>
          <w:p w14:paraId="148E02E9" w14:textId="77777777" w:rsidR="0069639F" w:rsidRPr="00EC7A31" w:rsidRDefault="0069639F" w:rsidP="004801FE">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EC7A31">
              <w:rPr>
                <w:rFonts w:ascii="Times New Roman" w:hAnsi="Times New Roman"/>
                <w:lang w:val="en-US"/>
              </w:rPr>
              <w:t xml:space="preserve">   35.550</w:t>
            </w:r>
          </w:p>
        </w:tc>
      </w:tr>
    </w:tbl>
    <w:p w14:paraId="085AD173" w14:textId="77777777" w:rsidR="0069639F" w:rsidRPr="00EC7A31" w:rsidRDefault="0069639F" w:rsidP="004801FE">
      <w:pPr>
        <w:widowControl w:val="0"/>
        <w:autoSpaceDE w:val="0"/>
        <w:autoSpaceDN w:val="0"/>
        <w:adjustRightInd w:val="0"/>
        <w:jc w:val="both"/>
        <w:rPr>
          <w:rFonts w:ascii="Times New Roman" w:eastAsia="Aptos" w:hAnsi="Times New Roman"/>
          <w:sz w:val="24"/>
          <w:szCs w:val="24"/>
          <w:lang w:val="en-US"/>
          <w14:ligatures w14:val="standardContextual"/>
        </w:rPr>
      </w:pPr>
    </w:p>
    <w:tbl>
      <w:tblPr>
        <w:tblStyle w:val="PlainTable31"/>
        <w:tblW w:w="0" w:type="auto"/>
        <w:tblLayout w:type="fixed"/>
        <w:tblLook w:val="0000" w:firstRow="0" w:lastRow="0" w:firstColumn="0" w:lastColumn="0" w:noHBand="0" w:noVBand="0"/>
      </w:tblPr>
      <w:tblGrid>
        <w:gridCol w:w="2508"/>
        <w:gridCol w:w="2000"/>
        <w:gridCol w:w="2000"/>
        <w:gridCol w:w="2000"/>
      </w:tblGrid>
      <w:tr w:rsidR="0069639F" w:rsidRPr="00EC7A31" w14:paraId="7ECFD65B" w14:textId="77777777" w:rsidTr="001111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8" w:type="dxa"/>
          </w:tcPr>
          <w:p w14:paraId="1F21EF4A" w14:textId="77777777" w:rsidR="0069639F" w:rsidRPr="00EC7A31" w:rsidRDefault="0069639F" w:rsidP="004801FE">
            <w:pPr>
              <w:widowControl w:val="0"/>
              <w:autoSpaceDE w:val="0"/>
              <w:autoSpaceDN w:val="0"/>
              <w:adjustRightInd w:val="0"/>
              <w:jc w:val="both"/>
              <w:rPr>
                <w:rFonts w:ascii="Times New Roman" w:hAnsi="Times New Roman"/>
                <w:lang w:val="en-US"/>
              </w:rPr>
            </w:pPr>
            <w:r w:rsidRPr="00EC7A31">
              <w:rPr>
                <w:rFonts w:ascii="Times New Roman" w:hAnsi="Times New Roman"/>
                <w:lang w:val="en-US"/>
              </w:rPr>
              <w:t xml:space="preserve">Agriculture </w:t>
            </w:r>
          </w:p>
        </w:tc>
        <w:tc>
          <w:tcPr>
            <w:tcW w:w="2000" w:type="dxa"/>
          </w:tcPr>
          <w:p w14:paraId="73E59A6F" w14:textId="77777777" w:rsidR="0069639F" w:rsidRPr="00EC7A31" w:rsidRDefault="0069639F" w:rsidP="004801FE">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EC7A31">
              <w:rPr>
                <w:rFonts w:ascii="Times New Roman" w:hAnsi="Times New Roman"/>
                <w:lang w:val="en-US"/>
              </w:rPr>
              <w:t>118</w:t>
            </w:r>
          </w:p>
        </w:tc>
        <w:tc>
          <w:tcPr>
            <w:cnfStyle w:val="000010000000" w:firstRow="0" w:lastRow="0" w:firstColumn="0" w:lastColumn="0" w:oddVBand="1" w:evenVBand="0" w:oddHBand="0" w:evenHBand="0" w:firstRowFirstColumn="0" w:firstRowLastColumn="0" w:lastRowFirstColumn="0" w:lastRowLastColumn="0"/>
            <w:tcW w:w="2000" w:type="dxa"/>
          </w:tcPr>
          <w:p w14:paraId="4A628923" w14:textId="77777777" w:rsidR="0069639F" w:rsidRPr="00EC7A31" w:rsidRDefault="0069639F" w:rsidP="004801FE">
            <w:pPr>
              <w:widowControl w:val="0"/>
              <w:autoSpaceDE w:val="0"/>
              <w:autoSpaceDN w:val="0"/>
              <w:adjustRightInd w:val="0"/>
              <w:jc w:val="both"/>
              <w:rPr>
                <w:rFonts w:ascii="Times New Roman" w:hAnsi="Times New Roman"/>
                <w:lang w:val="en-US"/>
              </w:rPr>
            </w:pPr>
            <w:r w:rsidRPr="00EC7A31">
              <w:rPr>
                <w:rFonts w:ascii="Times New Roman" w:hAnsi="Times New Roman"/>
                <w:lang w:val="en-US"/>
              </w:rPr>
              <w:t xml:space="preserve">   27.960</w:t>
            </w:r>
          </w:p>
        </w:tc>
        <w:tc>
          <w:tcPr>
            <w:tcW w:w="2000" w:type="dxa"/>
          </w:tcPr>
          <w:p w14:paraId="4133E473" w14:textId="77777777" w:rsidR="0069639F" w:rsidRPr="00EC7A31" w:rsidRDefault="0069639F" w:rsidP="004801FE">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EC7A31">
              <w:rPr>
                <w:rFonts w:ascii="Times New Roman" w:hAnsi="Times New Roman"/>
                <w:lang w:val="en-US"/>
              </w:rPr>
              <w:t xml:space="preserve">   63.510</w:t>
            </w:r>
          </w:p>
        </w:tc>
      </w:tr>
    </w:tbl>
    <w:p w14:paraId="065F6550" w14:textId="77777777" w:rsidR="0069639F" w:rsidRPr="00EC7A31" w:rsidRDefault="0069639F" w:rsidP="004801FE">
      <w:pPr>
        <w:widowControl w:val="0"/>
        <w:autoSpaceDE w:val="0"/>
        <w:autoSpaceDN w:val="0"/>
        <w:adjustRightInd w:val="0"/>
        <w:jc w:val="both"/>
        <w:rPr>
          <w:rFonts w:ascii="Times New Roman" w:eastAsia="Aptos" w:hAnsi="Times New Roman"/>
          <w:sz w:val="24"/>
          <w:szCs w:val="24"/>
          <w:lang w:val="en-US"/>
          <w14:ligatures w14:val="standardContextual"/>
        </w:rPr>
      </w:pPr>
    </w:p>
    <w:tbl>
      <w:tblPr>
        <w:tblStyle w:val="PlainTable31"/>
        <w:tblW w:w="0" w:type="auto"/>
        <w:tblLayout w:type="fixed"/>
        <w:tblLook w:val="0000" w:firstRow="0" w:lastRow="0" w:firstColumn="0" w:lastColumn="0" w:noHBand="0" w:noVBand="0"/>
      </w:tblPr>
      <w:tblGrid>
        <w:gridCol w:w="2508"/>
        <w:gridCol w:w="2000"/>
        <w:gridCol w:w="2000"/>
        <w:gridCol w:w="2000"/>
      </w:tblGrid>
      <w:tr w:rsidR="0069639F" w:rsidRPr="00EC7A31" w14:paraId="39D32859" w14:textId="77777777" w:rsidTr="001111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8" w:type="dxa"/>
          </w:tcPr>
          <w:p w14:paraId="14BE521B" w14:textId="77777777" w:rsidR="0069639F" w:rsidRPr="00EC7A31" w:rsidRDefault="0069639F" w:rsidP="004801FE">
            <w:pPr>
              <w:widowControl w:val="0"/>
              <w:autoSpaceDE w:val="0"/>
              <w:autoSpaceDN w:val="0"/>
              <w:adjustRightInd w:val="0"/>
              <w:jc w:val="both"/>
              <w:rPr>
                <w:rFonts w:ascii="Times New Roman" w:hAnsi="Times New Roman"/>
                <w:lang w:val="en-US"/>
              </w:rPr>
            </w:pPr>
            <w:r w:rsidRPr="00EC7A31">
              <w:rPr>
                <w:rFonts w:ascii="Times New Roman" w:hAnsi="Times New Roman"/>
                <w:lang w:val="en-US"/>
              </w:rPr>
              <w:t xml:space="preserve">Property </w:t>
            </w:r>
          </w:p>
        </w:tc>
        <w:tc>
          <w:tcPr>
            <w:tcW w:w="2000" w:type="dxa"/>
          </w:tcPr>
          <w:p w14:paraId="64609772" w14:textId="77777777" w:rsidR="0069639F" w:rsidRPr="00EC7A31" w:rsidRDefault="0069639F" w:rsidP="004801FE">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EC7A31">
              <w:rPr>
                <w:rFonts w:ascii="Times New Roman" w:hAnsi="Times New Roman"/>
                <w:lang w:val="en-US"/>
              </w:rPr>
              <w:t>154</w:t>
            </w:r>
          </w:p>
        </w:tc>
        <w:tc>
          <w:tcPr>
            <w:cnfStyle w:val="000010000000" w:firstRow="0" w:lastRow="0" w:firstColumn="0" w:lastColumn="0" w:oddVBand="1" w:evenVBand="0" w:oddHBand="0" w:evenHBand="0" w:firstRowFirstColumn="0" w:firstRowLastColumn="0" w:lastRowFirstColumn="0" w:lastRowLastColumn="0"/>
            <w:tcW w:w="2000" w:type="dxa"/>
          </w:tcPr>
          <w:p w14:paraId="689ECEBF" w14:textId="77777777" w:rsidR="0069639F" w:rsidRPr="00EC7A31" w:rsidRDefault="0069639F" w:rsidP="004801FE">
            <w:pPr>
              <w:widowControl w:val="0"/>
              <w:autoSpaceDE w:val="0"/>
              <w:autoSpaceDN w:val="0"/>
              <w:adjustRightInd w:val="0"/>
              <w:jc w:val="both"/>
              <w:rPr>
                <w:rFonts w:ascii="Times New Roman" w:hAnsi="Times New Roman"/>
                <w:lang w:val="en-US"/>
              </w:rPr>
            </w:pPr>
            <w:r w:rsidRPr="00EC7A31">
              <w:rPr>
                <w:rFonts w:ascii="Times New Roman" w:hAnsi="Times New Roman"/>
                <w:lang w:val="en-US"/>
              </w:rPr>
              <w:t xml:space="preserve">   36.490</w:t>
            </w:r>
          </w:p>
        </w:tc>
        <w:tc>
          <w:tcPr>
            <w:tcW w:w="2000" w:type="dxa"/>
          </w:tcPr>
          <w:p w14:paraId="2F6E6987" w14:textId="77777777" w:rsidR="0069639F" w:rsidRPr="00EC7A31" w:rsidRDefault="0069639F" w:rsidP="004801FE">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EC7A31">
              <w:rPr>
                <w:rFonts w:ascii="Times New Roman" w:hAnsi="Times New Roman"/>
                <w:lang w:val="en-US"/>
              </w:rPr>
              <w:t xml:space="preserve">  100.000</w:t>
            </w:r>
          </w:p>
        </w:tc>
      </w:tr>
    </w:tbl>
    <w:p w14:paraId="74BFC308" w14:textId="77777777" w:rsidR="0069639F" w:rsidRPr="00EC7A31" w:rsidRDefault="0069639F" w:rsidP="004801FE">
      <w:pPr>
        <w:widowControl w:val="0"/>
        <w:autoSpaceDE w:val="0"/>
        <w:autoSpaceDN w:val="0"/>
        <w:adjustRightInd w:val="0"/>
        <w:jc w:val="both"/>
        <w:rPr>
          <w:rFonts w:ascii="Times New Roman" w:eastAsia="Aptos" w:hAnsi="Times New Roman"/>
          <w:sz w:val="24"/>
          <w:szCs w:val="24"/>
          <w:lang w:val="en-US"/>
          <w14:ligatures w14:val="standardContextual"/>
        </w:rPr>
      </w:pPr>
    </w:p>
    <w:tbl>
      <w:tblPr>
        <w:tblStyle w:val="PlainTable31"/>
        <w:tblW w:w="0" w:type="auto"/>
        <w:tblLayout w:type="fixed"/>
        <w:tblLook w:val="0000" w:firstRow="0" w:lastRow="0" w:firstColumn="0" w:lastColumn="0" w:noHBand="0" w:noVBand="0"/>
      </w:tblPr>
      <w:tblGrid>
        <w:gridCol w:w="2547"/>
        <w:gridCol w:w="3969"/>
        <w:gridCol w:w="1984"/>
      </w:tblGrid>
      <w:tr w:rsidR="0069639F" w:rsidRPr="00EC7A31" w14:paraId="7ED6A4E2" w14:textId="77777777" w:rsidTr="0011110B">
        <w:trPr>
          <w:cnfStyle w:val="000000100000" w:firstRow="0" w:lastRow="0" w:firstColumn="0" w:lastColumn="0" w:oddVBand="0" w:evenVBand="0" w:oddHBand="1" w:evenHBand="0" w:firstRowFirstColumn="0" w:firstRowLastColumn="0" w:lastRowFirstColumn="0" w:lastRowLastColumn="0"/>
          <w:trHeight w:val="249"/>
        </w:trPr>
        <w:tc>
          <w:tcPr>
            <w:cnfStyle w:val="000010000000" w:firstRow="0" w:lastRow="0" w:firstColumn="0" w:lastColumn="0" w:oddVBand="1" w:evenVBand="0" w:oddHBand="0" w:evenHBand="0" w:firstRowFirstColumn="0" w:firstRowLastColumn="0" w:lastRowFirstColumn="0" w:lastRowLastColumn="0"/>
            <w:tcW w:w="2547" w:type="dxa"/>
          </w:tcPr>
          <w:p w14:paraId="7BAA0EE7" w14:textId="77777777" w:rsidR="0069639F" w:rsidRPr="00EC7A31" w:rsidRDefault="0069639F" w:rsidP="004801FE">
            <w:pPr>
              <w:widowControl w:val="0"/>
              <w:autoSpaceDE w:val="0"/>
              <w:autoSpaceDN w:val="0"/>
              <w:adjustRightInd w:val="0"/>
              <w:jc w:val="both"/>
              <w:rPr>
                <w:rFonts w:ascii="Times New Roman" w:hAnsi="Times New Roman"/>
                <w:lang w:val="en-US"/>
              </w:rPr>
            </w:pPr>
            <w:r w:rsidRPr="00EC7A31">
              <w:rPr>
                <w:rFonts w:ascii="Times New Roman" w:hAnsi="Times New Roman"/>
                <w:lang w:val="en-US"/>
              </w:rPr>
              <w:t xml:space="preserve">Total </w:t>
            </w:r>
          </w:p>
        </w:tc>
        <w:tc>
          <w:tcPr>
            <w:tcW w:w="3969" w:type="dxa"/>
          </w:tcPr>
          <w:p w14:paraId="460A9DA4" w14:textId="77777777" w:rsidR="0069639F" w:rsidRPr="00EC7A31" w:rsidRDefault="0069639F" w:rsidP="004801FE">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EC7A31">
              <w:rPr>
                <w:rFonts w:ascii="Times New Roman" w:hAnsi="Times New Roman"/>
                <w:lang w:val="en-US"/>
              </w:rPr>
              <w:t>422</w:t>
            </w:r>
          </w:p>
        </w:tc>
        <w:tc>
          <w:tcPr>
            <w:cnfStyle w:val="000010000000" w:firstRow="0" w:lastRow="0" w:firstColumn="0" w:lastColumn="0" w:oddVBand="1" w:evenVBand="0" w:oddHBand="0" w:evenHBand="0" w:firstRowFirstColumn="0" w:firstRowLastColumn="0" w:lastRowFirstColumn="0" w:lastRowLastColumn="0"/>
            <w:tcW w:w="1984" w:type="dxa"/>
          </w:tcPr>
          <w:p w14:paraId="204E81CF" w14:textId="77777777" w:rsidR="0069639F" w:rsidRPr="00EC7A31" w:rsidRDefault="0069639F" w:rsidP="004801FE">
            <w:pPr>
              <w:widowControl w:val="0"/>
              <w:autoSpaceDE w:val="0"/>
              <w:autoSpaceDN w:val="0"/>
              <w:adjustRightInd w:val="0"/>
              <w:jc w:val="both"/>
              <w:rPr>
                <w:rFonts w:ascii="Times New Roman" w:hAnsi="Times New Roman"/>
                <w:lang w:val="en-US"/>
              </w:rPr>
            </w:pPr>
            <w:r w:rsidRPr="00EC7A31">
              <w:rPr>
                <w:rFonts w:ascii="Times New Roman" w:hAnsi="Times New Roman"/>
                <w:lang w:val="en-US"/>
              </w:rPr>
              <w:t xml:space="preserve">  100.000</w:t>
            </w:r>
          </w:p>
        </w:tc>
      </w:tr>
    </w:tbl>
    <w:p w14:paraId="0B806545" w14:textId="77777777" w:rsidR="0069639F" w:rsidRPr="00EC7A31" w:rsidRDefault="0069639F" w:rsidP="004801FE">
      <w:pPr>
        <w:widowControl w:val="0"/>
        <w:autoSpaceDE w:val="0"/>
        <w:autoSpaceDN w:val="0"/>
        <w:adjustRightInd w:val="0"/>
        <w:jc w:val="both"/>
        <w:rPr>
          <w:rFonts w:ascii="Times New Roman" w:eastAsia="Aptos" w:hAnsi="Times New Roman"/>
          <w:b/>
          <w:bCs/>
          <w:sz w:val="24"/>
          <w:szCs w:val="24"/>
          <w:lang w:val="en-US"/>
          <w14:ligatures w14:val="standardContextual"/>
        </w:rPr>
      </w:pPr>
    </w:p>
    <w:p w14:paraId="57B9C296" w14:textId="77777777" w:rsidR="0069639F" w:rsidRPr="00EC7A31" w:rsidRDefault="0069639F" w:rsidP="00407E38">
      <w:pPr>
        <w:spacing w:after="160" w:line="360" w:lineRule="auto"/>
        <w:jc w:val="both"/>
        <w:rPr>
          <w:rFonts w:ascii="Times New Roman" w:eastAsia="Aptos" w:hAnsi="Times New Roman"/>
          <w:kern w:val="2"/>
          <w:sz w:val="24"/>
          <w:szCs w:val="24"/>
          <w:lang w:val="en-ZA"/>
          <w14:ligatures w14:val="standardContextual"/>
        </w:rPr>
      </w:pPr>
    </w:p>
    <w:p w14:paraId="0C6AC904" w14:textId="2A153CC5" w:rsidR="0069639F" w:rsidRPr="00EC7A31" w:rsidRDefault="00792313" w:rsidP="00407E38">
      <w:pPr>
        <w:spacing w:after="160" w:line="360" w:lineRule="auto"/>
        <w:jc w:val="both"/>
        <w:rPr>
          <w:rFonts w:ascii="Times New Roman" w:eastAsia="Aptos" w:hAnsi="Times New Roman"/>
          <w:kern w:val="2"/>
          <w:sz w:val="24"/>
          <w:szCs w:val="24"/>
          <w:lang w:val="en-ZA"/>
          <w14:ligatures w14:val="standardContextual"/>
        </w:rPr>
      </w:pPr>
      <w:r w:rsidRPr="00EC7A31">
        <w:rPr>
          <w:rFonts w:ascii="Times New Roman" w:eastAsia="Aptos" w:hAnsi="Times New Roman"/>
          <w:kern w:val="2"/>
          <w:sz w:val="24"/>
          <w:szCs w:val="24"/>
          <w:lang w:val="en-ZA"/>
          <w14:ligatures w14:val="standardContextual"/>
        </w:rPr>
        <w:t>Therefore,</w:t>
      </w:r>
      <w:r w:rsidR="0069639F" w:rsidRPr="00EC7A31">
        <w:rPr>
          <w:rFonts w:ascii="Times New Roman" w:eastAsia="Aptos" w:hAnsi="Times New Roman"/>
          <w:kern w:val="2"/>
          <w:sz w:val="24"/>
          <w:szCs w:val="24"/>
          <w:lang w:val="en-ZA"/>
          <w14:ligatures w14:val="standardContextual"/>
        </w:rPr>
        <w:t xml:space="preserve"> the high incidence of property damage can explain the high propensity to select </w:t>
      </w:r>
      <w:r w:rsidR="0069639F">
        <w:rPr>
          <w:rFonts w:ascii="Times New Roman" w:eastAsia="Aptos" w:hAnsi="Times New Roman"/>
          <w:kern w:val="2"/>
          <w:sz w:val="24"/>
          <w:szCs w:val="24"/>
          <w:lang w:val="en-ZA"/>
          <w14:ligatures w14:val="standardContextual"/>
        </w:rPr>
        <w:t xml:space="preserve">natural hazard </w:t>
      </w:r>
      <w:r w:rsidR="0069639F" w:rsidRPr="00EC7A31">
        <w:rPr>
          <w:rFonts w:ascii="Times New Roman" w:eastAsia="Aptos" w:hAnsi="Times New Roman"/>
          <w:kern w:val="2"/>
          <w:sz w:val="24"/>
          <w:szCs w:val="24"/>
          <w:lang w:val="en-ZA"/>
          <w14:ligatures w14:val="standardContextual"/>
        </w:rPr>
        <w:t>pro</w:t>
      </w:r>
      <w:r w:rsidR="0069639F">
        <w:rPr>
          <w:rFonts w:ascii="Times New Roman" w:eastAsia="Aptos" w:hAnsi="Times New Roman"/>
          <w:kern w:val="2"/>
          <w:sz w:val="24"/>
          <w:szCs w:val="24"/>
          <w:lang w:val="en-ZA"/>
          <w14:ligatures w14:val="standardContextual"/>
        </w:rPr>
        <w:t xml:space="preserve">perty insurance. </w:t>
      </w:r>
      <w:r>
        <w:rPr>
          <w:rFonts w:ascii="Times New Roman" w:eastAsia="Aptos" w:hAnsi="Times New Roman"/>
          <w:kern w:val="2"/>
          <w:sz w:val="24"/>
          <w:szCs w:val="24"/>
          <w:lang w:val="en-ZA"/>
          <w14:ligatures w14:val="standardContextual"/>
        </w:rPr>
        <w:t>T</w:t>
      </w:r>
      <w:r w:rsidR="0069639F">
        <w:rPr>
          <w:rFonts w:ascii="Times New Roman" w:eastAsia="Aptos" w:hAnsi="Times New Roman"/>
          <w:kern w:val="2"/>
          <w:sz w:val="24"/>
          <w:szCs w:val="24"/>
          <w:lang w:val="en-ZA"/>
          <w14:ligatures w14:val="standardContextual"/>
        </w:rPr>
        <w:t xml:space="preserve">he high </w:t>
      </w:r>
      <w:r w:rsidR="0069639F" w:rsidRPr="00EC7A31">
        <w:rPr>
          <w:rFonts w:ascii="Times New Roman" w:eastAsia="Aptos" w:hAnsi="Times New Roman"/>
          <w:kern w:val="2"/>
          <w:sz w:val="24"/>
          <w:szCs w:val="24"/>
          <w:lang w:val="en-ZA"/>
          <w14:ligatures w14:val="standardContextual"/>
        </w:rPr>
        <w:t>health</w:t>
      </w:r>
      <w:r w:rsidR="0069639F">
        <w:rPr>
          <w:rFonts w:ascii="Times New Roman" w:eastAsia="Aptos" w:hAnsi="Times New Roman"/>
          <w:kern w:val="2"/>
          <w:sz w:val="24"/>
          <w:szCs w:val="24"/>
          <w:lang w:val="en-ZA"/>
          <w14:ligatures w14:val="standardContextual"/>
        </w:rPr>
        <w:t xml:space="preserve"> costs </w:t>
      </w:r>
      <w:r w:rsidR="0069639F" w:rsidRPr="00EC7A31">
        <w:rPr>
          <w:rFonts w:ascii="Times New Roman" w:eastAsia="Aptos" w:hAnsi="Times New Roman"/>
          <w:kern w:val="2"/>
          <w:sz w:val="24"/>
          <w:szCs w:val="24"/>
          <w:lang w:val="en-ZA"/>
          <w14:ligatures w14:val="standardContextual"/>
        </w:rPr>
        <w:t>issues caused by the Tornado</w:t>
      </w:r>
      <w:r>
        <w:rPr>
          <w:rFonts w:ascii="Times New Roman" w:eastAsia="Aptos" w:hAnsi="Times New Roman"/>
          <w:kern w:val="2"/>
          <w:sz w:val="24"/>
          <w:szCs w:val="24"/>
          <w:lang w:val="en-ZA"/>
          <w14:ligatures w14:val="standardContextual"/>
        </w:rPr>
        <w:t xml:space="preserve"> can </w:t>
      </w:r>
      <w:r w:rsidR="0069639F" w:rsidRPr="00EC7A31">
        <w:rPr>
          <w:rFonts w:ascii="Times New Roman" w:eastAsia="Aptos" w:hAnsi="Times New Roman"/>
          <w:kern w:val="2"/>
          <w:sz w:val="24"/>
          <w:szCs w:val="24"/>
          <w:lang w:val="en-ZA"/>
          <w14:ligatures w14:val="standardContextual"/>
        </w:rPr>
        <w:t xml:space="preserve"> explaining the performance of health insurance in the choice experiment. </w:t>
      </w:r>
      <w:r w:rsidR="0069639F">
        <w:rPr>
          <w:rFonts w:ascii="Times New Roman" w:eastAsia="Aptos" w:hAnsi="Times New Roman"/>
          <w:kern w:val="2"/>
          <w:sz w:val="24"/>
          <w:szCs w:val="24"/>
          <w:lang w:val="en-ZA"/>
          <w14:ligatures w14:val="standardContextual"/>
        </w:rPr>
        <w:t>The</w:t>
      </w:r>
      <w:r w:rsidR="0069639F" w:rsidRPr="00EC7A31">
        <w:rPr>
          <w:rFonts w:ascii="Times New Roman" w:eastAsia="Aptos" w:hAnsi="Times New Roman"/>
          <w:kern w:val="2"/>
          <w:sz w:val="24"/>
          <w:szCs w:val="24"/>
          <w:lang w:val="en-ZA"/>
          <w14:ligatures w14:val="standardContextual"/>
        </w:rPr>
        <w:t xml:space="preserve"> poor performance of Agriculture insurance in South Africa (Durban</w:t>
      </w:r>
      <w:r w:rsidR="0069639F">
        <w:rPr>
          <w:rFonts w:ascii="Times New Roman" w:eastAsia="Aptos" w:hAnsi="Times New Roman"/>
          <w:kern w:val="2"/>
          <w:sz w:val="24"/>
          <w:szCs w:val="24"/>
          <w:lang w:val="en-ZA"/>
          <w14:ligatures w14:val="standardContextual"/>
        </w:rPr>
        <w:t xml:space="preserve"> Tongaat</w:t>
      </w:r>
      <w:r w:rsidR="0069639F" w:rsidRPr="00EC7A31">
        <w:rPr>
          <w:rFonts w:ascii="Times New Roman" w:eastAsia="Aptos" w:hAnsi="Times New Roman"/>
          <w:kern w:val="2"/>
          <w:sz w:val="24"/>
          <w:szCs w:val="24"/>
          <w:lang w:val="en-ZA"/>
          <w14:ligatures w14:val="standardContextual"/>
        </w:rPr>
        <w:t>) can also be explained by the occupation of the respondents in which only 1.9% of the respondents are involved in farming at both commercial and subsistence farming. However</w:t>
      </w:r>
      <w:r w:rsidR="0069639F">
        <w:rPr>
          <w:rFonts w:ascii="Times New Roman" w:eastAsia="Aptos" w:hAnsi="Times New Roman"/>
          <w:kern w:val="2"/>
          <w:sz w:val="24"/>
          <w:szCs w:val="24"/>
          <w:lang w:val="en-ZA"/>
          <w14:ligatures w14:val="standardContextual"/>
        </w:rPr>
        <w:t>,</w:t>
      </w:r>
      <w:r w:rsidR="0069639F" w:rsidRPr="00EC7A31">
        <w:rPr>
          <w:rFonts w:ascii="Times New Roman" w:eastAsia="Aptos" w:hAnsi="Times New Roman"/>
          <w:kern w:val="2"/>
          <w:sz w:val="24"/>
          <w:szCs w:val="24"/>
          <w:lang w:val="en-ZA"/>
          <w14:ligatures w14:val="standardContextual"/>
        </w:rPr>
        <w:t xml:space="preserve"> it is important to note that Tongaat’s main activity is commercial farming of sugar plantations and manufacturing of sugar which means that agriculture performs badly since one company will be owning the farming and production systems. </w:t>
      </w:r>
    </w:p>
    <w:p w14:paraId="77AE4DBB" w14:textId="77777777" w:rsidR="0069639F" w:rsidRPr="000C3D51" w:rsidRDefault="0069639F" w:rsidP="004801FE">
      <w:pPr>
        <w:widowControl w:val="0"/>
        <w:autoSpaceDE w:val="0"/>
        <w:autoSpaceDN w:val="0"/>
        <w:adjustRightInd w:val="0"/>
        <w:jc w:val="both"/>
        <w:rPr>
          <w:rFonts w:ascii="Times New Roman" w:eastAsia="Aptos" w:hAnsi="Times New Roman"/>
          <w:b/>
          <w:bCs/>
          <w:sz w:val="24"/>
          <w:szCs w:val="24"/>
          <w:lang w:val="en-US"/>
          <w14:ligatures w14:val="standardContextual"/>
        </w:rPr>
      </w:pPr>
    </w:p>
    <w:p w14:paraId="74E8F05F" w14:textId="77777777" w:rsidR="0069639F" w:rsidRPr="000C3D51" w:rsidRDefault="0069639F" w:rsidP="004801FE">
      <w:pPr>
        <w:widowControl w:val="0"/>
        <w:autoSpaceDE w:val="0"/>
        <w:autoSpaceDN w:val="0"/>
        <w:adjustRightInd w:val="0"/>
        <w:jc w:val="both"/>
        <w:rPr>
          <w:rFonts w:ascii="Times New Roman" w:eastAsia="Aptos" w:hAnsi="Times New Roman"/>
          <w:b/>
          <w:bCs/>
          <w:sz w:val="24"/>
          <w:szCs w:val="24"/>
          <w:lang w:val="en-US"/>
          <w14:ligatures w14:val="standardContextual"/>
        </w:rPr>
      </w:pPr>
    </w:p>
    <w:p w14:paraId="275A6D04" w14:textId="2E82BDA7" w:rsidR="0069639F" w:rsidRPr="00FB43F1" w:rsidRDefault="0069639F" w:rsidP="004801FE">
      <w:pPr>
        <w:pStyle w:val="Heading2"/>
        <w:numPr>
          <w:ilvl w:val="0"/>
          <w:numId w:val="2"/>
        </w:numPr>
        <w:rPr>
          <w:rFonts w:ascii="Times New Roman" w:hAnsi="Times New Roman" w:cs="Times New Roman"/>
          <w:sz w:val="24"/>
          <w:szCs w:val="24"/>
        </w:rPr>
      </w:pPr>
      <w:bookmarkStart w:id="17" w:name="_Toc184826400"/>
      <w:bookmarkStart w:id="18" w:name="_Toc187315433"/>
      <w:r w:rsidRPr="00FB43F1">
        <w:rPr>
          <w:rFonts w:ascii="Times New Roman" w:hAnsi="Times New Roman" w:cs="Times New Roman"/>
          <w:sz w:val="24"/>
          <w:szCs w:val="24"/>
        </w:rPr>
        <w:t xml:space="preserve"> Results of the demand for natural hazard insurance in </w:t>
      </w:r>
      <w:r>
        <w:rPr>
          <w:rFonts w:ascii="Times New Roman" w:hAnsi="Times New Roman" w:cs="Times New Roman"/>
          <w:sz w:val="24"/>
          <w:szCs w:val="24"/>
        </w:rPr>
        <w:t xml:space="preserve">Zimbabwe </w:t>
      </w:r>
      <w:r w:rsidR="007A44F5">
        <w:rPr>
          <w:rFonts w:ascii="Times New Roman" w:hAnsi="Times New Roman" w:cs="Times New Roman"/>
          <w:sz w:val="24"/>
          <w:szCs w:val="24"/>
        </w:rPr>
        <w:t xml:space="preserve">a </w:t>
      </w:r>
      <w:r w:rsidR="007A44F5" w:rsidRPr="00FB43F1">
        <w:rPr>
          <w:rFonts w:ascii="Times New Roman" w:hAnsi="Times New Roman" w:cs="Times New Roman"/>
          <w:sz w:val="24"/>
          <w:szCs w:val="24"/>
        </w:rPr>
        <w:t>Choice</w:t>
      </w:r>
      <w:r w:rsidRPr="00FB43F1">
        <w:rPr>
          <w:rFonts w:ascii="Times New Roman" w:hAnsi="Times New Roman" w:cs="Times New Roman"/>
          <w:sz w:val="24"/>
          <w:szCs w:val="24"/>
        </w:rPr>
        <w:t xml:space="preserve"> experiment</w:t>
      </w:r>
      <w:bookmarkEnd w:id="17"/>
      <w:bookmarkEnd w:id="18"/>
      <w:r w:rsidRPr="00FB43F1">
        <w:rPr>
          <w:rFonts w:ascii="Times New Roman" w:hAnsi="Times New Roman" w:cs="Times New Roman"/>
          <w:sz w:val="24"/>
          <w:szCs w:val="24"/>
        </w:rPr>
        <w:t xml:space="preserve"> </w:t>
      </w:r>
    </w:p>
    <w:p w14:paraId="5314F9B6" w14:textId="77777777" w:rsidR="0069639F" w:rsidRPr="00EC7A31" w:rsidRDefault="0069639F" w:rsidP="004801FE">
      <w:pPr>
        <w:widowControl w:val="0"/>
        <w:autoSpaceDE w:val="0"/>
        <w:autoSpaceDN w:val="0"/>
        <w:adjustRightInd w:val="0"/>
        <w:jc w:val="both"/>
        <w:rPr>
          <w:rFonts w:ascii="Times New Roman" w:eastAsia="Aptos" w:hAnsi="Times New Roman"/>
          <w:bCs/>
          <w:color w:val="FF0000"/>
          <w:sz w:val="24"/>
          <w:szCs w:val="24"/>
          <w:lang w:val="en-US"/>
          <w14:ligatures w14:val="standardContextual"/>
        </w:rPr>
      </w:pPr>
    </w:p>
    <w:p w14:paraId="3784E16B" w14:textId="1E2CCD15" w:rsidR="0069639F" w:rsidRPr="007A44F5" w:rsidRDefault="0069639F" w:rsidP="00407E38">
      <w:pPr>
        <w:widowControl w:val="0"/>
        <w:autoSpaceDE w:val="0"/>
        <w:autoSpaceDN w:val="0"/>
        <w:adjustRightInd w:val="0"/>
        <w:spacing w:line="360" w:lineRule="auto"/>
        <w:jc w:val="both"/>
        <w:rPr>
          <w:rFonts w:ascii="Times New Roman" w:eastAsia="Aptos" w:hAnsi="Times New Roman"/>
          <w:sz w:val="24"/>
          <w:szCs w:val="24"/>
          <w:lang w:val="en-US"/>
        </w:rPr>
      </w:pPr>
      <w:r w:rsidRPr="00890257">
        <w:rPr>
          <w:rFonts w:ascii="Times New Roman" w:eastAsia="Aptos" w:hAnsi="Times New Roman"/>
          <w:bCs/>
          <w:sz w:val="24"/>
          <w:szCs w:val="24"/>
          <w:lang w:val="en-US"/>
          <w14:ligatures w14:val="standardContextual"/>
        </w:rPr>
        <w:t xml:space="preserve"> The nega</w:t>
      </w:r>
      <w:r>
        <w:rPr>
          <w:rFonts w:ascii="Times New Roman" w:eastAsia="Aptos" w:hAnsi="Times New Roman"/>
          <w:bCs/>
          <w:sz w:val="24"/>
          <w:szCs w:val="24"/>
          <w:lang w:val="en-US"/>
          <w14:ligatures w14:val="standardContextual"/>
        </w:rPr>
        <w:t>tive results</w:t>
      </w:r>
      <w:r w:rsidR="007A44F5">
        <w:rPr>
          <w:rFonts w:ascii="Times New Roman" w:eastAsia="Aptos" w:hAnsi="Times New Roman"/>
          <w:bCs/>
          <w:sz w:val="24"/>
          <w:szCs w:val="24"/>
          <w:lang w:val="en-US"/>
          <w14:ligatures w14:val="standardContextual"/>
        </w:rPr>
        <w:t xml:space="preserve"> in the</w:t>
      </w:r>
      <w:r w:rsidRPr="00890257">
        <w:rPr>
          <w:rFonts w:ascii="Times New Roman" w:eastAsia="Aptos" w:hAnsi="Times New Roman"/>
          <w:bCs/>
          <w:sz w:val="24"/>
          <w:szCs w:val="24"/>
          <w:lang w:val="en-US"/>
          <w14:ligatures w14:val="standardContextual"/>
        </w:rPr>
        <w:t xml:space="preserve"> variable ASC show the strong rejection of the status quo by the respondents in </w:t>
      </w:r>
      <w:r w:rsidR="00792313">
        <w:rPr>
          <w:rFonts w:ascii="Times New Roman" w:eastAsia="Aptos" w:hAnsi="Times New Roman"/>
          <w:bCs/>
          <w:sz w:val="24"/>
          <w:szCs w:val="24"/>
          <w:lang w:val="en-US"/>
          <w14:ligatures w14:val="standardContextual"/>
        </w:rPr>
        <w:t>Zimbabwe</w:t>
      </w:r>
      <w:r w:rsidRPr="00890257">
        <w:rPr>
          <w:rFonts w:ascii="Times New Roman" w:eastAsia="Aptos" w:hAnsi="Times New Roman"/>
          <w:bCs/>
          <w:sz w:val="24"/>
          <w:szCs w:val="24"/>
          <w:lang w:val="en-US"/>
          <w14:ligatures w14:val="standardContextual"/>
        </w:rPr>
        <w:t xml:space="preserve">. </w:t>
      </w:r>
      <w:r>
        <w:rPr>
          <w:rFonts w:ascii="Times New Roman" w:eastAsia="Aptos" w:hAnsi="Times New Roman"/>
          <w:bCs/>
          <w:sz w:val="24"/>
          <w:szCs w:val="24"/>
          <w:lang w:val="en-US"/>
          <w14:ligatures w14:val="standardContextual"/>
        </w:rPr>
        <w:t xml:space="preserve"> The status quo is the position of not having insurance</w:t>
      </w:r>
      <w:r w:rsidR="007A44F5">
        <w:rPr>
          <w:rFonts w:ascii="Times New Roman" w:eastAsia="Aptos" w:hAnsi="Times New Roman"/>
          <w:bCs/>
          <w:sz w:val="24"/>
          <w:szCs w:val="24"/>
          <w:lang w:val="en-US"/>
          <w14:ligatures w14:val="standardContextual"/>
        </w:rPr>
        <w:t xml:space="preserve"> and the insignificance can  be derived from the fact the those that were affected were relocated to places of less natural hazard risk </w:t>
      </w:r>
      <w:r>
        <w:rPr>
          <w:rFonts w:ascii="Times New Roman" w:eastAsia="Aptos" w:hAnsi="Times New Roman"/>
          <w:bCs/>
          <w:sz w:val="24"/>
          <w:szCs w:val="24"/>
          <w:lang w:val="en-US"/>
          <w14:ligatures w14:val="standardContextual"/>
        </w:rPr>
        <w:t>.</w:t>
      </w:r>
      <w:r w:rsidRPr="00264975">
        <w:rPr>
          <w:rFonts w:ascii="Times New Roman" w:eastAsia="Aptos" w:hAnsi="Times New Roman"/>
          <w:sz w:val="24"/>
          <w:szCs w:val="24"/>
          <w:lang w:val="en-US"/>
        </w:rPr>
        <w:t xml:space="preserve"> </w:t>
      </w:r>
      <w:r w:rsidR="007A44F5">
        <w:rPr>
          <w:rFonts w:ascii="Times New Roman" w:eastAsia="Aptos" w:hAnsi="Times New Roman"/>
          <w:sz w:val="24"/>
          <w:szCs w:val="24"/>
          <w:lang w:val="en-US"/>
        </w:rPr>
        <w:t xml:space="preserve"> </w:t>
      </w:r>
      <w:r w:rsidRPr="00264975">
        <w:rPr>
          <w:rFonts w:ascii="Times New Roman" w:eastAsia="Aptos" w:hAnsi="Times New Roman"/>
          <w:sz w:val="24"/>
          <w:szCs w:val="24"/>
          <w:lang w:val="en-US"/>
        </w:rPr>
        <w:t xml:space="preserve">The results from the choice sets and alternative-specific variables show a positive and significant factor in the maximum payout in Table </w:t>
      </w:r>
      <w:r w:rsidR="007A44F5">
        <w:rPr>
          <w:rFonts w:ascii="Times New Roman" w:eastAsia="Aptos" w:hAnsi="Times New Roman"/>
          <w:sz w:val="24"/>
          <w:szCs w:val="24"/>
          <w:lang w:val="en-US"/>
        </w:rPr>
        <w:t>4</w:t>
      </w:r>
      <w:r w:rsidRPr="00264975">
        <w:rPr>
          <w:rFonts w:ascii="Times New Roman" w:eastAsia="Aptos" w:hAnsi="Times New Roman"/>
          <w:sz w:val="24"/>
          <w:szCs w:val="24"/>
          <w:lang w:val="en-US"/>
        </w:rPr>
        <w:t xml:space="preserve"> below. The positive and significant maximum payout explains that the probability of the community buying natural hazard insurance increases with an increase in the maximum payout. This goes in line with the priory expectation because in Zimbabwe there are high levels of inflation in the country as explained by the KPMG report (2019) that describes the impact of inflation in Zimbabwe’s insurance sector.  </w:t>
      </w:r>
      <w:r w:rsidR="007A44F5" w:rsidRPr="00264975">
        <w:rPr>
          <w:rFonts w:ascii="Times New Roman" w:eastAsia="Aptos" w:hAnsi="Times New Roman"/>
          <w:sz w:val="24"/>
          <w:szCs w:val="24"/>
          <w:lang w:val="en-US"/>
        </w:rPr>
        <w:t>Therefore,</w:t>
      </w:r>
      <w:r w:rsidRPr="00264975">
        <w:rPr>
          <w:rFonts w:ascii="Times New Roman" w:eastAsia="Aptos" w:hAnsi="Times New Roman"/>
          <w:sz w:val="24"/>
          <w:szCs w:val="24"/>
          <w:lang w:val="en-US"/>
        </w:rPr>
        <w:t xml:space="preserve"> to cover for inflationary risks the results show that a higher maximum payout is preferred.</w:t>
      </w:r>
      <w:r w:rsidR="007A44F5">
        <w:rPr>
          <w:rFonts w:ascii="Times New Roman" w:eastAsia="Aptos" w:hAnsi="Times New Roman"/>
          <w:sz w:val="24"/>
          <w:szCs w:val="24"/>
          <w:lang w:val="en-US"/>
        </w:rPr>
        <w:t xml:space="preserve"> T</w:t>
      </w:r>
      <w:r w:rsidRPr="00264975">
        <w:rPr>
          <w:rFonts w:ascii="Times New Roman" w:eastAsia="Aptos" w:hAnsi="Times New Roman"/>
          <w:sz w:val="24"/>
          <w:szCs w:val="24"/>
          <w:lang w:val="en-US"/>
        </w:rPr>
        <w:t>hose who were not willing to purchase insurance, they explained that it’s because of the financial systems that do not guarantee the value of the currency and higher payout can assist cover for such uncertainties for example on the 27</w:t>
      </w:r>
      <w:r w:rsidRPr="00264975">
        <w:rPr>
          <w:rFonts w:ascii="Times New Roman" w:eastAsia="Aptos" w:hAnsi="Times New Roman"/>
          <w:sz w:val="24"/>
          <w:szCs w:val="24"/>
          <w:vertAlign w:val="superscript"/>
          <w:lang w:val="en-US"/>
        </w:rPr>
        <w:t>th</w:t>
      </w:r>
      <w:r w:rsidRPr="00264975">
        <w:rPr>
          <w:rFonts w:ascii="Times New Roman" w:eastAsia="Aptos" w:hAnsi="Times New Roman"/>
          <w:sz w:val="24"/>
          <w:szCs w:val="24"/>
          <w:lang w:val="en-US"/>
        </w:rPr>
        <w:t xml:space="preserve"> of September 2024 the government devalued its local currency by 40% (Reserve Bank of Zimbabwe Mid-term policy review, 2024).</w:t>
      </w:r>
    </w:p>
    <w:p w14:paraId="7FC899A3" w14:textId="77777777" w:rsidR="0069639F" w:rsidRPr="00E43114" w:rsidRDefault="0069639F" w:rsidP="00407E38">
      <w:pPr>
        <w:spacing w:line="360" w:lineRule="auto"/>
        <w:jc w:val="both"/>
        <w:rPr>
          <w:rFonts w:eastAsia="Aptos"/>
          <w:lang w:val="en-US"/>
        </w:rPr>
      </w:pPr>
    </w:p>
    <w:p w14:paraId="4DBB0544" w14:textId="1EAC94BF" w:rsidR="0069639F" w:rsidRDefault="0069639F" w:rsidP="00407E38">
      <w:pPr>
        <w:widowControl w:val="0"/>
        <w:autoSpaceDE w:val="0"/>
        <w:autoSpaceDN w:val="0"/>
        <w:adjustRightInd w:val="0"/>
        <w:spacing w:line="360" w:lineRule="auto"/>
        <w:jc w:val="both"/>
        <w:rPr>
          <w:rFonts w:ascii="Times New Roman" w:eastAsia="Aptos" w:hAnsi="Times New Roman"/>
          <w:bCs/>
          <w:sz w:val="24"/>
          <w:szCs w:val="24"/>
          <w:lang w:val="en-US"/>
          <w14:ligatures w14:val="standardContextual"/>
        </w:rPr>
      </w:pPr>
      <w:r w:rsidRPr="00EC7A31">
        <w:rPr>
          <w:rFonts w:ascii="Times New Roman" w:eastAsia="Aptos" w:hAnsi="Times New Roman"/>
          <w:bCs/>
          <w:sz w:val="24"/>
          <w:szCs w:val="24"/>
          <w:lang w:val="en-US"/>
          <w14:ligatures w14:val="standardContextual"/>
        </w:rPr>
        <w:t>The results of the study also show a negative and significant sign on premium of the natural disaster insurance scheme being selected based. The result means that indiv</w:t>
      </w:r>
      <w:r>
        <w:rPr>
          <w:rFonts w:ascii="Times New Roman" w:eastAsia="Aptos" w:hAnsi="Times New Roman"/>
          <w:bCs/>
          <w:sz w:val="24"/>
          <w:szCs w:val="24"/>
          <w:lang w:val="en-US"/>
          <w14:ligatures w14:val="standardContextual"/>
        </w:rPr>
        <w:t>iduals are more likely to purchase natural hazard insurance schemes with low premium charges</w:t>
      </w:r>
      <w:r w:rsidRPr="00EC7A31">
        <w:rPr>
          <w:rFonts w:ascii="Times New Roman" w:eastAsia="Aptos" w:hAnsi="Times New Roman"/>
          <w:bCs/>
          <w:sz w:val="24"/>
          <w:szCs w:val="24"/>
          <w:lang w:val="en-US"/>
          <w14:ligatures w14:val="standardContextual"/>
        </w:rPr>
        <w:t xml:space="preserve"> when compared </w:t>
      </w:r>
      <w:r w:rsidRPr="00EC7A31">
        <w:rPr>
          <w:rFonts w:ascii="Times New Roman" w:eastAsia="Aptos" w:hAnsi="Times New Roman"/>
          <w:bCs/>
          <w:sz w:val="24"/>
          <w:szCs w:val="24"/>
          <w:lang w:val="en-US"/>
          <w14:ligatures w14:val="standardContextual"/>
        </w:rPr>
        <w:lastRenderedPageBreak/>
        <w:t xml:space="preserve">to high premium which is in line with the law of insurance demand as explained in </w:t>
      </w:r>
      <w:proofErr w:type="spellStart"/>
      <w:r w:rsidRPr="00EC7A31">
        <w:rPr>
          <w:rFonts w:ascii="Times New Roman" w:eastAsia="Aptos" w:hAnsi="Times New Roman"/>
          <w:bCs/>
          <w:sz w:val="24"/>
          <w:szCs w:val="24"/>
          <w:lang w:val="en-US"/>
          <w14:ligatures w14:val="standardContextual"/>
        </w:rPr>
        <w:t>Tsiboe</w:t>
      </w:r>
      <w:proofErr w:type="spellEnd"/>
      <w:r w:rsidRPr="00EC7A31">
        <w:rPr>
          <w:rFonts w:ascii="Times New Roman" w:eastAsia="Aptos" w:hAnsi="Times New Roman"/>
          <w:bCs/>
          <w:sz w:val="24"/>
          <w:szCs w:val="24"/>
          <w:lang w:val="en-US"/>
          <w14:ligatures w14:val="standardContextual"/>
        </w:rPr>
        <w:t xml:space="preserve"> &amp;Turner (2023). Secondly given the </w:t>
      </w:r>
      <w:r>
        <w:rPr>
          <w:rFonts w:ascii="Times New Roman" w:eastAsia="Aptos" w:hAnsi="Times New Roman"/>
          <w:bCs/>
          <w:sz w:val="24"/>
          <w:szCs w:val="24"/>
          <w:lang w:val="en-US"/>
          <w14:ligatures w14:val="standardContextual"/>
        </w:rPr>
        <w:t xml:space="preserve">low </w:t>
      </w:r>
      <w:r w:rsidRPr="00EC7A31">
        <w:rPr>
          <w:rFonts w:ascii="Times New Roman" w:eastAsia="Aptos" w:hAnsi="Times New Roman"/>
          <w:bCs/>
          <w:sz w:val="24"/>
          <w:szCs w:val="24"/>
          <w:lang w:val="en-US"/>
          <w14:ligatures w14:val="standardContextual"/>
        </w:rPr>
        <w:t xml:space="preserve">levels of income  in </w:t>
      </w:r>
      <w:r w:rsidR="007A44F5">
        <w:rPr>
          <w:rFonts w:ascii="Times New Roman" w:eastAsia="Aptos" w:hAnsi="Times New Roman"/>
          <w:bCs/>
          <w:sz w:val="24"/>
          <w:szCs w:val="24"/>
          <w:lang w:val="en-US"/>
          <w14:ligatures w14:val="standardContextual"/>
        </w:rPr>
        <w:t xml:space="preserve">Zimbabwe and South Africa , </w:t>
      </w:r>
      <w:r w:rsidRPr="00EC7A31">
        <w:rPr>
          <w:rFonts w:ascii="Times New Roman" w:eastAsia="Aptos" w:hAnsi="Times New Roman"/>
          <w:bCs/>
          <w:sz w:val="24"/>
          <w:szCs w:val="24"/>
          <w:lang w:val="en-US"/>
          <w14:ligatures w14:val="standardContextual"/>
        </w:rPr>
        <w:t xml:space="preserve"> this can lead to </w:t>
      </w:r>
      <w:r>
        <w:rPr>
          <w:rFonts w:ascii="Times New Roman" w:eastAsia="Aptos" w:hAnsi="Times New Roman"/>
          <w:bCs/>
          <w:sz w:val="24"/>
          <w:szCs w:val="24"/>
          <w:lang w:val="en-US"/>
          <w14:ligatures w14:val="standardContextual"/>
        </w:rPr>
        <w:t xml:space="preserve">a </w:t>
      </w:r>
      <w:r w:rsidRPr="00EC7A31">
        <w:rPr>
          <w:rFonts w:ascii="Times New Roman" w:eastAsia="Aptos" w:hAnsi="Times New Roman"/>
          <w:bCs/>
          <w:sz w:val="24"/>
          <w:szCs w:val="24"/>
          <w:lang w:val="en-US"/>
          <w14:ligatures w14:val="standardContextual"/>
        </w:rPr>
        <w:t xml:space="preserve">high demand of low premium insurance products The results in </w:t>
      </w:r>
      <w:r>
        <w:rPr>
          <w:rFonts w:ascii="Times New Roman" w:eastAsia="Aptos" w:hAnsi="Times New Roman"/>
          <w:bCs/>
          <w:sz w:val="24"/>
          <w:szCs w:val="24"/>
          <w:lang w:val="en-US"/>
          <w14:ligatures w14:val="standardContextual"/>
        </w:rPr>
        <w:t>Table</w:t>
      </w:r>
      <w:r w:rsidRPr="00EC7A31">
        <w:rPr>
          <w:rFonts w:ascii="Times New Roman" w:eastAsia="Aptos" w:hAnsi="Times New Roman"/>
          <w:bCs/>
          <w:sz w:val="24"/>
          <w:szCs w:val="24"/>
          <w:lang w:val="en-US"/>
          <w14:ligatures w14:val="standardContextual"/>
        </w:rPr>
        <w:t xml:space="preserve"> </w:t>
      </w:r>
      <w:r w:rsidR="007A44F5">
        <w:rPr>
          <w:rFonts w:ascii="Times New Roman" w:eastAsia="Aptos" w:hAnsi="Times New Roman"/>
          <w:bCs/>
          <w:sz w:val="24"/>
          <w:szCs w:val="24"/>
          <w:lang w:val="en-US"/>
          <w14:ligatures w14:val="standardContextual"/>
        </w:rPr>
        <w:t xml:space="preserve">4 </w:t>
      </w:r>
      <w:r w:rsidRPr="00EC7A31">
        <w:rPr>
          <w:rFonts w:ascii="Times New Roman" w:eastAsia="Aptos" w:hAnsi="Times New Roman"/>
          <w:bCs/>
          <w:sz w:val="24"/>
          <w:szCs w:val="24"/>
          <w:lang w:val="en-US"/>
          <w14:ligatures w14:val="standardContextual"/>
        </w:rPr>
        <w:t xml:space="preserve">below also show a positive and significant sign of transparency which indicates that the respondents are more likely to select an insurance that provides a transparent payout system with updates. This result was also found in the study by </w:t>
      </w:r>
      <w:r w:rsidRPr="00EC7A31">
        <w:rPr>
          <w:rFonts w:ascii="Times New Roman" w:hAnsi="Times New Roman"/>
          <w:sz w:val="24"/>
          <w:szCs w:val="24"/>
        </w:rPr>
        <w:fldChar w:fldCharType="begin" w:fldLock="1"/>
      </w:r>
      <w:r w:rsidRPr="00EC7A31">
        <w:rPr>
          <w:rFonts w:ascii="Times New Roman" w:hAnsi="Times New Roman"/>
          <w:sz w:val="24"/>
          <w:szCs w:val="24"/>
        </w:rPr>
        <w:instrText>ADDIN CSL_CITATION {"citationItems":[{"id":"ITEM-1","itemData":{"abstract":"El presente estudio de caso fue realizado en la empresa de Autotransportes “Ticket Center” en la Cd. de Delicias, Chihuahua, la cual ofrece servicios tales como, la venta de boletos a diferentes destinos de la Unión Americana, asesoría para el trámite de visa láser, traslado al consulado Americano en Cd. Juárez. El objetivo del estudio de caso fue implementar el Programa de Calidad Moderniza, que es avalado por la Secretaría de Turismo, esto con la finalidad de introducir a la compañía a un proceso de formalización y profesionalización necesario para incrementar las posibilidades de permanencia y crecimiento en un mercado cada vez más competitivo. Para lograr lo anterior se realizó un curso de capacitación para personal administrativo y operativo con la finalidad de que conocieran las herramientas que permitieron un mejor desempeño tanto personal como colectivo, además se condujo una Planeación Estratégica que tuvo como resultado la formulación de la misión, valores y política de calidad. Otro resultado trascendente es la elaboración del Manual de Calidad, indispensable para obtener la acreditación conocida como el distintivo “M”, el cual fue entregado por el Secretario de Desarrollo Comercial y Turístico del Gobierno de Estado de Chihuahua.Desde su implementación se tiene un control para el cumplimiento de las metas trazadas de manera objetiva y cuantificable a través de los indicadores más trascendentes para el mejoramiento del desempeño de la empresa como los son: incremento de sus utilidades, la satisfacción de sus clientes y productividad.","author":[{"dropping-particle":"","family":"Vikram","given":"Patil","non-dropping-particle":"","parse-names":false,"suffix":""},{"dropping-particle":"","family":"Prakashan Chellattan","given":"Veettil","non-dropping-particle":"","parse-names":false,"suffix":""},{"dropping-particle":"","family":"Yashodha","given":"Yashodha","non-dropping-particle":"","parse-names":false,"suffix":""}],"container-title":"Journal of Gender, Agriculture and Food Security","id":"ITEM-1","issue":"3","issued":{"date-parts":[["2018"]]},"page":"1-22","title":"Understanding farmers' low uptake of crop insurance in India: A discrete choice experiment approach","type":"article-journal","volume":"1"},"uris":["http://www.mendeley.com/documents/?uuid=cf5006ca-61f2-40ca-8420-86ad11ca6c04"]}],"mendeley":{"formattedCitation":"(Vikram et al., 2018)","plainTextFormattedCitation":"(Vikram et al., 2018)","previouslyFormattedCitation":"(Vikram et al., 2018)"},"properties":{"noteIndex":0},"schema":"https://github.com/citation-style-language/schema/raw/master/csl-citation.json"}</w:instrText>
      </w:r>
      <w:r w:rsidRPr="00EC7A31">
        <w:rPr>
          <w:rFonts w:ascii="Times New Roman" w:hAnsi="Times New Roman"/>
          <w:sz w:val="24"/>
          <w:szCs w:val="24"/>
        </w:rPr>
        <w:fldChar w:fldCharType="separate"/>
      </w:r>
      <w:r w:rsidRPr="00EC7A31">
        <w:rPr>
          <w:rFonts w:ascii="Times New Roman" w:hAnsi="Times New Roman"/>
          <w:noProof/>
          <w:sz w:val="24"/>
          <w:szCs w:val="24"/>
        </w:rPr>
        <w:t>(Vikram et al., 2018)</w:t>
      </w:r>
      <w:r w:rsidRPr="00EC7A31">
        <w:rPr>
          <w:rFonts w:ascii="Times New Roman" w:hAnsi="Times New Roman"/>
          <w:sz w:val="24"/>
          <w:szCs w:val="24"/>
        </w:rPr>
        <w:fldChar w:fldCharType="end"/>
      </w:r>
      <w:r w:rsidRPr="00EC7A31">
        <w:rPr>
          <w:rFonts w:ascii="Times New Roman" w:hAnsi="Times New Roman"/>
          <w:sz w:val="24"/>
          <w:szCs w:val="24"/>
        </w:rPr>
        <w:t xml:space="preserve"> </w:t>
      </w:r>
      <w:r w:rsidRPr="00EC7A31">
        <w:rPr>
          <w:rFonts w:ascii="Times New Roman" w:eastAsia="Aptos" w:hAnsi="Times New Roman"/>
          <w:bCs/>
          <w:sz w:val="24"/>
          <w:szCs w:val="24"/>
          <w:lang w:val="en-US"/>
          <w14:ligatures w14:val="standardContextual"/>
        </w:rPr>
        <w:t xml:space="preserve"> in which </w:t>
      </w:r>
      <w:r>
        <w:rPr>
          <w:rFonts w:ascii="Times New Roman" w:eastAsia="Aptos" w:hAnsi="Times New Roman"/>
          <w:bCs/>
          <w:sz w:val="24"/>
          <w:szCs w:val="24"/>
          <w:lang w:val="en-US"/>
          <w14:ligatures w14:val="standardContextual"/>
        </w:rPr>
        <w:t>t</w:t>
      </w:r>
      <w:r w:rsidRPr="00EC7A31">
        <w:rPr>
          <w:rFonts w:ascii="Times New Roman" w:eastAsia="Aptos" w:hAnsi="Times New Roman"/>
          <w:bCs/>
          <w:sz w:val="24"/>
          <w:szCs w:val="24"/>
          <w:lang w:val="en-US"/>
          <w14:ligatures w14:val="standardContextual"/>
        </w:rPr>
        <w:t xml:space="preserve">he respondents in India </w:t>
      </w:r>
      <w:r>
        <w:rPr>
          <w:rFonts w:ascii="Times New Roman" w:eastAsia="Aptos" w:hAnsi="Times New Roman"/>
          <w:bCs/>
          <w:sz w:val="24"/>
          <w:szCs w:val="24"/>
          <w:lang w:val="en-US"/>
          <w14:ligatures w14:val="standardContextual"/>
        </w:rPr>
        <w:t>were</w:t>
      </w:r>
      <w:r w:rsidRPr="00EC7A31">
        <w:rPr>
          <w:rFonts w:ascii="Times New Roman" w:eastAsia="Aptos" w:hAnsi="Times New Roman"/>
          <w:bCs/>
          <w:sz w:val="24"/>
          <w:szCs w:val="24"/>
          <w:lang w:val="en-US"/>
          <w14:ligatures w14:val="standardContextual"/>
        </w:rPr>
        <w:t xml:space="preserve"> willing to pay a</w:t>
      </w:r>
      <w:r>
        <w:rPr>
          <w:rFonts w:ascii="Times New Roman" w:eastAsia="Aptos" w:hAnsi="Times New Roman"/>
          <w:bCs/>
          <w:sz w:val="24"/>
          <w:szCs w:val="24"/>
          <w:lang w:val="en-US"/>
          <w14:ligatures w14:val="standardContextual"/>
        </w:rPr>
        <w:t xml:space="preserve">n extra </w:t>
      </w:r>
      <w:r w:rsidRPr="00EC7A31">
        <w:rPr>
          <w:rFonts w:ascii="Times New Roman" w:eastAsia="Aptos" w:hAnsi="Times New Roman"/>
          <w:bCs/>
          <w:sz w:val="24"/>
          <w:szCs w:val="24"/>
          <w:lang w:val="en-US"/>
          <w14:ligatures w14:val="standardContextual"/>
        </w:rPr>
        <w:t xml:space="preserve"> premium for transparency to be enhanced </w:t>
      </w:r>
    </w:p>
    <w:p w14:paraId="1AC5CFB5" w14:textId="77777777" w:rsidR="0069639F" w:rsidRPr="00EC7A31" w:rsidRDefault="0069639F" w:rsidP="00407E38">
      <w:pPr>
        <w:widowControl w:val="0"/>
        <w:autoSpaceDE w:val="0"/>
        <w:autoSpaceDN w:val="0"/>
        <w:adjustRightInd w:val="0"/>
        <w:spacing w:line="360" w:lineRule="auto"/>
        <w:jc w:val="both"/>
        <w:rPr>
          <w:rFonts w:ascii="Times New Roman" w:eastAsia="Aptos" w:hAnsi="Times New Roman"/>
          <w:bCs/>
          <w:sz w:val="24"/>
          <w:szCs w:val="24"/>
          <w:lang w:val="en-US"/>
          <w14:ligatures w14:val="standardContextual"/>
        </w:rPr>
      </w:pPr>
    </w:p>
    <w:p w14:paraId="31BE099A" w14:textId="4471281D" w:rsidR="0069639F" w:rsidRDefault="0069639F" w:rsidP="00407E38">
      <w:pPr>
        <w:widowControl w:val="0"/>
        <w:autoSpaceDE w:val="0"/>
        <w:autoSpaceDN w:val="0"/>
        <w:adjustRightInd w:val="0"/>
        <w:spacing w:line="360" w:lineRule="auto"/>
        <w:jc w:val="both"/>
        <w:rPr>
          <w:rFonts w:ascii="Times New Roman" w:eastAsia="Aptos" w:hAnsi="Times New Roman"/>
          <w:bCs/>
          <w:sz w:val="24"/>
          <w:szCs w:val="24"/>
          <w:lang w:val="en-US"/>
          <w14:ligatures w14:val="standardContextual"/>
        </w:rPr>
      </w:pPr>
      <w:r w:rsidRPr="00EC7A31">
        <w:rPr>
          <w:rFonts w:ascii="Times New Roman" w:eastAsia="Aptos" w:hAnsi="Times New Roman"/>
          <w:bCs/>
          <w:sz w:val="24"/>
          <w:szCs w:val="24"/>
          <w:lang w:val="en-US"/>
          <w14:ligatures w14:val="standardContextual"/>
        </w:rPr>
        <w:t xml:space="preserve">The negative and significant signs on the </w:t>
      </w:r>
      <w:r>
        <w:rPr>
          <w:rFonts w:ascii="Times New Roman" w:eastAsia="Aptos" w:hAnsi="Times New Roman"/>
          <w:bCs/>
          <w:sz w:val="24"/>
          <w:szCs w:val="24"/>
          <w:lang w:val="en-US"/>
          <w14:ligatures w14:val="standardContextual"/>
        </w:rPr>
        <w:t>period</w:t>
      </w:r>
      <w:r w:rsidRPr="00EC7A31">
        <w:rPr>
          <w:rFonts w:ascii="Times New Roman" w:eastAsia="Aptos" w:hAnsi="Times New Roman"/>
          <w:bCs/>
          <w:sz w:val="24"/>
          <w:szCs w:val="24"/>
          <w:lang w:val="en-US"/>
          <w14:ligatures w14:val="standardContextual"/>
        </w:rPr>
        <w:t xml:space="preserve"> show that the respondents are less likely to choose an insurance scheme that has a long payout period of either 6- or </w:t>
      </w:r>
      <w:r>
        <w:rPr>
          <w:rFonts w:ascii="Times New Roman" w:eastAsia="Aptos" w:hAnsi="Times New Roman"/>
          <w:bCs/>
          <w:sz w:val="24"/>
          <w:szCs w:val="24"/>
          <w:lang w:val="en-US"/>
          <w14:ligatures w14:val="standardContextual"/>
        </w:rPr>
        <w:t>12-week</w:t>
      </w:r>
      <w:r w:rsidRPr="00EC7A31">
        <w:rPr>
          <w:rFonts w:ascii="Times New Roman" w:eastAsia="Aptos" w:hAnsi="Times New Roman"/>
          <w:bCs/>
          <w:sz w:val="24"/>
          <w:szCs w:val="24"/>
          <w:lang w:val="en-US"/>
          <w14:ligatures w14:val="standardContextual"/>
        </w:rPr>
        <w:t xml:space="preserve"> payout period when compared to three weeks</w:t>
      </w:r>
      <w:r>
        <w:rPr>
          <w:rFonts w:ascii="Times New Roman" w:eastAsia="Aptos" w:hAnsi="Times New Roman"/>
          <w:bCs/>
          <w:sz w:val="24"/>
          <w:szCs w:val="24"/>
          <w:lang w:val="en-US"/>
          <w14:ligatures w14:val="standardContextual"/>
        </w:rPr>
        <w:t xml:space="preserve"> this result was also found in (</w:t>
      </w:r>
      <w:proofErr w:type="spellStart"/>
      <w:r>
        <w:rPr>
          <w:rFonts w:ascii="Times New Roman" w:eastAsia="Aptos" w:hAnsi="Times New Roman"/>
          <w:bCs/>
          <w:sz w:val="24"/>
          <w:szCs w:val="24"/>
          <w:lang w:val="en-US"/>
          <w14:ligatures w14:val="standardContextual"/>
        </w:rPr>
        <w:t>Virkram</w:t>
      </w:r>
      <w:proofErr w:type="spellEnd"/>
      <w:r>
        <w:rPr>
          <w:rFonts w:ascii="Times New Roman" w:eastAsia="Aptos" w:hAnsi="Times New Roman"/>
          <w:bCs/>
          <w:sz w:val="24"/>
          <w:szCs w:val="24"/>
          <w:lang w:val="en-US"/>
          <w14:ligatures w14:val="standardContextual"/>
        </w:rPr>
        <w:t xml:space="preserve"> et al .,2018)</w:t>
      </w:r>
      <w:r w:rsidRPr="00EC7A31">
        <w:rPr>
          <w:rFonts w:ascii="Times New Roman" w:eastAsia="Aptos" w:hAnsi="Times New Roman"/>
          <w:bCs/>
          <w:sz w:val="24"/>
          <w:szCs w:val="24"/>
          <w:lang w:val="en-US"/>
          <w14:ligatures w14:val="standardContextual"/>
        </w:rPr>
        <w:t xml:space="preserve">. The results </w:t>
      </w:r>
      <w:r>
        <w:rPr>
          <w:rFonts w:ascii="Times New Roman" w:eastAsia="Aptos" w:hAnsi="Times New Roman"/>
          <w:bCs/>
          <w:sz w:val="24"/>
          <w:szCs w:val="24"/>
          <w:lang w:val="en-US"/>
          <w14:ligatures w14:val="standardContextual"/>
        </w:rPr>
        <w:t>are</w:t>
      </w:r>
      <w:r w:rsidRPr="00EC7A31">
        <w:rPr>
          <w:rFonts w:ascii="Times New Roman" w:eastAsia="Aptos" w:hAnsi="Times New Roman"/>
          <w:bCs/>
          <w:sz w:val="24"/>
          <w:szCs w:val="24"/>
          <w:lang w:val="en-US"/>
          <w14:ligatures w14:val="standardContextual"/>
        </w:rPr>
        <w:t xml:space="preserve"> in line with the a priori expectations as specified in </w:t>
      </w:r>
      <w:r>
        <w:rPr>
          <w:rFonts w:ascii="Times New Roman" w:eastAsia="Aptos" w:hAnsi="Times New Roman"/>
          <w:bCs/>
          <w:sz w:val="24"/>
          <w:szCs w:val="24"/>
          <w:lang w:val="en-US"/>
          <w14:ligatures w14:val="standardContextual"/>
        </w:rPr>
        <w:t>Table</w:t>
      </w:r>
      <w:r w:rsidR="007A44F5">
        <w:rPr>
          <w:rFonts w:ascii="Times New Roman" w:eastAsia="Aptos" w:hAnsi="Times New Roman"/>
          <w:bCs/>
          <w:sz w:val="24"/>
          <w:szCs w:val="24"/>
          <w:lang w:val="en-US"/>
          <w14:ligatures w14:val="standardContextual"/>
        </w:rPr>
        <w:t xml:space="preserve"> 4 below </w:t>
      </w:r>
      <w:r w:rsidRPr="00EC7A31">
        <w:rPr>
          <w:rFonts w:ascii="Times New Roman" w:eastAsia="Aptos" w:hAnsi="Times New Roman"/>
          <w:bCs/>
          <w:sz w:val="24"/>
          <w:szCs w:val="24"/>
          <w:lang w:val="en-US"/>
          <w14:ligatures w14:val="standardContextual"/>
        </w:rPr>
        <w:t xml:space="preserve">. The results of the study also show that </w:t>
      </w:r>
      <w:r>
        <w:rPr>
          <w:rFonts w:ascii="Times New Roman" w:eastAsia="Aptos" w:hAnsi="Times New Roman"/>
          <w:bCs/>
          <w:sz w:val="24"/>
          <w:szCs w:val="24"/>
          <w:lang w:val="en-US"/>
          <w14:ligatures w14:val="standardContextual"/>
        </w:rPr>
        <w:t xml:space="preserve">the </w:t>
      </w:r>
      <w:r w:rsidRPr="00EC7A31">
        <w:rPr>
          <w:rFonts w:ascii="Times New Roman" w:eastAsia="Aptos" w:hAnsi="Times New Roman"/>
          <w:bCs/>
          <w:sz w:val="24"/>
          <w:szCs w:val="24"/>
          <w:lang w:val="en-US"/>
          <w14:ligatures w14:val="standardContextual"/>
        </w:rPr>
        <w:t xml:space="preserve">provider has no statistically significant impact on the demand for natural disaster insurance, these </w:t>
      </w:r>
      <w:r>
        <w:rPr>
          <w:rFonts w:ascii="Times New Roman" w:eastAsia="Aptos" w:hAnsi="Times New Roman"/>
          <w:bCs/>
          <w:sz w:val="24"/>
          <w:szCs w:val="24"/>
          <w:lang w:val="en-US"/>
          <w14:ligatures w14:val="standardContextual"/>
        </w:rPr>
        <w:t>results</w:t>
      </w:r>
      <w:r w:rsidRPr="00EC7A31">
        <w:rPr>
          <w:rFonts w:ascii="Times New Roman" w:eastAsia="Aptos" w:hAnsi="Times New Roman"/>
          <w:bCs/>
          <w:sz w:val="24"/>
          <w:szCs w:val="24"/>
          <w:lang w:val="en-US"/>
          <w14:ligatures w14:val="standardContextual"/>
        </w:rPr>
        <w:t xml:space="preserve"> differ from the results in the study of flood insurance in Vietnam </w:t>
      </w:r>
      <w:r>
        <w:rPr>
          <w:rFonts w:ascii="Times New Roman" w:eastAsia="Aptos" w:hAnsi="Times New Roman"/>
          <w:bCs/>
          <w:sz w:val="24"/>
          <w:szCs w:val="24"/>
          <w:lang w:val="en-US"/>
          <w14:ligatures w14:val="standardContextual"/>
        </w:rPr>
        <w:t>which</w:t>
      </w:r>
      <w:r w:rsidRPr="00EC7A31">
        <w:rPr>
          <w:rFonts w:ascii="Times New Roman" w:eastAsia="Aptos" w:hAnsi="Times New Roman"/>
          <w:bCs/>
          <w:sz w:val="24"/>
          <w:szCs w:val="24"/>
          <w:lang w:val="en-US"/>
          <w14:ligatures w14:val="standardContextual"/>
        </w:rPr>
        <w:t xml:space="preserve"> found the probability of </w:t>
      </w:r>
      <w:r>
        <w:rPr>
          <w:rFonts w:ascii="Times New Roman" w:eastAsia="Aptos" w:hAnsi="Times New Roman"/>
          <w:bCs/>
          <w:sz w:val="24"/>
          <w:szCs w:val="24"/>
          <w:lang w:val="en-US"/>
          <w14:ligatures w14:val="standardContextual"/>
        </w:rPr>
        <w:t xml:space="preserve">an </w:t>
      </w:r>
      <w:r w:rsidRPr="00EC7A31">
        <w:rPr>
          <w:rFonts w:ascii="Times New Roman" w:eastAsia="Aptos" w:hAnsi="Times New Roman"/>
          <w:bCs/>
          <w:sz w:val="24"/>
          <w:szCs w:val="24"/>
          <w:lang w:val="en-US"/>
          <w14:ligatures w14:val="standardContextual"/>
        </w:rPr>
        <w:t xml:space="preserve">insurance scheme being chosen when provided by a government when </w:t>
      </w:r>
      <w:r>
        <w:rPr>
          <w:rFonts w:ascii="Times New Roman" w:eastAsia="Aptos" w:hAnsi="Times New Roman"/>
          <w:bCs/>
          <w:sz w:val="24"/>
          <w:szCs w:val="24"/>
          <w:lang w:val="en-US"/>
          <w14:ligatures w14:val="standardContextual"/>
        </w:rPr>
        <w:t>compared</w:t>
      </w:r>
      <w:r w:rsidRPr="00EC7A31">
        <w:rPr>
          <w:rFonts w:ascii="Times New Roman" w:eastAsia="Aptos" w:hAnsi="Times New Roman"/>
          <w:bCs/>
          <w:sz w:val="24"/>
          <w:szCs w:val="24"/>
          <w:lang w:val="en-US"/>
          <w14:ligatures w14:val="standardContextual"/>
        </w:rPr>
        <w:t xml:space="preserve"> to private f</w:t>
      </w:r>
      <w:r>
        <w:rPr>
          <w:rFonts w:ascii="Times New Roman" w:eastAsia="Aptos" w:hAnsi="Times New Roman"/>
          <w:bCs/>
          <w:sz w:val="24"/>
          <w:szCs w:val="24"/>
          <w:lang w:val="en-US"/>
          <w14:ligatures w14:val="standardContextual"/>
        </w:rPr>
        <w:t>irms and NGO to be significant.</w:t>
      </w:r>
    </w:p>
    <w:p w14:paraId="481EFD78" w14:textId="77777777" w:rsidR="0069639F" w:rsidRDefault="0069639F" w:rsidP="00407E38">
      <w:pPr>
        <w:widowControl w:val="0"/>
        <w:autoSpaceDE w:val="0"/>
        <w:autoSpaceDN w:val="0"/>
        <w:adjustRightInd w:val="0"/>
        <w:spacing w:line="360" w:lineRule="auto"/>
        <w:jc w:val="both"/>
        <w:rPr>
          <w:rFonts w:ascii="Times New Roman" w:eastAsia="Aptos" w:hAnsi="Times New Roman"/>
          <w:bCs/>
          <w:sz w:val="24"/>
          <w:szCs w:val="24"/>
          <w:lang w:val="en-US"/>
          <w14:ligatures w14:val="standardContextual"/>
        </w:rPr>
      </w:pPr>
    </w:p>
    <w:p w14:paraId="67EED06A" w14:textId="0F4C8667" w:rsidR="0069639F" w:rsidRDefault="0069639F" w:rsidP="00407E38">
      <w:pPr>
        <w:widowControl w:val="0"/>
        <w:autoSpaceDE w:val="0"/>
        <w:autoSpaceDN w:val="0"/>
        <w:adjustRightInd w:val="0"/>
        <w:spacing w:line="360" w:lineRule="auto"/>
      </w:pPr>
      <w:bookmarkStart w:id="19" w:name="_Toc187315300"/>
      <w:r>
        <w:t xml:space="preserve">Table </w:t>
      </w:r>
      <w:r w:rsidR="007A44F5">
        <w:t>4</w:t>
      </w:r>
      <w:r>
        <w:t xml:space="preserve"> </w:t>
      </w:r>
      <w:r w:rsidRPr="009E6BDC">
        <w:t>results of demand for natural hazard insurance demand in Zimbabwe</w:t>
      </w:r>
      <w:bookmarkEnd w:id="19"/>
    </w:p>
    <w:p w14:paraId="4FBE5AF5" w14:textId="77777777" w:rsidR="0069639F" w:rsidRPr="00E43114"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br/>
        <w:t xml:space="preserve">Conditional logit choice model                 </w:t>
      </w:r>
      <w:r>
        <w:rPr>
          <w:rFonts w:ascii="Garamond" w:hAnsi="Garamond"/>
          <w:lang w:val="en-US" w:eastAsia="en-ZA"/>
        </w:rPr>
        <w:t xml:space="preserve">                                      </w:t>
      </w:r>
      <w:r w:rsidRPr="000A4443">
        <w:rPr>
          <w:rFonts w:ascii="Garamond" w:hAnsi="Garamond"/>
          <w:lang w:val="en-US" w:eastAsia="en-ZA"/>
        </w:rPr>
        <w:t xml:space="preserve">Number of </w:t>
      </w:r>
      <w:proofErr w:type="spellStart"/>
      <w:r w:rsidRPr="000A4443">
        <w:rPr>
          <w:rFonts w:ascii="Garamond" w:hAnsi="Garamond"/>
          <w:lang w:val="en-US" w:eastAsia="en-ZA"/>
        </w:rPr>
        <w:t>obs</w:t>
      </w:r>
      <w:proofErr w:type="spellEnd"/>
      <w:r w:rsidRPr="000A4443">
        <w:rPr>
          <w:rFonts w:ascii="Garamond" w:hAnsi="Garamond"/>
          <w:lang w:val="en-US" w:eastAsia="en-ZA"/>
        </w:rPr>
        <w:t xml:space="preserve">      </w:t>
      </w:r>
      <w:r>
        <w:rPr>
          <w:rFonts w:ascii="Garamond" w:hAnsi="Garamond"/>
          <w:lang w:val="en-US" w:eastAsia="en-ZA"/>
        </w:rPr>
        <w:t xml:space="preserve"> </w:t>
      </w:r>
      <w:r w:rsidRPr="000A4443">
        <w:rPr>
          <w:rFonts w:ascii="Garamond" w:hAnsi="Garamond"/>
          <w:lang w:val="en-US" w:eastAsia="en-ZA"/>
        </w:rPr>
        <w:t>=      1,836</w:t>
      </w:r>
      <w:r w:rsidRPr="000A4443">
        <w:rPr>
          <w:rFonts w:ascii="Garamond" w:hAnsi="Garamond"/>
          <w:lang w:val="en-US" w:eastAsia="en-ZA"/>
        </w:rPr>
        <w:br/>
        <w:t>Case ID variable: _</w:t>
      </w:r>
      <w:proofErr w:type="spellStart"/>
      <w:r w:rsidRPr="000A4443">
        <w:rPr>
          <w:rFonts w:ascii="Garamond" w:hAnsi="Garamond"/>
          <w:lang w:val="en-US" w:eastAsia="en-ZA"/>
        </w:rPr>
        <w:t>caseid</w:t>
      </w:r>
      <w:proofErr w:type="spellEnd"/>
      <w:r w:rsidRPr="000A4443">
        <w:rPr>
          <w:rFonts w:ascii="Garamond" w:hAnsi="Garamond"/>
          <w:lang w:val="en-US" w:eastAsia="en-ZA"/>
        </w:rPr>
        <w:t xml:space="preserve">                      </w:t>
      </w:r>
      <w:r>
        <w:rPr>
          <w:rFonts w:ascii="Garamond" w:hAnsi="Garamond"/>
          <w:lang w:val="en-US" w:eastAsia="en-ZA"/>
        </w:rPr>
        <w:t xml:space="preserve">                                           Number of cases    </w:t>
      </w:r>
      <w:r w:rsidRPr="000A4443">
        <w:rPr>
          <w:rFonts w:ascii="Garamond" w:hAnsi="Garamond"/>
          <w:lang w:val="en-US" w:eastAsia="en-ZA"/>
        </w:rPr>
        <w:t>=        612</w:t>
      </w:r>
      <w:r w:rsidRPr="000A4443">
        <w:rPr>
          <w:rFonts w:ascii="Garamond" w:hAnsi="Garamond"/>
          <w:lang w:val="en-US" w:eastAsia="en-ZA"/>
        </w:rPr>
        <w:br/>
        <w:t xml:space="preserve">Alternatives variable: Domain               </w:t>
      </w:r>
      <w:r>
        <w:rPr>
          <w:rFonts w:ascii="Garamond" w:hAnsi="Garamond"/>
          <w:lang w:val="en-US" w:eastAsia="en-ZA"/>
        </w:rPr>
        <w:t xml:space="preserve">                                      </w:t>
      </w:r>
      <w:r w:rsidRPr="000A4443">
        <w:rPr>
          <w:rFonts w:ascii="Garamond" w:hAnsi="Garamond"/>
          <w:lang w:val="en-US" w:eastAsia="en-ZA"/>
        </w:rPr>
        <w:t xml:space="preserve">  </w:t>
      </w:r>
      <w:r>
        <w:rPr>
          <w:rFonts w:ascii="Garamond" w:hAnsi="Garamond"/>
          <w:lang w:val="en-US" w:eastAsia="en-ZA"/>
        </w:rPr>
        <w:t xml:space="preserve"> </w:t>
      </w:r>
      <w:r w:rsidRPr="000A4443">
        <w:rPr>
          <w:rFonts w:ascii="Garamond" w:hAnsi="Garamond"/>
          <w:lang w:val="en-US" w:eastAsia="en-ZA"/>
        </w:rPr>
        <w:t xml:space="preserve"> Alts per case: min </w:t>
      </w:r>
      <w:r>
        <w:rPr>
          <w:rFonts w:ascii="Garamond" w:hAnsi="Garamond"/>
          <w:lang w:val="en-US" w:eastAsia="en-ZA"/>
        </w:rPr>
        <w:t xml:space="preserve">   </w:t>
      </w:r>
      <w:r w:rsidRPr="000A4443">
        <w:rPr>
          <w:rFonts w:ascii="Garamond" w:hAnsi="Garamond"/>
          <w:lang w:val="en-US" w:eastAsia="en-ZA"/>
        </w:rPr>
        <w:t>=          3</w:t>
      </w:r>
      <w:r w:rsidRPr="000A4443">
        <w:rPr>
          <w:rFonts w:ascii="Garamond" w:hAnsi="Garamond"/>
          <w:lang w:val="en-US" w:eastAsia="en-ZA"/>
        </w:rPr>
        <w:br/>
        <w:t xml:space="preserve">                                                            </w:t>
      </w:r>
      <w:r>
        <w:rPr>
          <w:rFonts w:ascii="Garamond" w:hAnsi="Garamond"/>
          <w:lang w:val="en-US" w:eastAsia="en-ZA"/>
        </w:rPr>
        <w:t xml:space="preserve">                                      </w:t>
      </w:r>
      <w:r w:rsidRPr="000A4443">
        <w:rPr>
          <w:rFonts w:ascii="Garamond" w:hAnsi="Garamond"/>
          <w:lang w:val="en-US" w:eastAsia="en-ZA"/>
        </w:rPr>
        <w:t xml:space="preserve"> </w:t>
      </w:r>
      <w:r>
        <w:rPr>
          <w:rFonts w:ascii="Garamond" w:hAnsi="Garamond"/>
          <w:lang w:val="en-US" w:eastAsia="en-ZA"/>
        </w:rPr>
        <w:t xml:space="preserve">    </w:t>
      </w:r>
      <w:r w:rsidRPr="000A4443">
        <w:rPr>
          <w:rFonts w:ascii="Garamond" w:hAnsi="Garamond"/>
          <w:lang w:val="en-US" w:eastAsia="en-ZA"/>
        </w:rPr>
        <w:t xml:space="preserve"> avg</w:t>
      </w:r>
      <w:r>
        <w:rPr>
          <w:rFonts w:ascii="Garamond" w:hAnsi="Garamond"/>
          <w:lang w:val="en-US" w:eastAsia="en-ZA"/>
        </w:rPr>
        <w:t xml:space="preserve">                         </w:t>
      </w:r>
      <w:r w:rsidRPr="000A4443">
        <w:rPr>
          <w:rFonts w:ascii="Garamond" w:hAnsi="Garamond"/>
          <w:lang w:val="en-US" w:eastAsia="en-ZA"/>
        </w:rPr>
        <w:t xml:space="preserve"> =        3.0</w:t>
      </w:r>
      <w:r w:rsidRPr="000A4443">
        <w:rPr>
          <w:rFonts w:ascii="Garamond" w:hAnsi="Garamond"/>
          <w:lang w:val="en-US" w:eastAsia="en-ZA"/>
        </w:rPr>
        <w:br/>
        <w:t xml:space="preserve">                                                            </w:t>
      </w:r>
      <w:r>
        <w:rPr>
          <w:rFonts w:ascii="Garamond" w:hAnsi="Garamond"/>
          <w:lang w:val="en-US" w:eastAsia="en-ZA"/>
        </w:rPr>
        <w:t xml:space="preserve">                                          </w:t>
      </w:r>
      <w:r w:rsidRPr="000A4443">
        <w:rPr>
          <w:rFonts w:ascii="Garamond" w:hAnsi="Garamond"/>
          <w:lang w:val="en-US" w:eastAsia="en-ZA"/>
        </w:rPr>
        <w:t xml:space="preserve">  max </w:t>
      </w:r>
      <w:r>
        <w:rPr>
          <w:rFonts w:ascii="Garamond" w:hAnsi="Garamond"/>
          <w:lang w:val="en-US" w:eastAsia="en-ZA"/>
        </w:rPr>
        <w:t xml:space="preserve">                        </w:t>
      </w:r>
      <w:r w:rsidRPr="000A4443">
        <w:rPr>
          <w:rFonts w:ascii="Garamond" w:hAnsi="Garamond"/>
          <w:lang w:val="en-US" w:eastAsia="en-ZA"/>
        </w:rPr>
        <w:t>=          3</w:t>
      </w:r>
      <w:r w:rsidRPr="000A4443">
        <w:rPr>
          <w:rFonts w:ascii="Garamond" w:hAnsi="Garamond"/>
          <w:lang w:val="en-US" w:eastAsia="en-ZA"/>
        </w:rPr>
        <w:br/>
        <w:t xml:space="preserve">                                              </w:t>
      </w:r>
      <w:r>
        <w:rPr>
          <w:rFonts w:ascii="Garamond" w:hAnsi="Garamond"/>
          <w:lang w:val="en-US" w:eastAsia="en-ZA"/>
        </w:rPr>
        <w:t xml:space="preserve">                                                      </w:t>
      </w:r>
      <w:r w:rsidRPr="000A4443">
        <w:rPr>
          <w:rFonts w:ascii="Garamond" w:hAnsi="Garamond"/>
          <w:lang w:val="en-US" w:eastAsia="en-ZA"/>
        </w:rPr>
        <w:t xml:space="preserve">    Wald chi2</w:t>
      </w:r>
      <w:r>
        <w:rPr>
          <w:rFonts w:ascii="Garamond" w:hAnsi="Garamond"/>
          <w:lang w:val="en-US" w:eastAsia="en-ZA"/>
        </w:rPr>
        <w:t xml:space="preserve"> </w:t>
      </w:r>
      <w:r w:rsidRPr="000A4443">
        <w:rPr>
          <w:rFonts w:ascii="Garamond" w:hAnsi="Garamond"/>
          <w:lang w:val="en-US" w:eastAsia="en-ZA"/>
        </w:rPr>
        <w:t xml:space="preserve">(8)    </w:t>
      </w:r>
      <w:r>
        <w:rPr>
          <w:rFonts w:ascii="Garamond" w:hAnsi="Garamond"/>
          <w:lang w:val="en-US" w:eastAsia="en-ZA"/>
        </w:rPr>
        <w:t xml:space="preserve">       </w:t>
      </w:r>
      <w:r w:rsidRPr="000A4443">
        <w:rPr>
          <w:rFonts w:ascii="Garamond" w:hAnsi="Garamond"/>
          <w:lang w:val="en-US" w:eastAsia="en-ZA"/>
        </w:rPr>
        <w:t>=      29.72</w:t>
      </w:r>
      <w:r w:rsidRPr="000A4443">
        <w:rPr>
          <w:rFonts w:ascii="Garamond" w:hAnsi="Garamond"/>
          <w:lang w:val="en-US" w:eastAsia="en-ZA"/>
        </w:rPr>
        <w:br/>
        <w:t xml:space="preserve">Log pseudolikelihood = -641.64389                 </w:t>
      </w:r>
      <w:r>
        <w:rPr>
          <w:rFonts w:ascii="Garamond" w:hAnsi="Garamond"/>
          <w:lang w:val="en-US" w:eastAsia="en-ZA"/>
        </w:rPr>
        <w:t xml:space="preserve">                                </w:t>
      </w:r>
      <w:r w:rsidRPr="000A4443">
        <w:rPr>
          <w:rFonts w:ascii="Garamond" w:hAnsi="Garamond"/>
          <w:lang w:val="en-US" w:eastAsia="en-ZA"/>
        </w:rPr>
        <w:t xml:space="preserve">Prob &gt; chi2     </w:t>
      </w:r>
      <w:r>
        <w:rPr>
          <w:rFonts w:ascii="Garamond" w:hAnsi="Garamond"/>
          <w:lang w:val="en-US" w:eastAsia="en-ZA"/>
        </w:rPr>
        <w:t xml:space="preserve">        </w:t>
      </w:r>
      <w:r w:rsidRPr="000A4443">
        <w:rPr>
          <w:rFonts w:ascii="Garamond" w:hAnsi="Garamond"/>
          <w:lang w:val="en-US" w:eastAsia="en-ZA"/>
        </w:rPr>
        <w:t>=     0.0002</w:t>
      </w:r>
      <w:r w:rsidRPr="000A4443">
        <w:rPr>
          <w:rFonts w:ascii="Garamond" w:hAnsi="Garamond"/>
          <w:lang w:val="en-US" w:eastAsia="en-ZA"/>
        </w:rPr>
        <w:br/>
        <w:t xml:space="preserve">                                 </w:t>
      </w:r>
      <w:r>
        <w:rPr>
          <w:rFonts w:ascii="Garamond" w:hAnsi="Garamond"/>
          <w:lang w:val="en-US" w:eastAsia="en-ZA"/>
        </w:rPr>
        <w:t xml:space="preserve">                                                                   </w:t>
      </w:r>
      <w:r w:rsidRPr="000A4443">
        <w:rPr>
          <w:rFonts w:ascii="Garamond" w:hAnsi="Garamond"/>
          <w:lang w:val="en-US" w:eastAsia="en-ZA"/>
        </w:rPr>
        <w:t>(Std. err. adjusted for 80 clusters in ID)</w:t>
      </w:r>
    </w:p>
    <w:tbl>
      <w:tblPr>
        <w:tblW w:w="8991" w:type="dxa"/>
        <w:tblLayout w:type="fixed"/>
        <w:tblLook w:val="0000" w:firstRow="0" w:lastRow="0" w:firstColumn="0" w:lastColumn="0" w:noHBand="0" w:noVBand="0"/>
      </w:tblPr>
      <w:tblGrid>
        <w:gridCol w:w="1640"/>
        <w:gridCol w:w="1224"/>
        <w:gridCol w:w="305"/>
        <w:gridCol w:w="920"/>
        <w:gridCol w:w="1225"/>
        <w:gridCol w:w="1225"/>
        <w:gridCol w:w="101"/>
        <w:gridCol w:w="1124"/>
        <w:gridCol w:w="405"/>
        <w:gridCol w:w="762"/>
        <w:gridCol w:w="60"/>
      </w:tblGrid>
      <w:tr w:rsidR="0069639F" w:rsidRPr="000A4443" w14:paraId="2D0658E1" w14:textId="77777777" w:rsidTr="00872168">
        <w:trPr>
          <w:gridAfter w:val="4"/>
          <w:wAfter w:w="2351" w:type="dxa"/>
          <w:trHeight w:val="257"/>
        </w:trPr>
        <w:tc>
          <w:tcPr>
            <w:tcW w:w="3169" w:type="dxa"/>
            <w:gridSpan w:val="3"/>
            <w:tcBorders>
              <w:top w:val="nil"/>
              <w:left w:val="nil"/>
              <w:bottom w:val="nil"/>
              <w:right w:val="nil"/>
            </w:tcBorders>
          </w:tcPr>
          <w:p w14:paraId="54B44AC9"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w:t>
            </w:r>
          </w:p>
        </w:tc>
        <w:tc>
          <w:tcPr>
            <w:tcW w:w="3471" w:type="dxa"/>
            <w:gridSpan w:val="4"/>
            <w:tcBorders>
              <w:top w:val="nil"/>
              <w:left w:val="nil"/>
              <w:bottom w:val="nil"/>
              <w:right w:val="nil"/>
            </w:tcBorders>
          </w:tcPr>
          <w:p w14:paraId="23A5DC6F"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Robust</w:t>
            </w:r>
          </w:p>
        </w:tc>
      </w:tr>
      <w:tr w:rsidR="0069639F" w:rsidRPr="000A4443" w14:paraId="0B28F4D0" w14:textId="77777777" w:rsidTr="00872168">
        <w:trPr>
          <w:gridAfter w:val="1"/>
          <w:wAfter w:w="60" w:type="dxa"/>
          <w:trHeight w:val="515"/>
        </w:trPr>
        <w:tc>
          <w:tcPr>
            <w:tcW w:w="1640" w:type="dxa"/>
            <w:tcBorders>
              <w:top w:val="single" w:sz="4" w:space="0" w:color="auto"/>
              <w:left w:val="nil"/>
              <w:bottom w:val="single" w:sz="10" w:space="0" w:color="auto"/>
              <w:right w:val="nil"/>
            </w:tcBorders>
          </w:tcPr>
          <w:p w14:paraId="678C7F4F"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Choice </w:t>
            </w:r>
          </w:p>
        </w:tc>
        <w:tc>
          <w:tcPr>
            <w:tcW w:w="1224" w:type="dxa"/>
            <w:tcBorders>
              <w:top w:val="single" w:sz="4" w:space="0" w:color="auto"/>
              <w:left w:val="nil"/>
              <w:bottom w:val="single" w:sz="10" w:space="0" w:color="auto"/>
              <w:right w:val="nil"/>
            </w:tcBorders>
          </w:tcPr>
          <w:p w14:paraId="13FCF628"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Coefficient</w:t>
            </w:r>
          </w:p>
        </w:tc>
        <w:tc>
          <w:tcPr>
            <w:tcW w:w="1225" w:type="dxa"/>
            <w:gridSpan w:val="2"/>
            <w:tcBorders>
              <w:top w:val="single" w:sz="4" w:space="0" w:color="auto"/>
              <w:left w:val="nil"/>
              <w:bottom w:val="single" w:sz="10" w:space="0" w:color="auto"/>
              <w:right w:val="nil"/>
            </w:tcBorders>
          </w:tcPr>
          <w:p w14:paraId="6A7C2B0E" w14:textId="77777777" w:rsidR="0069639F"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Robust</w:t>
            </w:r>
          </w:p>
          <w:p w14:paraId="388C9FB6"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std. err.</w:t>
            </w:r>
          </w:p>
        </w:tc>
        <w:tc>
          <w:tcPr>
            <w:tcW w:w="1225" w:type="dxa"/>
            <w:tcBorders>
              <w:top w:val="single" w:sz="4" w:space="0" w:color="auto"/>
              <w:left w:val="nil"/>
              <w:bottom w:val="single" w:sz="10" w:space="0" w:color="auto"/>
              <w:right w:val="nil"/>
            </w:tcBorders>
          </w:tcPr>
          <w:p w14:paraId="05D7EAFA"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z</w:t>
            </w:r>
          </w:p>
        </w:tc>
        <w:tc>
          <w:tcPr>
            <w:tcW w:w="1225" w:type="dxa"/>
            <w:tcBorders>
              <w:top w:val="single" w:sz="4" w:space="0" w:color="auto"/>
              <w:left w:val="nil"/>
              <w:bottom w:val="single" w:sz="10" w:space="0" w:color="auto"/>
              <w:right w:val="nil"/>
            </w:tcBorders>
          </w:tcPr>
          <w:p w14:paraId="475E34D6"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P&gt;z</w:t>
            </w:r>
          </w:p>
        </w:tc>
        <w:tc>
          <w:tcPr>
            <w:tcW w:w="2392" w:type="dxa"/>
            <w:gridSpan w:val="4"/>
            <w:tcBorders>
              <w:top w:val="single" w:sz="4" w:space="0" w:color="auto"/>
              <w:left w:val="nil"/>
              <w:bottom w:val="single" w:sz="10" w:space="0" w:color="auto"/>
              <w:right w:val="nil"/>
            </w:tcBorders>
          </w:tcPr>
          <w:p w14:paraId="041DE28B"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[95% conf. interval]</w:t>
            </w:r>
          </w:p>
          <w:p w14:paraId="09889816"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w:t>
            </w:r>
          </w:p>
          <w:p w14:paraId="583F3033"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w:t>
            </w:r>
          </w:p>
        </w:tc>
      </w:tr>
      <w:tr w:rsidR="0069639F" w:rsidRPr="000A4443" w14:paraId="0ABCAD47" w14:textId="77777777" w:rsidTr="00872168">
        <w:trPr>
          <w:gridAfter w:val="8"/>
          <w:wAfter w:w="5822" w:type="dxa"/>
          <w:trHeight w:val="134"/>
        </w:trPr>
        <w:tc>
          <w:tcPr>
            <w:tcW w:w="3169" w:type="dxa"/>
            <w:gridSpan w:val="3"/>
            <w:tcBorders>
              <w:top w:val="nil"/>
              <w:left w:val="nil"/>
              <w:bottom w:val="nil"/>
              <w:right w:val="nil"/>
            </w:tcBorders>
          </w:tcPr>
          <w:p w14:paraId="3D4492B3" w14:textId="77777777" w:rsidR="0069639F" w:rsidRPr="00D31262" w:rsidRDefault="0069639F" w:rsidP="004801FE">
            <w:pPr>
              <w:widowControl w:val="0"/>
              <w:autoSpaceDE w:val="0"/>
              <w:autoSpaceDN w:val="0"/>
              <w:adjustRightInd w:val="0"/>
              <w:rPr>
                <w:rFonts w:ascii="Garamond" w:hAnsi="Garamond"/>
                <w:b/>
                <w:lang w:val="en-US" w:eastAsia="en-ZA"/>
              </w:rPr>
            </w:pPr>
            <w:r w:rsidRPr="00D31262">
              <w:rPr>
                <w:rFonts w:ascii="Garamond" w:hAnsi="Garamond"/>
                <w:b/>
                <w:color w:val="000000" w:themeColor="text1"/>
                <w:lang w:val="en-US" w:eastAsia="en-ZA"/>
              </w:rPr>
              <w:t xml:space="preserve">Domain </w:t>
            </w:r>
            <w:r w:rsidRPr="00D31262">
              <w:rPr>
                <w:rFonts w:ascii="Garamond" w:hAnsi="Garamond"/>
                <w:b/>
                <w:lang w:val="en-US" w:eastAsia="en-ZA"/>
              </w:rPr>
              <w:t xml:space="preserve">      </w:t>
            </w:r>
          </w:p>
        </w:tc>
      </w:tr>
      <w:tr w:rsidR="0069639F" w:rsidRPr="000A4443" w14:paraId="293B169C" w14:textId="77777777" w:rsidTr="00872168">
        <w:trPr>
          <w:trHeight w:val="257"/>
        </w:trPr>
        <w:tc>
          <w:tcPr>
            <w:tcW w:w="1640" w:type="dxa"/>
            <w:tcBorders>
              <w:top w:val="nil"/>
              <w:left w:val="nil"/>
              <w:bottom w:val="nil"/>
              <w:right w:val="nil"/>
            </w:tcBorders>
          </w:tcPr>
          <w:p w14:paraId="035044E1"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ASC </w:t>
            </w:r>
          </w:p>
        </w:tc>
        <w:tc>
          <w:tcPr>
            <w:tcW w:w="1224" w:type="dxa"/>
            <w:tcBorders>
              <w:top w:val="nil"/>
              <w:left w:val="nil"/>
              <w:bottom w:val="nil"/>
              <w:right w:val="nil"/>
            </w:tcBorders>
          </w:tcPr>
          <w:p w14:paraId="396F152D"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-0.252</w:t>
            </w:r>
          </w:p>
        </w:tc>
        <w:tc>
          <w:tcPr>
            <w:tcW w:w="1225" w:type="dxa"/>
            <w:gridSpan w:val="2"/>
            <w:tcBorders>
              <w:top w:val="nil"/>
              <w:left w:val="nil"/>
              <w:bottom w:val="nil"/>
              <w:right w:val="nil"/>
            </w:tcBorders>
          </w:tcPr>
          <w:p w14:paraId="758C23FB"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1.325</w:t>
            </w:r>
          </w:p>
        </w:tc>
        <w:tc>
          <w:tcPr>
            <w:tcW w:w="1225" w:type="dxa"/>
            <w:tcBorders>
              <w:top w:val="nil"/>
              <w:left w:val="nil"/>
              <w:bottom w:val="nil"/>
              <w:right w:val="nil"/>
            </w:tcBorders>
          </w:tcPr>
          <w:p w14:paraId="1C4D53B7"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-0.190</w:t>
            </w:r>
          </w:p>
        </w:tc>
        <w:tc>
          <w:tcPr>
            <w:tcW w:w="1225" w:type="dxa"/>
            <w:tcBorders>
              <w:top w:val="nil"/>
              <w:left w:val="nil"/>
              <w:bottom w:val="nil"/>
              <w:right w:val="nil"/>
            </w:tcBorders>
          </w:tcPr>
          <w:p w14:paraId="5D914CF3"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0.849</w:t>
            </w:r>
          </w:p>
        </w:tc>
        <w:tc>
          <w:tcPr>
            <w:tcW w:w="1225" w:type="dxa"/>
            <w:gridSpan w:val="2"/>
            <w:tcBorders>
              <w:top w:val="nil"/>
              <w:left w:val="nil"/>
              <w:bottom w:val="nil"/>
              <w:right w:val="nil"/>
            </w:tcBorders>
          </w:tcPr>
          <w:p w14:paraId="2A41EC55"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-2.849</w:t>
            </w:r>
          </w:p>
        </w:tc>
        <w:tc>
          <w:tcPr>
            <w:tcW w:w="1227" w:type="dxa"/>
            <w:gridSpan w:val="3"/>
            <w:tcBorders>
              <w:top w:val="nil"/>
              <w:left w:val="nil"/>
              <w:bottom w:val="nil"/>
              <w:right w:val="nil"/>
            </w:tcBorders>
          </w:tcPr>
          <w:p w14:paraId="3E143B7E"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2.344</w:t>
            </w:r>
          </w:p>
        </w:tc>
      </w:tr>
      <w:tr w:rsidR="0069639F" w:rsidRPr="000A4443" w14:paraId="3C717A56" w14:textId="77777777" w:rsidTr="00872168">
        <w:trPr>
          <w:gridAfter w:val="8"/>
          <w:wAfter w:w="5822" w:type="dxa"/>
          <w:trHeight w:val="257"/>
        </w:trPr>
        <w:tc>
          <w:tcPr>
            <w:tcW w:w="3169" w:type="dxa"/>
            <w:gridSpan w:val="3"/>
            <w:tcBorders>
              <w:top w:val="nil"/>
              <w:left w:val="nil"/>
              <w:bottom w:val="nil"/>
              <w:right w:val="nil"/>
            </w:tcBorders>
          </w:tcPr>
          <w:p w14:paraId="5ADF1D3C" w14:textId="77777777" w:rsidR="0069639F" w:rsidRPr="000A4443" w:rsidRDefault="0069639F" w:rsidP="004801FE">
            <w:pPr>
              <w:widowControl w:val="0"/>
              <w:autoSpaceDE w:val="0"/>
              <w:autoSpaceDN w:val="0"/>
              <w:adjustRightInd w:val="0"/>
              <w:rPr>
                <w:rFonts w:ascii="Garamond" w:hAnsi="Garamond"/>
                <w:lang w:val="en-US" w:eastAsia="en-ZA"/>
              </w:rPr>
            </w:pPr>
          </w:p>
        </w:tc>
      </w:tr>
      <w:tr w:rsidR="0069639F" w:rsidRPr="000A4443" w14:paraId="0826A45B" w14:textId="77777777" w:rsidTr="00872168">
        <w:trPr>
          <w:gridAfter w:val="8"/>
          <w:wAfter w:w="5822" w:type="dxa"/>
          <w:trHeight w:val="257"/>
        </w:trPr>
        <w:tc>
          <w:tcPr>
            <w:tcW w:w="3169" w:type="dxa"/>
            <w:gridSpan w:val="3"/>
            <w:tcBorders>
              <w:top w:val="nil"/>
              <w:left w:val="nil"/>
              <w:bottom w:val="nil"/>
              <w:right w:val="nil"/>
            </w:tcBorders>
          </w:tcPr>
          <w:p w14:paraId="686F1287" w14:textId="77777777" w:rsidR="0069639F" w:rsidRPr="00D31262" w:rsidRDefault="0069639F" w:rsidP="004801FE">
            <w:pPr>
              <w:widowControl w:val="0"/>
              <w:autoSpaceDE w:val="0"/>
              <w:autoSpaceDN w:val="0"/>
              <w:adjustRightInd w:val="0"/>
              <w:rPr>
                <w:rFonts w:ascii="Garamond" w:hAnsi="Garamond"/>
                <w:b/>
                <w:lang w:val="en-US" w:eastAsia="en-ZA"/>
              </w:rPr>
            </w:pPr>
            <w:r w:rsidRPr="00D31262">
              <w:rPr>
                <w:rFonts w:ascii="Garamond" w:hAnsi="Garamond"/>
                <w:b/>
                <w:lang w:val="en-US" w:eastAsia="en-ZA"/>
              </w:rPr>
              <w:t xml:space="preserve">Provider </w:t>
            </w:r>
          </w:p>
        </w:tc>
      </w:tr>
      <w:tr w:rsidR="0069639F" w:rsidRPr="000A4443" w14:paraId="3172E7CD" w14:textId="77777777" w:rsidTr="00872168">
        <w:trPr>
          <w:trHeight w:val="257"/>
        </w:trPr>
        <w:tc>
          <w:tcPr>
            <w:tcW w:w="1640" w:type="dxa"/>
            <w:tcBorders>
              <w:top w:val="nil"/>
              <w:left w:val="nil"/>
              <w:bottom w:val="nil"/>
              <w:right w:val="nil"/>
            </w:tcBorders>
          </w:tcPr>
          <w:p w14:paraId="4D7BEC55"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Government   </w:t>
            </w:r>
          </w:p>
        </w:tc>
        <w:tc>
          <w:tcPr>
            <w:tcW w:w="1224" w:type="dxa"/>
            <w:tcBorders>
              <w:top w:val="nil"/>
              <w:left w:val="nil"/>
              <w:bottom w:val="nil"/>
              <w:right w:val="nil"/>
            </w:tcBorders>
          </w:tcPr>
          <w:p w14:paraId="26265857"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-0.103</w:t>
            </w:r>
          </w:p>
        </w:tc>
        <w:tc>
          <w:tcPr>
            <w:tcW w:w="1225" w:type="dxa"/>
            <w:gridSpan w:val="2"/>
            <w:tcBorders>
              <w:top w:val="nil"/>
              <w:left w:val="nil"/>
              <w:bottom w:val="nil"/>
              <w:right w:val="nil"/>
            </w:tcBorders>
          </w:tcPr>
          <w:p w14:paraId="2817C4D1"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0.168</w:t>
            </w:r>
          </w:p>
        </w:tc>
        <w:tc>
          <w:tcPr>
            <w:tcW w:w="1225" w:type="dxa"/>
            <w:tcBorders>
              <w:top w:val="nil"/>
              <w:left w:val="nil"/>
              <w:bottom w:val="nil"/>
              <w:right w:val="nil"/>
            </w:tcBorders>
          </w:tcPr>
          <w:p w14:paraId="32E65D25"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-0.610</w:t>
            </w:r>
          </w:p>
        </w:tc>
        <w:tc>
          <w:tcPr>
            <w:tcW w:w="1225" w:type="dxa"/>
            <w:tcBorders>
              <w:top w:val="nil"/>
              <w:left w:val="nil"/>
              <w:bottom w:val="nil"/>
              <w:right w:val="nil"/>
            </w:tcBorders>
          </w:tcPr>
          <w:p w14:paraId="4A901867"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0.541</w:t>
            </w:r>
          </w:p>
        </w:tc>
        <w:tc>
          <w:tcPr>
            <w:tcW w:w="1225" w:type="dxa"/>
            <w:gridSpan w:val="2"/>
            <w:tcBorders>
              <w:top w:val="nil"/>
              <w:left w:val="nil"/>
              <w:bottom w:val="nil"/>
              <w:right w:val="nil"/>
            </w:tcBorders>
          </w:tcPr>
          <w:p w14:paraId="1504F798"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-0.433</w:t>
            </w:r>
          </w:p>
        </w:tc>
        <w:tc>
          <w:tcPr>
            <w:tcW w:w="1227" w:type="dxa"/>
            <w:gridSpan w:val="3"/>
            <w:tcBorders>
              <w:top w:val="nil"/>
              <w:left w:val="nil"/>
              <w:bottom w:val="nil"/>
              <w:right w:val="nil"/>
            </w:tcBorders>
          </w:tcPr>
          <w:p w14:paraId="7A9B4354"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0.227</w:t>
            </w:r>
          </w:p>
        </w:tc>
      </w:tr>
      <w:tr w:rsidR="0069639F" w:rsidRPr="000A4443" w14:paraId="6ED6526D" w14:textId="77777777" w:rsidTr="00872168">
        <w:trPr>
          <w:trHeight w:val="257"/>
        </w:trPr>
        <w:tc>
          <w:tcPr>
            <w:tcW w:w="1640" w:type="dxa"/>
            <w:tcBorders>
              <w:top w:val="nil"/>
              <w:left w:val="nil"/>
              <w:bottom w:val="nil"/>
              <w:right w:val="nil"/>
            </w:tcBorders>
          </w:tcPr>
          <w:p w14:paraId="203367BC"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NGO  </w:t>
            </w:r>
          </w:p>
        </w:tc>
        <w:tc>
          <w:tcPr>
            <w:tcW w:w="1224" w:type="dxa"/>
            <w:tcBorders>
              <w:top w:val="nil"/>
              <w:left w:val="nil"/>
              <w:bottom w:val="nil"/>
              <w:right w:val="nil"/>
            </w:tcBorders>
          </w:tcPr>
          <w:p w14:paraId="6F1F5CFA"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-0.004</w:t>
            </w:r>
          </w:p>
        </w:tc>
        <w:tc>
          <w:tcPr>
            <w:tcW w:w="1225" w:type="dxa"/>
            <w:gridSpan w:val="2"/>
            <w:tcBorders>
              <w:top w:val="nil"/>
              <w:left w:val="nil"/>
              <w:bottom w:val="nil"/>
              <w:right w:val="nil"/>
            </w:tcBorders>
          </w:tcPr>
          <w:p w14:paraId="213EE02D"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0.169</w:t>
            </w:r>
          </w:p>
        </w:tc>
        <w:tc>
          <w:tcPr>
            <w:tcW w:w="1225" w:type="dxa"/>
            <w:tcBorders>
              <w:top w:val="nil"/>
              <w:left w:val="nil"/>
              <w:bottom w:val="nil"/>
              <w:right w:val="nil"/>
            </w:tcBorders>
          </w:tcPr>
          <w:p w14:paraId="042AF3D8"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-0.030</w:t>
            </w:r>
          </w:p>
        </w:tc>
        <w:tc>
          <w:tcPr>
            <w:tcW w:w="1225" w:type="dxa"/>
            <w:tcBorders>
              <w:top w:val="nil"/>
              <w:left w:val="nil"/>
              <w:bottom w:val="nil"/>
              <w:right w:val="nil"/>
            </w:tcBorders>
          </w:tcPr>
          <w:p w14:paraId="7ED9629B"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0.979</w:t>
            </w:r>
          </w:p>
        </w:tc>
        <w:tc>
          <w:tcPr>
            <w:tcW w:w="1225" w:type="dxa"/>
            <w:gridSpan w:val="2"/>
            <w:tcBorders>
              <w:top w:val="nil"/>
              <w:left w:val="nil"/>
              <w:bottom w:val="nil"/>
              <w:right w:val="nil"/>
            </w:tcBorders>
          </w:tcPr>
          <w:p w14:paraId="74A8DCE6"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-0.336</w:t>
            </w:r>
          </w:p>
        </w:tc>
        <w:tc>
          <w:tcPr>
            <w:tcW w:w="1227" w:type="dxa"/>
            <w:gridSpan w:val="3"/>
            <w:tcBorders>
              <w:top w:val="nil"/>
              <w:left w:val="nil"/>
              <w:bottom w:val="nil"/>
              <w:right w:val="nil"/>
            </w:tcBorders>
          </w:tcPr>
          <w:p w14:paraId="0D2F68DB"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0.328</w:t>
            </w:r>
          </w:p>
        </w:tc>
      </w:tr>
      <w:tr w:rsidR="0069639F" w:rsidRPr="000A4443" w14:paraId="3D7B7638" w14:textId="77777777" w:rsidTr="00872168">
        <w:trPr>
          <w:gridAfter w:val="8"/>
          <w:wAfter w:w="5822" w:type="dxa"/>
          <w:trHeight w:val="257"/>
        </w:trPr>
        <w:tc>
          <w:tcPr>
            <w:tcW w:w="3169" w:type="dxa"/>
            <w:gridSpan w:val="3"/>
            <w:tcBorders>
              <w:top w:val="nil"/>
              <w:left w:val="nil"/>
              <w:bottom w:val="nil"/>
              <w:right w:val="nil"/>
            </w:tcBorders>
          </w:tcPr>
          <w:p w14:paraId="2F251AA2" w14:textId="77777777" w:rsidR="0069639F" w:rsidRPr="000A4443" w:rsidRDefault="0069639F" w:rsidP="004801FE">
            <w:pPr>
              <w:widowControl w:val="0"/>
              <w:autoSpaceDE w:val="0"/>
              <w:autoSpaceDN w:val="0"/>
              <w:adjustRightInd w:val="0"/>
              <w:rPr>
                <w:rFonts w:ascii="Garamond" w:hAnsi="Garamond"/>
                <w:lang w:val="en-US" w:eastAsia="en-ZA"/>
              </w:rPr>
            </w:pPr>
          </w:p>
        </w:tc>
      </w:tr>
      <w:tr w:rsidR="0069639F" w:rsidRPr="000A4443" w14:paraId="7DB81658" w14:textId="77777777" w:rsidTr="00872168">
        <w:trPr>
          <w:trHeight w:val="257"/>
        </w:trPr>
        <w:tc>
          <w:tcPr>
            <w:tcW w:w="1640" w:type="dxa"/>
            <w:tcBorders>
              <w:top w:val="nil"/>
              <w:left w:val="nil"/>
              <w:bottom w:val="nil"/>
              <w:right w:val="nil"/>
            </w:tcBorders>
          </w:tcPr>
          <w:p w14:paraId="4473131E"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Maxi </w:t>
            </w:r>
          </w:p>
        </w:tc>
        <w:tc>
          <w:tcPr>
            <w:tcW w:w="1224" w:type="dxa"/>
            <w:tcBorders>
              <w:top w:val="nil"/>
              <w:left w:val="nil"/>
              <w:bottom w:val="nil"/>
              <w:right w:val="nil"/>
            </w:tcBorders>
          </w:tcPr>
          <w:p w14:paraId="0DB13866" w14:textId="77777777" w:rsidR="0069639F" w:rsidRPr="000A4443" w:rsidRDefault="0069639F" w:rsidP="004801FE">
            <w:pPr>
              <w:widowControl w:val="0"/>
              <w:autoSpaceDE w:val="0"/>
              <w:autoSpaceDN w:val="0"/>
              <w:adjustRightInd w:val="0"/>
              <w:rPr>
                <w:rFonts w:ascii="Garamond" w:hAnsi="Garamond"/>
                <w:lang w:val="en-US" w:eastAsia="en-ZA"/>
              </w:rPr>
            </w:pPr>
            <w:r>
              <w:rPr>
                <w:rFonts w:ascii="Garamond" w:hAnsi="Garamond"/>
                <w:lang w:val="en-US" w:eastAsia="en-ZA"/>
              </w:rPr>
              <w:t xml:space="preserve">  </w:t>
            </w:r>
            <w:r w:rsidRPr="00E76591">
              <w:rPr>
                <w:rFonts w:ascii="Garamond" w:hAnsi="Garamond"/>
                <w:lang w:val="en-US" w:eastAsia="en-ZA"/>
              </w:rPr>
              <w:t>5.76e-06</w:t>
            </w:r>
            <w:r>
              <w:rPr>
                <w:rFonts w:ascii="Garamond" w:hAnsi="Garamond"/>
                <w:lang w:val="en-US" w:eastAsia="en-ZA"/>
              </w:rPr>
              <w:t>**</w:t>
            </w:r>
          </w:p>
        </w:tc>
        <w:tc>
          <w:tcPr>
            <w:tcW w:w="1225" w:type="dxa"/>
            <w:gridSpan w:val="2"/>
            <w:tcBorders>
              <w:top w:val="nil"/>
              <w:left w:val="nil"/>
              <w:bottom w:val="nil"/>
              <w:right w:val="nil"/>
            </w:tcBorders>
          </w:tcPr>
          <w:p w14:paraId="62CD5401"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0.000</w:t>
            </w:r>
          </w:p>
        </w:tc>
        <w:tc>
          <w:tcPr>
            <w:tcW w:w="1225" w:type="dxa"/>
            <w:tcBorders>
              <w:top w:val="nil"/>
              <w:left w:val="nil"/>
              <w:bottom w:val="nil"/>
              <w:right w:val="nil"/>
            </w:tcBorders>
          </w:tcPr>
          <w:p w14:paraId="7A1C97FB"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2.840</w:t>
            </w:r>
          </w:p>
        </w:tc>
        <w:tc>
          <w:tcPr>
            <w:tcW w:w="1225" w:type="dxa"/>
            <w:tcBorders>
              <w:top w:val="nil"/>
              <w:left w:val="nil"/>
              <w:bottom w:val="nil"/>
              <w:right w:val="nil"/>
            </w:tcBorders>
          </w:tcPr>
          <w:p w14:paraId="35FF6E6C"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0.004</w:t>
            </w:r>
          </w:p>
        </w:tc>
        <w:tc>
          <w:tcPr>
            <w:tcW w:w="1225" w:type="dxa"/>
            <w:gridSpan w:val="2"/>
            <w:tcBorders>
              <w:top w:val="nil"/>
              <w:left w:val="nil"/>
              <w:bottom w:val="nil"/>
              <w:right w:val="nil"/>
            </w:tcBorders>
          </w:tcPr>
          <w:p w14:paraId="233BF0FD"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0.000</w:t>
            </w:r>
          </w:p>
        </w:tc>
        <w:tc>
          <w:tcPr>
            <w:tcW w:w="1227" w:type="dxa"/>
            <w:gridSpan w:val="3"/>
            <w:tcBorders>
              <w:top w:val="nil"/>
              <w:left w:val="nil"/>
              <w:bottom w:val="nil"/>
              <w:right w:val="nil"/>
            </w:tcBorders>
          </w:tcPr>
          <w:p w14:paraId="4D98E5E3"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0.000</w:t>
            </w:r>
          </w:p>
        </w:tc>
      </w:tr>
      <w:tr w:rsidR="0069639F" w:rsidRPr="000A4443" w14:paraId="01F0957B" w14:textId="77777777" w:rsidTr="00872168">
        <w:trPr>
          <w:trHeight w:val="257"/>
        </w:trPr>
        <w:tc>
          <w:tcPr>
            <w:tcW w:w="1640" w:type="dxa"/>
            <w:tcBorders>
              <w:top w:val="nil"/>
              <w:left w:val="nil"/>
              <w:bottom w:val="nil"/>
              <w:right w:val="nil"/>
            </w:tcBorders>
          </w:tcPr>
          <w:p w14:paraId="1A3E28DB"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Premium </w:t>
            </w:r>
          </w:p>
        </w:tc>
        <w:tc>
          <w:tcPr>
            <w:tcW w:w="1224" w:type="dxa"/>
            <w:tcBorders>
              <w:top w:val="nil"/>
              <w:left w:val="nil"/>
              <w:bottom w:val="nil"/>
              <w:right w:val="nil"/>
            </w:tcBorders>
          </w:tcPr>
          <w:p w14:paraId="5DB208D6"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-0.005</w:t>
            </w:r>
            <w:r>
              <w:rPr>
                <w:rFonts w:ascii="Garamond" w:hAnsi="Garamond"/>
                <w:lang w:val="en-US" w:eastAsia="en-ZA"/>
              </w:rPr>
              <w:t>**</w:t>
            </w:r>
          </w:p>
        </w:tc>
        <w:tc>
          <w:tcPr>
            <w:tcW w:w="1225" w:type="dxa"/>
            <w:gridSpan w:val="2"/>
            <w:tcBorders>
              <w:top w:val="nil"/>
              <w:left w:val="nil"/>
              <w:bottom w:val="nil"/>
              <w:right w:val="nil"/>
            </w:tcBorders>
          </w:tcPr>
          <w:p w14:paraId="1209EB30"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0.002</w:t>
            </w:r>
          </w:p>
        </w:tc>
        <w:tc>
          <w:tcPr>
            <w:tcW w:w="1225" w:type="dxa"/>
            <w:tcBorders>
              <w:top w:val="nil"/>
              <w:left w:val="nil"/>
              <w:bottom w:val="nil"/>
              <w:right w:val="nil"/>
            </w:tcBorders>
          </w:tcPr>
          <w:p w14:paraId="21904411"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-2.610</w:t>
            </w:r>
          </w:p>
        </w:tc>
        <w:tc>
          <w:tcPr>
            <w:tcW w:w="1225" w:type="dxa"/>
            <w:tcBorders>
              <w:top w:val="nil"/>
              <w:left w:val="nil"/>
              <w:bottom w:val="nil"/>
              <w:right w:val="nil"/>
            </w:tcBorders>
          </w:tcPr>
          <w:p w14:paraId="368FF96C"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0.009</w:t>
            </w:r>
          </w:p>
        </w:tc>
        <w:tc>
          <w:tcPr>
            <w:tcW w:w="1225" w:type="dxa"/>
            <w:gridSpan w:val="2"/>
            <w:tcBorders>
              <w:top w:val="nil"/>
              <w:left w:val="nil"/>
              <w:bottom w:val="nil"/>
              <w:right w:val="nil"/>
            </w:tcBorders>
          </w:tcPr>
          <w:p w14:paraId="4C607562"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-0.008</w:t>
            </w:r>
          </w:p>
        </w:tc>
        <w:tc>
          <w:tcPr>
            <w:tcW w:w="1227" w:type="dxa"/>
            <w:gridSpan w:val="3"/>
            <w:tcBorders>
              <w:top w:val="nil"/>
              <w:left w:val="nil"/>
              <w:bottom w:val="nil"/>
              <w:right w:val="nil"/>
            </w:tcBorders>
          </w:tcPr>
          <w:p w14:paraId="2B83FF94"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-0.001</w:t>
            </w:r>
          </w:p>
        </w:tc>
      </w:tr>
      <w:tr w:rsidR="0069639F" w:rsidRPr="000A4443" w14:paraId="60D34A68" w14:textId="77777777" w:rsidTr="00872168">
        <w:trPr>
          <w:gridAfter w:val="8"/>
          <w:wAfter w:w="5822" w:type="dxa"/>
          <w:trHeight w:val="257"/>
        </w:trPr>
        <w:tc>
          <w:tcPr>
            <w:tcW w:w="3169" w:type="dxa"/>
            <w:gridSpan w:val="3"/>
            <w:tcBorders>
              <w:top w:val="nil"/>
              <w:left w:val="nil"/>
              <w:bottom w:val="nil"/>
              <w:right w:val="nil"/>
            </w:tcBorders>
          </w:tcPr>
          <w:p w14:paraId="05A33274" w14:textId="77777777" w:rsidR="0069639F" w:rsidRPr="000A4443" w:rsidRDefault="0069639F" w:rsidP="004801FE">
            <w:pPr>
              <w:widowControl w:val="0"/>
              <w:autoSpaceDE w:val="0"/>
              <w:autoSpaceDN w:val="0"/>
              <w:adjustRightInd w:val="0"/>
              <w:rPr>
                <w:rFonts w:ascii="Garamond" w:hAnsi="Garamond"/>
                <w:lang w:val="en-US" w:eastAsia="en-ZA"/>
              </w:rPr>
            </w:pPr>
          </w:p>
        </w:tc>
      </w:tr>
      <w:tr w:rsidR="0069639F" w:rsidRPr="000A4443" w14:paraId="6998D278" w14:textId="77777777" w:rsidTr="00872168">
        <w:trPr>
          <w:gridAfter w:val="8"/>
          <w:wAfter w:w="5822" w:type="dxa"/>
          <w:trHeight w:val="257"/>
        </w:trPr>
        <w:tc>
          <w:tcPr>
            <w:tcW w:w="3169" w:type="dxa"/>
            <w:gridSpan w:val="3"/>
            <w:tcBorders>
              <w:top w:val="nil"/>
              <w:left w:val="nil"/>
              <w:bottom w:val="nil"/>
              <w:right w:val="nil"/>
            </w:tcBorders>
          </w:tcPr>
          <w:p w14:paraId="24DA6671" w14:textId="77777777" w:rsidR="0069639F" w:rsidRPr="00D31262" w:rsidRDefault="0069639F" w:rsidP="004801FE">
            <w:pPr>
              <w:widowControl w:val="0"/>
              <w:autoSpaceDE w:val="0"/>
              <w:autoSpaceDN w:val="0"/>
              <w:adjustRightInd w:val="0"/>
              <w:rPr>
                <w:rFonts w:ascii="Garamond" w:hAnsi="Garamond"/>
                <w:b/>
                <w:lang w:val="en-US" w:eastAsia="en-ZA"/>
              </w:rPr>
            </w:pPr>
            <w:r w:rsidRPr="00D31262">
              <w:rPr>
                <w:rFonts w:ascii="Garamond" w:hAnsi="Garamond"/>
                <w:b/>
                <w:lang w:val="en-US" w:eastAsia="en-ZA"/>
              </w:rPr>
              <w:t xml:space="preserve">Transparency </w:t>
            </w:r>
          </w:p>
        </w:tc>
      </w:tr>
      <w:tr w:rsidR="0069639F" w:rsidRPr="000A4443" w14:paraId="06F62B1E" w14:textId="77777777" w:rsidTr="00872168">
        <w:trPr>
          <w:trHeight w:val="257"/>
        </w:trPr>
        <w:tc>
          <w:tcPr>
            <w:tcW w:w="1640" w:type="dxa"/>
            <w:tcBorders>
              <w:top w:val="nil"/>
              <w:left w:val="nil"/>
              <w:bottom w:val="nil"/>
              <w:right w:val="nil"/>
            </w:tcBorders>
          </w:tcPr>
          <w:p w14:paraId="26CF2222"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Yes  </w:t>
            </w:r>
          </w:p>
        </w:tc>
        <w:tc>
          <w:tcPr>
            <w:tcW w:w="1224" w:type="dxa"/>
            <w:tcBorders>
              <w:top w:val="nil"/>
              <w:left w:val="nil"/>
              <w:bottom w:val="nil"/>
              <w:right w:val="nil"/>
            </w:tcBorders>
          </w:tcPr>
          <w:p w14:paraId="735D3256"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0.206</w:t>
            </w:r>
            <w:r>
              <w:rPr>
                <w:rFonts w:ascii="Garamond" w:hAnsi="Garamond"/>
                <w:lang w:val="en-US" w:eastAsia="en-ZA"/>
              </w:rPr>
              <w:t>**</w:t>
            </w:r>
          </w:p>
        </w:tc>
        <w:tc>
          <w:tcPr>
            <w:tcW w:w="1225" w:type="dxa"/>
            <w:gridSpan w:val="2"/>
            <w:tcBorders>
              <w:top w:val="nil"/>
              <w:left w:val="nil"/>
              <w:bottom w:val="nil"/>
              <w:right w:val="nil"/>
            </w:tcBorders>
          </w:tcPr>
          <w:p w14:paraId="59611217"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0.085</w:t>
            </w:r>
          </w:p>
        </w:tc>
        <w:tc>
          <w:tcPr>
            <w:tcW w:w="1225" w:type="dxa"/>
            <w:tcBorders>
              <w:top w:val="nil"/>
              <w:left w:val="nil"/>
              <w:bottom w:val="nil"/>
              <w:right w:val="nil"/>
            </w:tcBorders>
          </w:tcPr>
          <w:p w14:paraId="7BFFD824"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2.440</w:t>
            </w:r>
          </w:p>
        </w:tc>
        <w:tc>
          <w:tcPr>
            <w:tcW w:w="1225" w:type="dxa"/>
            <w:tcBorders>
              <w:top w:val="nil"/>
              <w:left w:val="nil"/>
              <w:bottom w:val="nil"/>
              <w:right w:val="nil"/>
            </w:tcBorders>
          </w:tcPr>
          <w:p w14:paraId="2113CA7A"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0.015</w:t>
            </w:r>
          </w:p>
        </w:tc>
        <w:tc>
          <w:tcPr>
            <w:tcW w:w="1225" w:type="dxa"/>
            <w:gridSpan w:val="2"/>
            <w:tcBorders>
              <w:top w:val="nil"/>
              <w:left w:val="nil"/>
              <w:bottom w:val="nil"/>
              <w:right w:val="nil"/>
            </w:tcBorders>
          </w:tcPr>
          <w:p w14:paraId="0F4B654B"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0.040</w:t>
            </w:r>
          </w:p>
        </w:tc>
        <w:tc>
          <w:tcPr>
            <w:tcW w:w="1227" w:type="dxa"/>
            <w:gridSpan w:val="3"/>
            <w:tcBorders>
              <w:top w:val="nil"/>
              <w:left w:val="nil"/>
              <w:bottom w:val="nil"/>
              <w:right w:val="nil"/>
            </w:tcBorders>
          </w:tcPr>
          <w:p w14:paraId="5A799FD9"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0.372</w:t>
            </w:r>
          </w:p>
        </w:tc>
      </w:tr>
      <w:tr w:rsidR="0069639F" w:rsidRPr="000A4443" w14:paraId="45ED1725" w14:textId="77777777" w:rsidTr="00872168">
        <w:trPr>
          <w:gridAfter w:val="8"/>
          <w:wAfter w:w="5822" w:type="dxa"/>
          <w:trHeight w:val="257"/>
        </w:trPr>
        <w:tc>
          <w:tcPr>
            <w:tcW w:w="3169" w:type="dxa"/>
            <w:gridSpan w:val="3"/>
            <w:tcBorders>
              <w:top w:val="nil"/>
              <w:left w:val="nil"/>
              <w:bottom w:val="nil"/>
              <w:right w:val="nil"/>
            </w:tcBorders>
          </w:tcPr>
          <w:p w14:paraId="2CE0C4DD" w14:textId="77777777" w:rsidR="0069639F" w:rsidRPr="000A4443" w:rsidRDefault="0069639F" w:rsidP="004801FE">
            <w:pPr>
              <w:widowControl w:val="0"/>
              <w:autoSpaceDE w:val="0"/>
              <w:autoSpaceDN w:val="0"/>
              <w:adjustRightInd w:val="0"/>
              <w:rPr>
                <w:rFonts w:ascii="Garamond" w:hAnsi="Garamond"/>
                <w:lang w:val="en-US" w:eastAsia="en-ZA"/>
              </w:rPr>
            </w:pPr>
          </w:p>
        </w:tc>
      </w:tr>
      <w:tr w:rsidR="0069639F" w:rsidRPr="000A4443" w14:paraId="457C009D" w14:textId="77777777" w:rsidTr="00872168">
        <w:trPr>
          <w:gridAfter w:val="8"/>
          <w:wAfter w:w="5822" w:type="dxa"/>
          <w:trHeight w:val="257"/>
        </w:trPr>
        <w:tc>
          <w:tcPr>
            <w:tcW w:w="3169" w:type="dxa"/>
            <w:gridSpan w:val="3"/>
            <w:tcBorders>
              <w:top w:val="nil"/>
              <w:left w:val="nil"/>
              <w:bottom w:val="nil"/>
              <w:right w:val="nil"/>
            </w:tcBorders>
          </w:tcPr>
          <w:p w14:paraId="339DBD82" w14:textId="77777777" w:rsidR="0069639F" w:rsidRPr="00D31262" w:rsidRDefault="0069639F" w:rsidP="004801FE">
            <w:pPr>
              <w:widowControl w:val="0"/>
              <w:autoSpaceDE w:val="0"/>
              <w:autoSpaceDN w:val="0"/>
              <w:adjustRightInd w:val="0"/>
              <w:rPr>
                <w:rFonts w:ascii="Garamond" w:hAnsi="Garamond"/>
                <w:b/>
                <w:lang w:val="en-US" w:eastAsia="en-ZA"/>
              </w:rPr>
            </w:pPr>
            <w:proofErr w:type="spellStart"/>
            <w:r w:rsidRPr="00D31262">
              <w:rPr>
                <w:rFonts w:ascii="Garamond" w:hAnsi="Garamond"/>
                <w:b/>
                <w:lang w:val="en-US" w:eastAsia="en-ZA"/>
              </w:rPr>
              <w:t>PayoutTime</w:t>
            </w:r>
            <w:proofErr w:type="spellEnd"/>
            <w:r w:rsidRPr="00D31262">
              <w:rPr>
                <w:rFonts w:ascii="Garamond" w:hAnsi="Garamond"/>
                <w:b/>
                <w:lang w:val="en-US" w:eastAsia="en-ZA"/>
              </w:rPr>
              <w:t xml:space="preserve"> </w:t>
            </w:r>
          </w:p>
        </w:tc>
      </w:tr>
      <w:tr w:rsidR="0069639F" w:rsidRPr="000A4443" w14:paraId="6F579159" w14:textId="77777777" w:rsidTr="00872168">
        <w:trPr>
          <w:trHeight w:val="257"/>
        </w:trPr>
        <w:tc>
          <w:tcPr>
            <w:tcW w:w="1640" w:type="dxa"/>
            <w:tcBorders>
              <w:top w:val="nil"/>
              <w:left w:val="nil"/>
              <w:bottom w:val="nil"/>
              <w:right w:val="nil"/>
            </w:tcBorders>
          </w:tcPr>
          <w:p w14:paraId="41305F73"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lastRenderedPageBreak/>
              <w:t xml:space="preserve">6  </w:t>
            </w:r>
          </w:p>
        </w:tc>
        <w:tc>
          <w:tcPr>
            <w:tcW w:w="1224" w:type="dxa"/>
            <w:tcBorders>
              <w:top w:val="nil"/>
              <w:left w:val="nil"/>
              <w:bottom w:val="nil"/>
              <w:right w:val="nil"/>
            </w:tcBorders>
          </w:tcPr>
          <w:p w14:paraId="77CAA580"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-0.376</w:t>
            </w:r>
            <w:r>
              <w:rPr>
                <w:rFonts w:ascii="Garamond" w:hAnsi="Garamond"/>
                <w:lang w:val="en-US" w:eastAsia="en-ZA"/>
              </w:rPr>
              <w:t>**</w:t>
            </w:r>
          </w:p>
        </w:tc>
        <w:tc>
          <w:tcPr>
            <w:tcW w:w="1225" w:type="dxa"/>
            <w:gridSpan w:val="2"/>
            <w:tcBorders>
              <w:top w:val="nil"/>
              <w:left w:val="nil"/>
              <w:bottom w:val="nil"/>
              <w:right w:val="nil"/>
            </w:tcBorders>
          </w:tcPr>
          <w:p w14:paraId="343C20D4"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0.127</w:t>
            </w:r>
          </w:p>
        </w:tc>
        <w:tc>
          <w:tcPr>
            <w:tcW w:w="1225" w:type="dxa"/>
            <w:tcBorders>
              <w:top w:val="nil"/>
              <w:left w:val="nil"/>
              <w:bottom w:val="nil"/>
              <w:right w:val="nil"/>
            </w:tcBorders>
          </w:tcPr>
          <w:p w14:paraId="01C42C47"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-2.960</w:t>
            </w:r>
          </w:p>
        </w:tc>
        <w:tc>
          <w:tcPr>
            <w:tcW w:w="1225" w:type="dxa"/>
            <w:tcBorders>
              <w:top w:val="nil"/>
              <w:left w:val="nil"/>
              <w:bottom w:val="nil"/>
              <w:right w:val="nil"/>
            </w:tcBorders>
          </w:tcPr>
          <w:p w14:paraId="5DE3494D"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0.003</w:t>
            </w:r>
          </w:p>
        </w:tc>
        <w:tc>
          <w:tcPr>
            <w:tcW w:w="1225" w:type="dxa"/>
            <w:gridSpan w:val="2"/>
            <w:tcBorders>
              <w:top w:val="nil"/>
              <w:left w:val="nil"/>
              <w:bottom w:val="nil"/>
              <w:right w:val="nil"/>
            </w:tcBorders>
          </w:tcPr>
          <w:p w14:paraId="738000F0"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-0.625</w:t>
            </w:r>
          </w:p>
        </w:tc>
        <w:tc>
          <w:tcPr>
            <w:tcW w:w="1227" w:type="dxa"/>
            <w:gridSpan w:val="3"/>
            <w:tcBorders>
              <w:top w:val="nil"/>
              <w:left w:val="nil"/>
              <w:bottom w:val="nil"/>
              <w:right w:val="nil"/>
            </w:tcBorders>
          </w:tcPr>
          <w:p w14:paraId="10B0F299"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-0.127</w:t>
            </w:r>
          </w:p>
        </w:tc>
      </w:tr>
      <w:tr w:rsidR="0069639F" w:rsidRPr="000A4443" w14:paraId="6F49C82F" w14:textId="77777777" w:rsidTr="00872168">
        <w:trPr>
          <w:trHeight w:val="257"/>
        </w:trPr>
        <w:tc>
          <w:tcPr>
            <w:tcW w:w="1640" w:type="dxa"/>
            <w:tcBorders>
              <w:top w:val="nil"/>
              <w:left w:val="nil"/>
              <w:bottom w:val="nil"/>
              <w:right w:val="nil"/>
            </w:tcBorders>
          </w:tcPr>
          <w:p w14:paraId="0D700543"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12  </w:t>
            </w:r>
          </w:p>
        </w:tc>
        <w:tc>
          <w:tcPr>
            <w:tcW w:w="1224" w:type="dxa"/>
            <w:tcBorders>
              <w:top w:val="nil"/>
              <w:left w:val="nil"/>
              <w:bottom w:val="nil"/>
              <w:right w:val="nil"/>
            </w:tcBorders>
          </w:tcPr>
          <w:p w14:paraId="1D868D9F"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-0.410</w:t>
            </w:r>
            <w:r>
              <w:rPr>
                <w:rFonts w:ascii="Garamond" w:hAnsi="Garamond"/>
                <w:lang w:val="en-US" w:eastAsia="en-ZA"/>
              </w:rPr>
              <w:t>**</w:t>
            </w:r>
          </w:p>
        </w:tc>
        <w:tc>
          <w:tcPr>
            <w:tcW w:w="1225" w:type="dxa"/>
            <w:gridSpan w:val="2"/>
            <w:tcBorders>
              <w:top w:val="nil"/>
              <w:left w:val="nil"/>
              <w:bottom w:val="nil"/>
              <w:right w:val="nil"/>
            </w:tcBorders>
          </w:tcPr>
          <w:p w14:paraId="4DF3BBAB"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0.161</w:t>
            </w:r>
          </w:p>
        </w:tc>
        <w:tc>
          <w:tcPr>
            <w:tcW w:w="1225" w:type="dxa"/>
            <w:tcBorders>
              <w:top w:val="nil"/>
              <w:left w:val="nil"/>
              <w:bottom w:val="nil"/>
              <w:right w:val="nil"/>
            </w:tcBorders>
          </w:tcPr>
          <w:p w14:paraId="1A735DB9"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-2.550</w:t>
            </w:r>
          </w:p>
        </w:tc>
        <w:tc>
          <w:tcPr>
            <w:tcW w:w="1225" w:type="dxa"/>
            <w:tcBorders>
              <w:top w:val="nil"/>
              <w:left w:val="nil"/>
              <w:bottom w:val="nil"/>
              <w:right w:val="nil"/>
            </w:tcBorders>
          </w:tcPr>
          <w:p w14:paraId="56DF4A70"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0.011</w:t>
            </w:r>
          </w:p>
        </w:tc>
        <w:tc>
          <w:tcPr>
            <w:tcW w:w="1225" w:type="dxa"/>
            <w:gridSpan w:val="2"/>
            <w:tcBorders>
              <w:top w:val="nil"/>
              <w:left w:val="nil"/>
              <w:bottom w:val="nil"/>
              <w:right w:val="nil"/>
            </w:tcBorders>
          </w:tcPr>
          <w:p w14:paraId="4F37886C"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-0.725</w:t>
            </w:r>
          </w:p>
        </w:tc>
        <w:tc>
          <w:tcPr>
            <w:tcW w:w="1227" w:type="dxa"/>
            <w:gridSpan w:val="3"/>
            <w:tcBorders>
              <w:top w:val="nil"/>
              <w:left w:val="nil"/>
              <w:bottom w:val="nil"/>
              <w:right w:val="nil"/>
            </w:tcBorders>
          </w:tcPr>
          <w:p w14:paraId="207979FE"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-0.095</w:t>
            </w:r>
          </w:p>
        </w:tc>
      </w:tr>
      <w:tr w:rsidR="0069639F" w:rsidRPr="000A4443" w14:paraId="72499167" w14:textId="77777777" w:rsidTr="00872168">
        <w:trPr>
          <w:gridAfter w:val="2"/>
          <w:wAfter w:w="822" w:type="dxa"/>
          <w:trHeight w:val="257"/>
        </w:trPr>
        <w:tc>
          <w:tcPr>
            <w:tcW w:w="8169" w:type="dxa"/>
            <w:gridSpan w:val="9"/>
            <w:tcBorders>
              <w:top w:val="nil"/>
              <w:left w:val="nil"/>
              <w:bottom w:val="nil"/>
              <w:right w:val="nil"/>
            </w:tcBorders>
          </w:tcPr>
          <w:p w14:paraId="7C9194C7" w14:textId="77777777" w:rsidR="0069639F" w:rsidRPr="00D31262" w:rsidRDefault="0069639F" w:rsidP="004801FE">
            <w:pPr>
              <w:widowControl w:val="0"/>
              <w:autoSpaceDE w:val="0"/>
              <w:autoSpaceDN w:val="0"/>
              <w:adjustRightInd w:val="0"/>
              <w:rPr>
                <w:rFonts w:ascii="Garamond" w:hAnsi="Garamond"/>
                <w:b/>
                <w:lang w:val="en-US" w:eastAsia="en-ZA"/>
              </w:rPr>
            </w:pPr>
            <w:r w:rsidRPr="00D31262">
              <w:rPr>
                <w:rFonts w:ascii="Garamond" w:hAnsi="Garamond"/>
                <w:b/>
                <w:lang w:val="en-US" w:eastAsia="en-ZA"/>
              </w:rPr>
              <w:t xml:space="preserve">Health       </w:t>
            </w:r>
          </w:p>
          <w:p w14:paraId="78059119" w14:textId="77777777" w:rsidR="0069639F" w:rsidRPr="00D31262" w:rsidRDefault="0069639F" w:rsidP="004801FE">
            <w:pPr>
              <w:widowControl w:val="0"/>
              <w:autoSpaceDE w:val="0"/>
              <w:autoSpaceDN w:val="0"/>
              <w:adjustRightInd w:val="0"/>
              <w:rPr>
                <w:rFonts w:ascii="Garamond" w:hAnsi="Garamond"/>
                <w:b/>
                <w:lang w:val="en-US" w:eastAsia="en-ZA"/>
              </w:rPr>
            </w:pPr>
            <w:r w:rsidRPr="00D31262">
              <w:rPr>
                <w:rFonts w:ascii="Garamond" w:hAnsi="Garamond"/>
                <w:b/>
                <w:lang w:val="en-US" w:eastAsia="en-ZA"/>
              </w:rPr>
              <w:t>(base</w:t>
            </w:r>
          </w:p>
          <w:p w14:paraId="089C6133" w14:textId="77777777" w:rsidR="0069639F" w:rsidRPr="000A4443" w:rsidRDefault="0069639F" w:rsidP="004801FE">
            <w:pPr>
              <w:widowControl w:val="0"/>
              <w:autoSpaceDE w:val="0"/>
              <w:autoSpaceDN w:val="0"/>
              <w:adjustRightInd w:val="0"/>
              <w:rPr>
                <w:rFonts w:ascii="Garamond" w:hAnsi="Garamond"/>
                <w:lang w:val="en-US" w:eastAsia="en-ZA"/>
              </w:rPr>
            </w:pPr>
            <w:r w:rsidRPr="00D31262">
              <w:rPr>
                <w:rFonts w:ascii="Garamond" w:hAnsi="Garamond"/>
                <w:b/>
                <w:lang w:val="en-US" w:eastAsia="en-ZA"/>
              </w:rPr>
              <w:t>alternative)</w:t>
            </w:r>
          </w:p>
        </w:tc>
      </w:tr>
      <w:tr w:rsidR="0069639F" w:rsidRPr="000A4443" w14:paraId="68276D0E" w14:textId="77777777" w:rsidTr="00872168">
        <w:trPr>
          <w:gridAfter w:val="8"/>
          <w:wAfter w:w="5822" w:type="dxa"/>
          <w:trHeight w:val="257"/>
        </w:trPr>
        <w:tc>
          <w:tcPr>
            <w:tcW w:w="3169" w:type="dxa"/>
            <w:gridSpan w:val="3"/>
            <w:tcBorders>
              <w:top w:val="nil"/>
              <w:left w:val="nil"/>
              <w:bottom w:val="nil"/>
              <w:right w:val="nil"/>
            </w:tcBorders>
          </w:tcPr>
          <w:p w14:paraId="0B5C1F3F" w14:textId="77777777" w:rsidR="0069639F" w:rsidRPr="000A4443" w:rsidRDefault="0069639F" w:rsidP="004801FE">
            <w:pPr>
              <w:widowControl w:val="0"/>
              <w:autoSpaceDE w:val="0"/>
              <w:autoSpaceDN w:val="0"/>
              <w:adjustRightInd w:val="0"/>
              <w:rPr>
                <w:rFonts w:ascii="Garamond" w:hAnsi="Garamond"/>
                <w:lang w:val="en-US" w:eastAsia="en-ZA"/>
              </w:rPr>
            </w:pPr>
          </w:p>
        </w:tc>
      </w:tr>
      <w:tr w:rsidR="0069639F" w:rsidRPr="000A4443" w14:paraId="1BF2768D" w14:textId="77777777" w:rsidTr="00872168">
        <w:trPr>
          <w:trHeight w:val="257"/>
        </w:trPr>
        <w:tc>
          <w:tcPr>
            <w:tcW w:w="1640" w:type="dxa"/>
            <w:tcBorders>
              <w:top w:val="nil"/>
              <w:left w:val="nil"/>
              <w:bottom w:val="nil"/>
              <w:right w:val="nil"/>
            </w:tcBorders>
          </w:tcPr>
          <w:p w14:paraId="4B8FA2A1"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Agriculture</w:t>
            </w:r>
          </w:p>
        </w:tc>
        <w:tc>
          <w:tcPr>
            <w:tcW w:w="1224" w:type="dxa"/>
            <w:tcBorders>
              <w:top w:val="nil"/>
              <w:left w:val="nil"/>
              <w:bottom w:val="nil"/>
              <w:right w:val="nil"/>
            </w:tcBorders>
          </w:tcPr>
          <w:p w14:paraId="605ECD95"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0.432</w:t>
            </w:r>
            <w:r>
              <w:rPr>
                <w:rFonts w:ascii="Garamond" w:hAnsi="Garamond"/>
                <w:lang w:val="en-US" w:eastAsia="en-ZA"/>
              </w:rPr>
              <w:t>**</w:t>
            </w:r>
          </w:p>
        </w:tc>
        <w:tc>
          <w:tcPr>
            <w:tcW w:w="1225" w:type="dxa"/>
            <w:gridSpan w:val="2"/>
            <w:tcBorders>
              <w:top w:val="nil"/>
              <w:left w:val="nil"/>
              <w:bottom w:val="nil"/>
              <w:right w:val="nil"/>
            </w:tcBorders>
          </w:tcPr>
          <w:p w14:paraId="3001B7D4"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0.160</w:t>
            </w:r>
          </w:p>
        </w:tc>
        <w:tc>
          <w:tcPr>
            <w:tcW w:w="1225" w:type="dxa"/>
            <w:tcBorders>
              <w:top w:val="nil"/>
              <w:left w:val="nil"/>
              <w:bottom w:val="nil"/>
              <w:right w:val="nil"/>
            </w:tcBorders>
          </w:tcPr>
          <w:p w14:paraId="4CF60CAB"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2.690</w:t>
            </w:r>
          </w:p>
        </w:tc>
        <w:tc>
          <w:tcPr>
            <w:tcW w:w="1225" w:type="dxa"/>
            <w:tcBorders>
              <w:top w:val="nil"/>
              <w:left w:val="nil"/>
              <w:bottom w:val="nil"/>
              <w:right w:val="nil"/>
            </w:tcBorders>
          </w:tcPr>
          <w:p w14:paraId="1650CEFF"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0.007</w:t>
            </w:r>
          </w:p>
        </w:tc>
        <w:tc>
          <w:tcPr>
            <w:tcW w:w="1225" w:type="dxa"/>
            <w:gridSpan w:val="2"/>
            <w:tcBorders>
              <w:top w:val="nil"/>
              <w:left w:val="nil"/>
              <w:bottom w:val="nil"/>
              <w:right w:val="nil"/>
            </w:tcBorders>
          </w:tcPr>
          <w:p w14:paraId="3521BC11"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0.118</w:t>
            </w:r>
          </w:p>
        </w:tc>
        <w:tc>
          <w:tcPr>
            <w:tcW w:w="1227" w:type="dxa"/>
            <w:gridSpan w:val="3"/>
            <w:tcBorders>
              <w:top w:val="nil"/>
              <w:left w:val="nil"/>
              <w:bottom w:val="nil"/>
              <w:right w:val="nil"/>
            </w:tcBorders>
          </w:tcPr>
          <w:p w14:paraId="6A38B130"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0.746</w:t>
            </w:r>
          </w:p>
        </w:tc>
      </w:tr>
      <w:tr w:rsidR="0069639F" w:rsidRPr="000A4443" w14:paraId="79606372" w14:textId="77777777" w:rsidTr="00872168">
        <w:trPr>
          <w:gridAfter w:val="8"/>
          <w:wAfter w:w="5822" w:type="dxa"/>
          <w:trHeight w:val="257"/>
        </w:trPr>
        <w:tc>
          <w:tcPr>
            <w:tcW w:w="3169" w:type="dxa"/>
            <w:gridSpan w:val="3"/>
            <w:tcBorders>
              <w:top w:val="nil"/>
              <w:left w:val="nil"/>
              <w:bottom w:val="nil"/>
              <w:right w:val="nil"/>
            </w:tcBorders>
          </w:tcPr>
          <w:p w14:paraId="3FBAB938"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w:t>
            </w:r>
          </w:p>
        </w:tc>
      </w:tr>
      <w:tr w:rsidR="0069639F" w:rsidRPr="000A4443" w14:paraId="462E0BC3" w14:textId="77777777" w:rsidTr="00872168">
        <w:trPr>
          <w:trHeight w:val="257"/>
        </w:trPr>
        <w:tc>
          <w:tcPr>
            <w:tcW w:w="1640" w:type="dxa"/>
            <w:tcBorders>
              <w:top w:val="nil"/>
              <w:left w:val="nil"/>
              <w:bottom w:val="nil"/>
              <w:right w:val="nil"/>
            </w:tcBorders>
          </w:tcPr>
          <w:p w14:paraId="01D3FEE9"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Property</w:t>
            </w:r>
          </w:p>
        </w:tc>
        <w:tc>
          <w:tcPr>
            <w:tcW w:w="1224" w:type="dxa"/>
            <w:tcBorders>
              <w:top w:val="nil"/>
              <w:left w:val="nil"/>
              <w:bottom w:val="nil"/>
              <w:right w:val="nil"/>
            </w:tcBorders>
          </w:tcPr>
          <w:p w14:paraId="3CE6D2BD"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-0.355</w:t>
            </w:r>
            <w:r>
              <w:rPr>
                <w:rFonts w:ascii="Garamond" w:hAnsi="Garamond"/>
                <w:lang w:val="en-US" w:eastAsia="en-ZA"/>
              </w:rPr>
              <w:t>*</w:t>
            </w:r>
          </w:p>
        </w:tc>
        <w:tc>
          <w:tcPr>
            <w:tcW w:w="1225" w:type="dxa"/>
            <w:gridSpan w:val="2"/>
            <w:tcBorders>
              <w:top w:val="nil"/>
              <w:left w:val="nil"/>
              <w:bottom w:val="nil"/>
              <w:right w:val="nil"/>
            </w:tcBorders>
          </w:tcPr>
          <w:p w14:paraId="7E2F68F0"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0.187</w:t>
            </w:r>
          </w:p>
        </w:tc>
        <w:tc>
          <w:tcPr>
            <w:tcW w:w="1225" w:type="dxa"/>
            <w:tcBorders>
              <w:top w:val="nil"/>
              <w:left w:val="nil"/>
              <w:bottom w:val="nil"/>
              <w:right w:val="nil"/>
            </w:tcBorders>
          </w:tcPr>
          <w:p w14:paraId="7BD9AC94"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-1.900</w:t>
            </w:r>
          </w:p>
        </w:tc>
        <w:tc>
          <w:tcPr>
            <w:tcW w:w="1225" w:type="dxa"/>
            <w:tcBorders>
              <w:top w:val="nil"/>
              <w:left w:val="nil"/>
              <w:bottom w:val="nil"/>
              <w:right w:val="nil"/>
            </w:tcBorders>
          </w:tcPr>
          <w:p w14:paraId="68BEB175"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0.057</w:t>
            </w:r>
          </w:p>
        </w:tc>
        <w:tc>
          <w:tcPr>
            <w:tcW w:w="1225" w:type="dxa"/>
            <w:gridSpan w:val="2"/>
            <w:tcBorders>
              <w:top w:val="nil"/>
              <w:left w:val="nil"/>
              <w:bottom w:val="nil"/>
              <w:right w:val="nil"/>
            </w:tcBorders>
          </w:tcPr>
          <w:p w14:paraId="76AAD3E8"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-0.722</w:t>
            </w:r>
          </w:p>
        </w:tc>
        <w:tc>
          <w:tcPr>
            <w:tcW w:w="1227" w:type="dxa"/>
            <w:gridSpan w:val="3"/>
            <w:tcBorders>
              <w:top w:val="nil"/>
              <w:left w:val="nil"/>
              <w:bottom w:val="nil"/>
              <w:right w:val="nil"/>
            </w:tcBorders>
          </w:tcPr>
          <w:p w14:paraId="12905588" w14:textId="77777777" w:rsidR="0069639F" w:rsidRPr="000A4443" w:rsidRDefault="0069639F" w:rsidP="004801FE">
            <w:pPr>
              <w:widowControl w:val="0"/>
              <w:autoSpaceDE w:val="0"/>
              <w:autoSpaceDN w:val="0"/>
              <w:adjustRightInd w:val="0"/>
              <w:rPr>
                <w:rFonts w:ascii="Garamond" w:hAnsi="Garamond"/>
                <w:lang w:val="en-US" w:eastAsia="en-ZA"/>
              </w:rPr>
            </w:pPr>
            <w:r w:rsidRPr="000A4443">
              <w:rPr>
                <w:rFonts w:ascii="Garamond" w:hAnsi="Garamond"/>
                <w:lang w:val="en-US" w:eastAsia="en-ZA"/>
              </w:rPr>
              <w:t xml:space="preserve">    0.011</w:t>
            </w:r>
          </w:p>
        </w:tc>
      </w:tr>
      <w:tr w:rsidR="0069639F" w:rsidRPr="000A4443" w14:paraId="04613D66" w14:textId="77777777" w:rsidTr="00872168">
        <w:trPr>
          <w:trHeight w:val="257"/>
        </w:trPr>
        <w:tc>
          <w:tcPr>
            <w:tcW w:w="8991" w:type="dxa"/>
            <w:gridSpan w:val="11"/>
            <w:tcBorders>
              <w:top w:val="nil"/>
              <w:left w:val="nil"/>
              <w:bottom w:val="single" w:sz="6" w:space="0" w:color="auto"/>
              <w:right w:val="nil"/>
            </w:tcBorders>
          </w:tcPr>
          <w:p w14:paraId="6F860B02" w14:textId="77777777" w:rsidR="0069639F" w:rsidRPr="000A4443" w:rsidRDefault="0069639F" w:rsidP="004801FE">
            <w:pPr>
              <w:widowControl w:val="0"/>
              <w:autoSpaceDE w:val="0"/>
              <w:autoSpaceDN w:val="0"/>
              <w:adjustRightInd w:val="0"/>
              <w:rPr>
                <w:rFonts w:ascii="Garamond" w:hAnsi="Garamond"/>
                <w:lang w:val="en-US" w:eastAsia="en-ZA"/>
              </w:rPr>
            </w:pPr>
          </w:p>
        </w:tc>
      </w:tr>
    </w:tbl>
    <w:p w14:paraId="217D144D" w14:textId="77777777" w:rsidR="0069639F" w:rsidRDefault="0069639F" w:rsidP="004801FE">
      <w:pPr>
        <w:widowControl w:val="0"/>
        <w:autoSpaceDE w:val="0"/>
        <w:autoSpaceDN w:val="0"/>
        <w:adjustRightInd w:val="0"/>
        <w:jc w:val="both"/>
        <w:rPr>
          <w:rFonts w:ascii="Times New Roman" w:eastAsia="Aptos" w:hAnsi="Times New Roman"/>
          <w:bCs/>
          <w:sz w:val="24"/>
          <w:szCs w:val="24"/>
          <w:lang w:val="en-US"/>
          <w14:ligatures w14:val="standardContextual"/>
        </w:rPr>
      </w:pPr>
      <w:r>
        <w:rPr>
          <w:rFonts w:ascii="Times New Roman" w:eastAsia="Aptos" w:hAnsi="Times New Roman"/>
          <w:bCs/>
          <w:sz w:val="24"/>
          <w:szCs w:val="24"/>
          <w:lang w:val="en-US"/>
          <w14:ligatures w14:val="standardContextual"/>
        </w:rPr>
        <w:t xml:space="preserve">Source : Author compilation ( Stata software) </w:t>
      </w:r>
    </w:p>
    <w:p w14:paraId="01ACBC4A" w14:textId="77777777" w:rsidR="007A44F5" w:rsidRDefault="007A44F5" w:rsidP="004801FE">
      <w:pPr>
        <w:widowControl w:val="0"/>
        <w:autoSpaceDE w:val="0"/>
        <w:autoSpaceDN w:val="0"/>
        <w:adjustRightInd w:val="0"/>
        <w:jc w:val="both"/>
        <w:rPr>
          <w:rFonts w:ascii="Times New Roman" w:eastAsia="Aptos" w:hAnsi="Times New Roman"/>
          <w:bCs/>
          <w:sz w:val="24"/>
          <w:szCs w:val="24"/>
          <w:lang w:val="en-US"/>
          <w14:ligatures w14:val="standardContextual"/>
        </w:rPr>
      </w:pPr>
    </w:p>
    <w:p w14:paraId="568081D2" w14:textId="6BEFCB32" w:rsidR="0069639F" w:rsidRDefault="007A44F5" w:rsidP="00407E38">
      <w:pPr>
        <w:spacing w:line="360" w:lineRule="auto"/>
        <w:jc w:val="both"/>
      </w:pPr>
      <w:r>
        <w:rPr>
          <w:rFonts w:ascii="Times New Roman" w:eastAsia="Aptos" w:hAnsi="Times New Roman"/>
          <w:bCs/>
          <w:sz w:val="24"/>
          <w:szCs w:val="24"/>
          <w:lang w:val="en-US"/>
          <w14:ligatures w14:val="standardContextual"/>
        </w:rPr>
        <w:t xml:space="preserve">The domain-specific analysis shows that when health insurance is the base category, the agriculture insurance demand result is positive and significant therefore the respondents are more likely to purchase agriculture insurance than health. This can be explained by the recent developments of the increase in the number of clinics with free health care in the area. </w:t>
      </w:r>
      <w:proofErr w:type="spellStart"/>
      <w:r>
        <w:rPr>
          <w:rFonts w:ascii="Times New Roman" w:eastAsia="Aptos" w:hAnsi="Times New Roman"/>
          <w:bCs/>
          <w:sz w:val="24"/>
          <w:szCs w:val="24"/>
          <w:lang w:val="en-US"/>
          <w14:ligatures w14:val="standardContextual"/>
        </w:rPr>
        <w:t>Maireva</w:t>
      </w:r>
      <w:proofErr w:type="spellEnd"/>
      <w:r>
        <w:rPr>
          <w:rFonts w:ascii="Times New Roman" w:eastAsia="Aptos" w:hAnsi="Times New Roman"/>
          <w:bCs/>
          <w:sz w:val="24"/>
          <w:szCs w:val="24"/>
          <w:lang w:val="en-US"/>
          <w14:ligatures w14:val="standardContextual"/>
        </w:rPr>
        <w:t xml:space="preserve"> (2023) also explains that the perceptions of farmers in Zimbabwe towards agriculture insurance are positive and also dependent on recent experience of losses, which can explain the higher preference of agriculture insurance in the  2024 Drought year. </w:t>
      </w:r>
      <w:proofErr w:type="spellStart"/>
      <w:r>
        <w:rPr>
          <w:rFonts w:ascii="Times New Roman" w:eastAsia="Aptos" w:hAnsi="Times New Roman"/>
          <w:bCs/>
          <w:sz w:val="24"/>
          <w:szCs w:val="24"/>
          <w:lang w:val="en-US"/>
          <w14:ligatures w14:val="standardContextual"/>
        </w:rPr>
        <w:t>Maireva</w:t>
      </w:r>
      <w:proofErr w:type="spellEnd"/>
      <w:r>
        <w:rPr>
          <w:rFonts w:ascii="Times New Roman" w:eastAsia="Aptos" w:hAnsi="Times New Roman"/>
          <w:bCs/>
          <w:sz w:val="24"/>
          <w:szCs w:val="24"/>
          <w:lang w:val="en-US"/>
          <w14:ligatures w14:val="standardContextual"/>
        </w:rPr>
        <w:t xml:space="preserve"> (2023) further explains that the low penetration of agriculture insurance in Zimbabwe is not about preference, but rather a product designing issues which is not inclined to farmer-centric design.    The results also show that on the domain-specific analysis with a health insurance category, property insurance is negative and significant, therefore people in Chimanimani are less likely to purchase property insurance than health insurance.</w:t>
      </w:r>
    </w:p>
    <w:p w14:paraId="1B0149CE" w14:textId="77777777" w:rsidR="0069639F" w:rsidRDefault="0069639F" w:rsidP="00407E38">
      <w:pPr>
        <w:spacing w:line="360" w:lineRule="auto"/>
      </w:pPr>
    </w:p>
    <w:p w14:paraId="1B79289F" w14:textId="77777777" w:rsidR="0069639F" w:rsidRPr="00890257" w:rsidRDefault="0069639F" w:rsidP="004801FE">
      <w:pPr>
        <w:pStyle w:val="Heading2"/>
        <w:rPr>
          <w:rFonts w:ascii="Times New Roman" w:eastAsia="Aptos" w:hAnsi="Times New Roman" w:cs="Times New Roman"/>
          <w:sz w:val="24"/>
          <w:szCs w:val="24"/>
          <w:lang w:val="en-ZA"/>
        </w:rPr>
      </w:pPr>
      <w:bookmarkStart w:id="20" w:name="_Toc184826406"/>
      <w:bookmarkStart w:id="21" w:name="_Toc187315443"/>
      <w:r>
        <w:rPr>
          <w:rFonts w:ascii="Times New Roman" w:eastAsia="Aptos" w:hAnsi="Times New Roman" w:cs="Times New Roman"/>
          <w:sz w:val="24"/>
          <w:szCs w:val="24"/>
          <w:lang w:val="en-ZA"/>
        </w:rPr>
        <w:t>7.</w:t>
      </w:r>
      <w:r w:rsidRPr="00EC7A31">
        <w:rPr>
          <w:rFonts w:ascii="Times New Roman" w:eastAsia="Aptos" w:hAnsi="Times New Roman" w:cs="Times New Roman"/>
          <w:sz w:val="24"/>
          <w:szCs w:val="24"/>
          <w:lang w:val="en-ZA"/>
        </w:rPr>
        <w:t>.</w:t>
      </w:r>
      <w:r>
        <w:rPr>
          <w:rFonts w:ascii="Times New Roman" w:eastAsia="Aptos" w:hAnsi="Times New Roman" w:cs="Times New Roman"/>
          <w:sz w:val="24"/>
          <w:szCs w:val="24"/>
          <w:lang w:val="en-ZA"/>
        </w:rPr>
        <w:t>3</w:t>
      </w:r>
      <w:r w:rsidRPr="00EC7A31">
        <w:rPr>
          <w:rFonts w:ascii="Times New Roman" w:eastAsia="Aptos" w:hAnsi="Times New Roman" w:cs="Times New Roman"/>
          <w:sz w:val="24"/>
          <w:szCs w:val="24"/>
          <w:lang w:val="en-ZA"/>
        </w:rPr>
        <w:t xml:space="preserve"> </w:t>
      </w:r>
      <w:r>
        <w:rPr>
          <w:rFonts w:ascii="Times New Roman" w:eastAsia="Aptos" w:hAnsi="Times New Roman"/>
          <w:b/>
          <w:bCs/>
          <w:sz w:val="24"/>
          <w:szCs w:val="24"/>
          <w:lang w:val="en-US"/>
          <w14:ligatures w14:val="standardContextual"/>
        </w:rPr>
        <w:t>R</w:t>
      </w:r>
      <w:r w:rsidRPr="00EC7A31">
        <w:rPr>
          <w:rFonts w:ascii="Times New Roman" w:eastAsia="Aptos" w:hAnsi="Times New Roman"/>
          <w:b/>
          <w:bCs/>
          <w:sz w:val="24"/>
          <w:szCs w:val="24"/>
          <w:lang w:val="en-US"/>
          <w14:ligatures w14:val="standardContextual"/>
        </w:rPr>
        <w:t>esults of</w:t>
      </w:r>
      <w:r>
        <w:rPr>
          <w:rFonts w:ascii="Times New Roman" w:eastAsia="Aptos" w:hAnsi="Times New Roman"/>
          <w:b/>
          <w:bCs/>
          <w:sz w:val="24"/>
          <w:szCs w:val="24"/>
          <w:lang w:val="en-US"/>
          <w14:ligatures w14:val="standardContextual"/>
        </w:rPr>
        <w:t xml:space="preserve"> the demand for natural hazard</w:t>
      </w:r>
      <w:r w:rsidRPr="00EC7A31">
        <w:rPr>
          <w:rFonts w:ascii="Times New Roman" w:eastAsia="Aptos" w:hAnsi="Times New Roman"/>
          <w:b/>
          <w:bCs/>
          <w:sz w:val="24"/>
          <w:szCs w:val="24"/>
          <w:lang w:val="en-US"/>
          <w14:ligatures w14:val="standardContextual"/>
        </w:rPr>
        <w:t xml:space="preserve"> insurance </w:t>
      </w:r>
      <w:r>
        <w:rPr>
          <w:rFonts w:ascii="Times New Roman" w:eastAsia="Aptos" w:hAnsi="Times New Roman"/>
          <w:b/>
          <w:bCs/>
          <w:sz w:val="24"/>
          <w:szCs w:val="24"/>
          <w:lang w:val="en-US"/>
          <w14:ligatures w14:val="standardContextual"/>
        </w:rPr>
        <w:t>in South Africa (Choice Experiment)</w:t>
      </w:r>
      <w:bookmarkEnd w:id="20"/>
      <w:bookmarkEnd w:id="21"/>
      <w:r>
        <w:rPr>
          <w:rFonts w:ascii="Times New Roman" w:eastAsia="Aptos" w:hAnsi="Times New Roman"/>
          <w:b/>
          <w:bCs/>
          <w:sz w:val="24"/>
          <w:szCs w:val="24"/>
          <w:lang w:val="en-US"/>
          <w14:ligatures w14:val="standardContextual"/>
        </w:rPr>
        <w:t xml:space="preserve"> </w:t>
      </w:r>
    </w:p>
    <w:p w14:paraId="12182BDD" w14:textId="77777777" w:rsidR="0069639F" w:rsidRPr="00EC7A31" w:rsidRDefault="0069639F" w:rsidP="004801FE">
      <w:pPr>
        <w:widowControl w:val="0"/>
        <w:autoSpaceDE w:val="0"/>
        <w:autoSpaceDN w:val="0"/>
        <w:adjustRightInd w:val="0"/>
        <w:jc w:val="both"/>
        <w:rPr>
          <w:rFonts w:ascii="Times New Roman" w:eastAsia="Aptos" w:hAnsi="Times New Roman"/>
          <w:bCs/>
          <w:color w:val="FF0000"/>
          <w:sz w:val="24"/>
          <w:szCs w:val="24"/>
          <w:lang w:val="en-US"/>
          <w14:ligatures w14:val="standardContextual"/>
        </w:rPr>
      </w:pPr>
    </w:p>
    <w:p w14:paraId="4457776E" w14:textId="24AE96D8" w:rsidR="0069639F" w:rsidRDefault="0069639F" w:rsidP="00407E38">
      <w:pPr>
        <w:widowControl w:val="0"/>
        <w:autoSpaceDE w:val="0"/>
        <w:autoSpaceDN w:val="0"/>
        <w:adjustRightInd w:val="0"/>
        <w:spacing w:line="360" w:lineRule="auto"/>
        <w:jc w:val="both"/>
        <w:rPr>
          <w:rFonts w:ascii="Times New Roman" w:eastAsia="Aptos" w:hAnsi="Times New Roman"/>
          <w:bCs/>
          <w:sz w:val="24"/>
          <w:szCs w:val="24"/>
          <w:lang w:val="en-US"/>
          <w14:ligatures w14:val="standardContextual"/>
        </w:rPr>
      </w:pPr>
      <w:r w:rsidRPr="00890257">
        <w:rPr>
          <w:rFonts w:ascii="Times New Roman" w:eastAsia="Aptos" w:hAnsi="Times New Roman"/>
          <w:bCs/>
          <w:sz w:val="24"/>
          <w:szCs w:val="24"/>
          <w:lang w:val="en-US"/>
          <w14:ligatures w14:val="standardContextual"/>
        </w:rPr>
        <w:t xml:space="preserve"> The nega</w:t>
      </w:r>
      <w:r>
        <w:rPr>
          <w:rFonts w:ascii="Times New Roman" w:eastAsia="Aptos" w:hAnsi="Times New Roman"/>
          <w:bCs/>
          <w:sz w:val="24"/>
          <w:szCs w:val="24"/>
          <w:lang w:val="en-US"/>
          <w14:ligatures w14:val="standardContextual"/>
        </w:rPr>
        <w:t xml:space="preserve">tive and significant results of </w:t>
      </w:r>
      <w:r w:rsidRPr="00890257">
        <w:rPr>
          <w:rFonts w:ascii="Times New Roman" w:eastAsia="Aptos" w:hAnsi="Times New Roman"/>
          <w:bCs/>
          <w:sz w:val="24"/>
          <w:szCs w:val="24"/>
          <w:lang w:val="en-US"/>
          <w14:ligatures w14:val="standardContextual"/>
        </w:rPr>
        <w:t>the variable ASC show the strong rejection of the status quo by the respondents in South Africa</w:t>
      </w:r>
      <w:r>
        <w:rPr>
          <w:rFonts w:ascii="Times New Roman" w:eastAsia="Aptos" w:hAnsi="Times New Roman"/>
          <w:bCs/>
          <w:sz w:val="24"/>
          <w:szCs w:val="24"/>
          <w:lang w:val="en-US"/>
          <w14:ligatures w14:val="standardContextual"/>
        </w:rPr>
        <w:t xml:space="preserve"> as shown in </w:t>
      </w:r>
      <w:r w:rsidR="007A44F5">
        <w:rPr>
          <w:rFonts w:ascii="Times New Roman" w:eastAsia="Aptos" w:hAnsi="Times New Roman"/>
          <w:bCs/>
          <w:sz w:val="24"/>
          <w:szCs w:val="24"/>
          <w:lang w:val="en-US"/>
          <w14:ligatures w14:val="standardContextual"/>
        </w:rPr>
        <w:t xml:space="preserve">Table </w:t>
      </w:r>
      <w:r w:rsidR="00274B3A">
        <w:rPr>
          <w:rFonts w:ascii="Times New Roman" w:eastAsia="Aptos" w:hAnsi="Times New Roman"/>
          <w:bCs/>
          <w:sz w:val="24"/>
          <w:szCs w:val="24"/>
          <w:lang w:val="en-US"/>
          <w14:ligatures w14:val="standardContextual"/>
        </w:rPr>
        <w:t>5 below</w:t>
      </w:r>
      <w:r w:rsidRPr="00890257">
        <w:rPr>
          <w:rFonts w:ascii="Times New Roman" w:eastAsia="Aptos" w:hAnsi="Times New Roman"/>
          <w:bCs/>
          <w:sz w:val="24"/>
          <w:szCs w:val="24"/>
          <w:lang w:val="en-US"/>
          <w14:ligatures w14:val="standardContextual"/>
        </w:rPr>
        <w:t>. This</w:t>
      </w:r>
      <w:r>
        <w:rPr>
          <w:rFonts w:ascii="Times New Roman" w:eastAsia="Aptos" w:hAnsi="Times New Roman"/>
          <w:bCs/>
          <w:sz w:val="24"/>
          <w:szCs w:val="24"/>
          <w:lang w:val="en-US"/>
          <w14:ligatures w14:val="standardContextual"/>
        </w:rPr>
        <w:t xml:space="preserve"> result</w:t>
      </w:r>
      <w:r w:rsidRPr="00890257">
        <w:rPr>
          <w:rFonts w:ascii="Times New Roman" w:eastAsia="Aptos" w:hAnsi="Times New Roman"/>
          <w:bCs/>
          <w:sz w:val="24"/>
          <w:szCs w:val="24"/>
          <w:lang w:val="en-US"/>
          <w14:ligatures w14:val="standardContextual"/>
        </w:rPr>
        <w:t xml:space="preserve"> of rejection of not having insurance can be explained by the fact that</w:t>
      </w:r>
      <w:r>
        <w:rPr>
          <w:rFonts w:ascii="Times New Roman" w:eastAsia="Aptos" w:hAnsi="Times New Roman"/>
          <w:bCs/>
          <w:sz w:val="24"/>
          <w:szCs w:val="24"/>
          <w:lang w:val="en-US"/>
          <w14:ligatures w14:val="standardContextual"/>
        </w:rPr>
        <w:t xml:space="preserve"> delays in funding for relocation</w:t>
      </w:r>
      <w:r w:rsidR="00274B3A">
        <w:rPr>
          <w:rFonts w:ascii="Times New Roman" w:eastAsia="Aptos" w:hAnsi="Times New Roman"/>
          <w:bCs/>
          <w:sz w:val="24"/>
          <w:szCs w:val="24"/>
          <w:lang w:val="en-US"/>
          <w14:ligatures w14:val="standardContextual"/>
        </w:rPr>
        <w:t xml:space="preserve"> since 2013-2024 victims are still waiting as explained in the </w:t>
      </w:r>
      <w:r>
        <w:rPr>
          <w:rFonts w:ascii="Times New Roman" w:eastAsia="Aptos" w:hAnsi="Times New Roman"/>
          <w:bCs/>
          <w:sz w:val="24"/>
          <w:szCs w:val="24"/>
          <w:lang w:val="en-US"/>
          <w14:ligatures w14:val="standardContextual"/>
        </w:rPr>
        <w:t xml:space="preserve">municipality reports. These results can be compared to the results in Vietnam by Reynaud et al </w:t>
      </w:r>
      <w:r w:rsidR="00274B3A">
        <w:rPr>
          <w:rFonts w:ascii="Times New Roman" w:eastAsia="Aptos" w:hAnsi="Times New Roman"/>
          <w:bCs/>
          <w:sz w:val="24"/>
          <w:szCs w:val="24"/>
          <w:lang w:val="en-US"/>
          <w14:ligatures w14:val="standardContextual"/>
        </w:rPr>
        <w:t>(2018</w:t>
      </w:r>
      <w:r>
        <w:rPr>
          <w:rFonts w:ascii="Times New Roman" w:eastAsia="Aptos" w:hAnsi="Times New Roman"/>
          <w:bCs/>
          <w:sz w:val="24"/>
          <w:szCs w:val="24"/>
          <w:lang w:val="en-US"/>
          <w14:ligatures w14:val="standardContextual"/>
        </w:rPr>
        <w:t xml:space="preserve">) who found a positive preference for ASC </w:t>
      </w:r>
      <w:r w:rsidR="00274B3A">
        <w:rPr>
          <w:rFonts w:ascii="Times New Roman" w:eastAsia="Aptos" w:hAnsi="Times New Roman"/>
          <w:bCs/>
          <w:sz w:val="24"/>
          <w:szCs w:val="24"/>
          <w:lang w:val="en-US"/>
          <w14:ligatures w14:val="standardContextual"/>
        </w:rPr>
        <w:t>(Status</w:t>
      </w:r>
      <w:r>
        <w:rPr>
          <w:rFonts w:ascii="Times New Roman" w:eastAsia="Aptos" w:hAnsi="Times New Roman"/>
          <w:bCs/>
          <w:sz w:val="24"/>
          <w:szCs w:val="24"/>
          <w:lang w:val="en-US"/>
          <w14:ligatures w14:val="standardContextual"/>
        </w:rPr>
        <w:t xml:space="preserve"> </w:t>
      </w:r>
      <w:r w:rsidR="00274B3A">
        <w:rPr>
          <w:rFonts w:ascii="Times New Roman" w:eastAsia="Aptos" w:hAnsi="Times New Roman"/>
          <w:bCs/>
          <w:sz w:val="24"/>
          <w:szCs w:val="24"/>
          <w:lang w:val="en-US"/>
          <w14:ligatures w14:val="standardContextual"/>
        </w:rPr>
        <w:t>quo)</w:t>
      </w:r>
      <w:r>
        <w:rPr>
          <w:rFonts w:ascii="Times New Roman" w:eastAsia="Aptos" w:hAnsi="Times New Roman"/>
          <w:bCs/>
          <w:sz w:val="24"/>
          <w:szCs w:val="24"/>
          <w:lang w:val="en-US"/>
          <w14:ligatures w14:val="standardContextual"/>
        </w:rPr>
        <w:t xml:space="preserve"> and argued that in Vietnam the result was attributed to the participants moving to a low-risk area.  Secondly </w:t>
      </w:r>
      <w:r w:rsidRPr="00890257">
        <w:rPr>
          <w:rFonts w:ascii="Times New Roman" w:eastAsia="Aptos" w:hAnsi="Times New Roman"/>
          <w:bCs/>
          <w:sz w:val="24"/>
          <w:szCs w:val="24"/>
          <w:lang w:val="en-US"/>
          <w14:ligatures w14:val="standardContextual"/>
        </w:rPr>
        <w:t xml:space="preserve">unlike in </w:t>
      </w:r>
      <w:r w:rsidR="00274B3A" w:rsidRPr="00890257">
        <w:rPr>
          <w:rFonts w:ascii="Times New Roman" w:eastAsia="Aptos" w:hAnsi="Times New Roman"/>
          <w:bCs/>
          <w:sz w:val="24"/>
          <w:szCs w:val="24"/>
          <w:lang w:val="en-US"/>
          <w14:ligatures w14:val="standardContextual"/>
        </w:rPr>
        <w:t>Zimbabwe</w:t>
      </w:r>
      <w:r w:rsidR="00274B3A">
        <w:rPr>
          <w:rFonts w:ascii="Times New Roman" w:eastAsia="Aptos" w:hAnsi="Times New Roman"/>
          <w:bCs/>
          <w:sz w:val="24"/>
          <w:szCs w:val="24"/>
          <w:lang w:val="en-US"/>
          <w14:ligatures w14:val="standardContextual"/>
        </w:rPr>
        <w:t xml:space="preserve"> with</w:t>
      </w:r>
      <w:r>
        <w:rPr>
          <w:rFonts w:ascii="Times New Roman" w:eastAsia="Aptos" w:hAnsi="Times New Roman"/>
          <w:bCs/>
          <w:sz w:val="24"/>
          <w:szCs w:val="24"/>
          <w:lang w:val="en-US"/>
          <w14:ligatures w14:val="standardContextual"/>
        </w:rPr>
        <w:t xml:space="preserve"> an insignificant rejection of the status quo (ASC) </w:t>
      </w:r>
      <w:r w:rsidRPr="00890257">
        <w:rPr>
          <w:rFonts w:ascii="Times New Roman" w:eastAsia="Aptos" w:hAnsi="Times New Roman"/>
          <w:bCs/>
          <w:sz w:val="24"/>
          <w:szCs w:val="24"/>
          <w:lang w:val="en-US"/>
          <w14:ligatures w14:val="standardContextual"/>
        </w:rPr>
        <w:t>the respond</w:t>
      </w:r>
      <w:r>
        <w:rPr>
          <w:rFonts w:ascii="Times New Roman" w:eastAsia="Aptos" w:hAnsi="Times New Roman"/>
          <w:bCs/>
          <w:sz w:val="24"/>
          <w:szCs w:val="24"/>
          <w:lang w:val="en-US"/>
          <w14:ligatures w14:val="standardContextual"/>
        </w:rPr>
        <w:t xml:space="preserve">ents have not all been relocated to low-risk areas.  Therefore in South Africa insurance is </w:t>
      </w:r>
      <w:r w:rsidRPr="00890257">
        <w:rPr>
          <w:rFonts w:ascii="Times New Roman" w:eastAsia="Aptos" w:hAnsi="Times New Roman"/>
          <w:bCs/>
          <w:sz w:val="24"/>
          <w:szCs w:val="24"/>
          <w:lang w:val="en-US"/>
          <w14:ligatures w14:val="standardContextual"/>
        </w:rPr>
        <w:t>need</w:t>
      </w:r>
      <w:r>
        <w:rPr>
          <w:rFonts w:ascii="Times New Roman" w:eastAsia="Aptos" w:hAnsi="Times New Roman"/>
          <w:bCs/>
          <w:sz w:val="24"/>
          <w:szCs w:val="24"/>
          <w:lang w:val="en-US"/>
          <w14:ligatures w14:val="standardContextual"/>
        </w:rPr>
        <w:t>ed</w:t>
      </w:r>
      <w:r w:rsidRPr="00890257">
        <w:rPr>
          <w:rFonts w:ascii="Times New Roman" w:eastAsia="Aptos" w:hAnsi="Times New Roman"/>
          <w:bCs/>
          <w:sz w:val="24"/>
          <w:szCs w:val="24"/>
          <w:lang w:val="en-US"/>
          <w14:ligatures w14:val="standardContextual"/>
        </w:rPr>
        <w:t xml:space="preserve"> to protect them as they stay in the same place they </w:t>
      </w:r>
      <w:r>
        <w:rPr>
          <w:rFonts w:ascii="Times New Roman" w:eastAsia="Aptos" w:hAnsi="Times New Roman"/>
          <w:bCs/>
          <w:sz w:val="24"/>
          <w:szCs w:val="24"/>
          <w:lang w:val="en-US"/>
          <w14:ligatures w14:val="standardContextual"/>
        </w:rPr>
        <w:t>were</w:t>
      </w:r>
      <w:r w:rsidRPr="00890257">
        <w:rPr>
          <w:rFonts w:ascii="Times New Roman" w:eastAsia="Aptos" w:hAnsi="Times New Roman"/>
          <w:bCs/>
          <w:sz w:val="24"/>
          <w:szCs w:val="24"/>
          <w:lang w:val="en-US"/>
          <w14:ligatures w14:val="standardContextual"/>
        </w:rPr>
        <w:t xml:space="preserve"> affected before.  </w:t>
      </w:r>
    </w:p>
    <w:p w14:paraId="6A8D8F00" w14:textId="77777777" w:rsidR="0069639F" w:rsidRPr="00890257" w:rsidRDefault="0069639F" w:rsidP="00407E38">
      <w:pPr>
        <w:widowControl w:val="0"/>
        <w:autoSpaceDE w:val="0"/>
        <w:autoSpaceDN w:val="0"/>
        <w:adjustRightInd w:val="0"/>
        <w:spacing w:line="360" w:lineRule="auto"/>
        <w:jc w:val="both"/>
        <w:rPr>
          <w:rFonts w:ascii="Times New Roman" w:eastAsia="Aptos" w:hAnsi="Times New Roman"/>
          <w:bCs/>
          <w:sz w:val="24"/>
          <w:szCs w:val="24"/>
          <w:lang w:val="en-US"/>
          <w14:ligatures w14:val="standardContextual"/>
        </w:rPr>
      </w:pPr>
    </w:p>
    <w:p w14:paraId="53B3DD3F" w14:textId="49212EFB" w:rsidR="0069639F" w:rsidRDefault="0069639F" w:rsidP="00407E38">
      <w:pPr>
        <w:widowControl w:val="0"/>
        <w:autoSpaceDE w:val="0"/>
        <w:autoSpaceDN w:val="0"/>
        <w:adjustRightInd w:val="0"/>
        <w:spacing w:line="360" w:lineRule="auto"/>
        <w:jc w:val="both"/>
        <w:rPr>
          <w:rFonts w:ascii="Times New Roman" w:eastAsia="Aptos" w:hAnsi="Times New Roman"/>
          <w:bCs/>
          <w:sz w:val="24"/>
          <w:szCs w:val="24"/>
          <w:lang w:val="en-US"/>
          <w14:ligatures w14:val="standardContextual"/>
        </w:rPr>
      </w:pPr>
      <w:r w:rsidRPr="00890257">
        <w:rPr>
          <w:rFonts w:ascii="Times New Roman" w:eastAsia="Aptos" w:hAnsi="Times New Roman"/>
          <w:bCs/>
          <w:sz w:val="24"/>
          <w:szCs w:val="24"/>
          <w:lang w:val="en-US"/>
          <w14:ligatures w14:val="standardContextual"/>
        </w:rPr>
        <w:lastRenderedPageBreak/>
        <w:t xml:space="preserve">The results of the study also show that provider has a positive and statistically significant impact on the demand </w:t>
      </w:r>
      <w:r>
        <w:rPr>
          <w:rFonts w:ascii="Times New Roman" w:eastAsia="Aptos" w:hAnsi="Times New Roman"/>
          <w:bCs/>
          <w:sz w:val="24"/>
          <w:szCs w:val="24"/>
          <w:lang w:val="en-US"/>
          <w14:ligatures w14:val="standardContextual"/>
        </w:rPr>
        <w:t>for natural hazard insurance. These results mean that the respondents are more likely to purchase natural hazard insurance when it is offered by the government and NGOs/NPOs than when it is offered by private institutions.  These</w:t>
      </w:r>
      <w:r w:rsidRPr="00890257">
        <w:rPr>
          <w:rFonts w:ascii="Times New Roman" w:eastAsia="Aptos" w:hAnsi="Times New Roman"/>
          <w:bCs/>
          <w:sz w:val="24"/>
          <w:szCs w:val="24"/>
          <w:lang w:val="en-US"/>
          <w14:ligatures w14:val="standardContextual"/>
        </w:rPr>
        <w:t xml:space="preserve"> </w:t>
      </w:r>
      <w:r>
        <w:rPr>
          <w:rFonts w:ascii="Times New Roman" w:eastAsia="Aptos" w:hAnsi="Times New Roman"/>
          <w:bCs/>
          <w:sz w:val="24"/>
          <w:szCs w:val="24"/>
          <w:lang w:val="en-US"/>
          <w14:ligatures w14:val="standardContextual"/>
        </w:rPr>
        <w:t>results</w:t>
      </w:r>
      <w:r w:rsidRPr="00890257">
        <w:rPr>
          <w:rFonts w:ascii="Times New Roman" w:eastAsia="Aptos" w:hAnsi="Times New Roman"/>
          <w:bCs/>
          <w:sz w:val="24"/>
          <w:szCs w:val="24"/>
          <w:lang w:val="en-US"/>
          <w14:ligatures w14:val="standardContextual"/>
        </w:rPr>
        <w:t xml:space="preserve"> differed from the results in Zimbabwe as presented in </w:t>
      </w:r>
      <w:r>
        <w:rPr>
          <w:rFonts w:ascii="Times New Roman" w:eastAsia="Aptos" w:hAnsi="Times New Roman"/>
          <w:bCs/>
          <w:sz w:val="24"/>
          <w:szCs w:val="24"/>
          <w:lang w:val="en-US"/>
          <w14:ligatures w14:val="standardContextual"/>
        </w:rPr>
        <w:t>Table</w:t>
      </w:r>
      <w:r w:rsidRPr="00890257">
        <w:rPr>
          <w:rFonts w:ascii="Times New Roman" w:eastAsia="Aptos" w:hAnsi="Times New Roman"/>
          <w:bCs/>
          <w:sz w:val="24"/>
          <w:szCs w:val="24"/>
          <w:lang w:val="en-US"/>
          <w14:ligatures w14:val="standardContextual"/>
        </w:rPr>
        <w:t xml:space="preserve"> </w:t>
      </w:r>
      <w:r w:rsidR="00274B3A">
        <w:rPr>
          <w:rFonts w:ascii="Times New Roman" w:eastAsia="Aptos" w:hAnsi="Times New Roman"/>
          <w:bCs/>
          <w:sz w:val="24"/>
          <w:szCs w:val="24"/>
          <w:lang w:val="en-US"/>
          <w14:ligatures w14:val="standardContextual"/>
        </w:rPr>
        <w:t>4 above,</w:t>
      </w:r>
      <w:r w:rsidRPr="00890257">
        <w:rPr>
          <w:rFonts w:ascii="Times New Roman" w:eastAsia="Aptos" w:hAnsi="Times New Roman"/>
          <w:bCs/>
          <w:sz w:val="24"/>
          <w:szCs w:val="24"/>
          <w:lang w:val="en-US"/>
          <w14:ligatures w14:val="standardContextual"/>
        </w:rPr>
        <w:t xml:space="preserve"> but they are in line with the study of flood insurance in Vietnam </w:t>
      </w:r>
      <w:r>
        <w:rPr>
          <w:rFonts w:ascii="Times New Roman" w:eastAsia="Aptos" w:hAnsi="Times New Roman"/>
          <w:bCs/>
          <w:sz w:val="24"/>
          <w:szCs w:val="24"/>
          <w:lang w:val="en-US"/>
          <w14:ligatures w14:val="standardContextual"/>
        </w:rPr>
        <w:t>by</w:t>
      </w:r>
      <w:r w:rsidRPr="00890257">
        <w:rPr>
          <w:rFonts w:ascii="Times New Roman" w:eastAsia="Aptos" w:hAnsi="Times New Roman"/>
          <w:bCs/>
          <w:sz w:val="24"/>
          <w:szCs w:val="24"/>
          <w:lang w:val="en-US"/>
          <w14:ligatures w14:val="standardContextual"/>
        </w:rPr>
        <w:t xml:space="preserve"> Reynaud, Nguyen &amp; Aubert (2018) who found the probability of insurance scheme being chosen when provided by a government when </w:t>
      </w:r>
      <w:r>
        <w:rPr>
          <w:rFonts w:ascii="Times New Roman" w:eastAsia="Aptos" w:hAnsi="Times New Roman"/>
          <w:bCs/>
          <w:sz w:val="24"/>
          <w:szCs w:val="24"/>
          <w:lang w:val="en-US"/>
          <w14:ligatures w14:val="standardContextual"/>
        </w:rPr>
        <w:t xml:space="preserve">compared to private firms and non-governmental charity organizations </w:t>
      </w:r>
    </w:p>
    <w:p w14:paraId="363BA975" w14:textId="77777777" w:rsidR="0069639F" w:rsidRPr="00890257" w:rsidRDefault="0069639F" w:rsidP="004801FE">
      <w:pPr>
        <w:widowControl w:val="0"/>
        <w:autoSpaceDE w:val="0"/>
        <w:autoSpaceDN w:val="0"/>
        <w:adjustRightInd w:val="0"/>
        <w:jc w:val="both"/>
        <w:rPr>
          <w:rFonts w:ascii="Times New Roman" w:eastAsia="Aptos" w:hAnsi="Times New Roman"/>
          <w:bCs/>
          <w:sz w:val="24"/>
          <w:szCs w:val="24"/>
          <w:lang w:val="en-US"/>
          <w14:ligatures w14:val="standardContextual"/>
        </w:rPr>
      </w:pPr>
    </w:p>
    <w:p w14:paraId="2C35D035" w14:textId="77777777" w:rsidR="0069639F" w:rsidRDefault="0069639F" w:rsidP="004801FE">
      <w:pPr>
        <w:jc w:val="both"/>
        <w:rPr>
          <w:rFonts w:ascii="Times New Roman" w:eastAsia="Aptos" w:hAnsi="Times New Roman"/>
          <w:bCs/>
          <w:sz w:val="24"/>
          <w:szCs w:val="24"/>
          <w:lang w:val="en-US"/>
          <w14:ligatures w14:val="standardContextual"/>
        </w:rPr>
      </w:pPr>
    </w:p>
    <w:p w14:paraId="27814909" w14:textId="6C5776AE" w:rsidR="0069639F" w:rsidRDefault="0069639F" w:rsidP="004801FE">
      <w:pPr>
        <w:jc w:val="both"/>
        <w:rPr>
          <w:rFonts w:ascii="Times New Roman" w:eastAsia="Aptos" w:hAnsi="Times New Roman"/>
          <w:bCs/>
          <w:sz w:val="24"/>
          <w:szCs w:val="24"/>
          <w:lang w:val="en-US"/>
          <w14:ligatures w14:val="standardContextual"/>
        </w:rPr>
      </w:pPr>
      <w:bookmarkStart w:id="22" w:name="_Toc187315302"/>
      <w:r>
        <w:t xml:space="preserve">Table </w:t>
      </w:r>
      <w:r w:rsidR="00274B3A">
        <w:t>5</w:t>
      </w:r>
      <w:r>
        <w:t xml:space="preserve"> </w:t>
      </w:r>
      <w:r w:rsidRPr="00DE4EA4">
        <w:t>results for demand for natural hazard insurance demand in South Africa</w:t>
      </w:r>
      <w:bookmarkEnd w:id="22"/>
    </w:p>
    <w:p w14:paraId="25DBB88F" w14:textId="77777777" w:rsidR="0069639F" w:rsidRPr="00E43114" w:rsidRDefault="0069639F" w:rsidP="004801FE">
      <w:pPr>
        <w:widowControl w:val="0"/>
        <w:autoSpaceDE w:val="0"/>
        <w:autoSpaceDN w:val="0"/>
        <w:adjustRightInd w:val="0"/>
        <w:rPr>
          <w:rFonts w:ascii="Garamond" w:hAnsi="Garamond"/>
          <w:lang w:val="en-US"/>
        </w:rPr>
      </w:pPr>
      <w:r>
        <w:rPr>
          <w:rFonts w:ascii="Garamond" w:hAnsi="Garamond"/>
          <w:lang w:val="en-US"/>
        </w:rPr>
        <w:t xml:space="preserve">Conditional logit choice model                                                                           Number of </w:t>
      </w:r>
      <w:proofErr w:type="spellStart"/>
      <w:r>
        <w:rPr>
          <w:rFonts w:ascii="Garamond" w:hAnsi="Garamond"/>
          <w:lang w:val="en-US"/>
        </w:rPr>
        <w:t>obs</w:t>
      </w:r>
      <w:proofErr w:type="spellEnd"/>
      <w:r>
        <w:rPr>
          <w:rFonts w:ascii="Garamond" w:hAnsi="Garamond"/>
          <w:lang w:val="en-US"/>
        </w:rPr>
        <w:t xml:space="preserve">      =      1,263</w:t>
      </w:r>
      <w:r>
        <w:rPr>
          <w:rFonts w:ascii="Garamond" w:hAnsi="Garamond"/>
          <w:lang w:val="en-US"/>
        </w:rPr>
        <w:br/>
        <w:t>Case ID variable: _</w:t>
      </w:r>
      <w:proofErr w:type="spellStart"/>
      <w:r>
        <w:rPr>
          <w:rFonts w:ascii="Garamond" w:hAnsi="Garamond"/>
          <w:lang w:val="en-US"/>
        </w:rPr>
        <w:t>caseid</w:t>
      </w:r>
      <w:proofErr w:type="spellEnd"/>
      <w:r>
        <w:rPr>
          <w:rFonts w:ascii="Garamond" w:hAnsi="Garamond"/>
          <w:lang w:val="en-US"/>
        </w:rPr>
        <w:t xml:space="preserve">                                                                                    Number of cases    =        421</w:t>
      </w:r>
      <w:r>
        <w:rPr>
          <w:rFonts w:ascii="Garamond" w:hAnsi="Garamond"/>
          <w:lang w:val="en-US"/>
        </w:rPr>
        <w:br/>
        <w:t>Alternatives variable: Domain                                                                            Alts per case: min    =          3</w:t>
      </w:r>
      <w:r>
        <w:rPr>
          <w:rFonts w:ascii="Garamond" w:hAnsi="Garamond"/>
          <w:lang w:val="en-US"/>
        </w:rPr>
        <w:br/>
        <w:t xml:space="preserve">                                                                                                                           avg                          =        3.0</w:t>
      </w:r>
      <w:r>
        <w:rPr>
          <w:rFonts w:ascii="Garamond" w:hAnsi="Garamond"/>
          <w:lang w:val="en-US"/>
        </w:rPr>
        <w:br/>
        <w:t xml:space="preserve">                                                                                                                           max                         =          3</w:t>
      </w:r>
      <w:r>
        <w:rPr>
          <w:rFonts w:ascii="Garamond" w:hAnsi="Garamond"/>
          <w:lang w:val="en-US"/>
        </w:rPr>
        <w:br/>
        <w:t xml:space="preserve">                                                                                                                          Wald chi2(8)              =     379.33</w:t>
      </w:r>
      <w:r>
        <w:rPr>
          <w:rFonts w:ascii="Garamond" w:hAnsi="Garamond"/>
          <w:lang w:val="en-US"/>
        </w:rPr>
        <w:br/>
        <w:t>Log pseudo likelihood = -444.66566                                                                  Prob &gt; chi2                 =     0.0000</w:t>
      </w:r>
      <w:r>
        <w:rPr>
          <w:rFonts w:ascii="Garamond" w:hAnsi="Garamond"/>
          <w:lang w:val="en-US"/>
        </w:rPr>
        <w:br/>
        <w:t xml:space="preserve">                                                                                                               (Std. err. adjusted for 60 clusters in ID)</w:t>
      </w:r>
      <w:r>
        <w:rPr>
          <w:rFonts w:ascii="Garamond" w:hAnsi="Garamond"/>
          <w:lang w:val="en-US"/>
        </w:rPr>
        <w:br/>
      </w:r>
    </w:p>
    <w:tbl>
      <w:tblPr>
        <w:tblW w:w="10472" w:type="dxa"/>
        <w:tblLayout w:type="fixed"/>
        <w:tblLook w:val="0000" w:firstRow="0" w:lastRow="0" w:firstColumn="0" w:lastColumn="0" w:noHBand="0" w:noVBand="0"/>
      </w:tblPr>
      <w:tblGrid>
        <w:gridCol w:w="1622"/>
        <w:gridCol w:w="1212"/>
        <w:gridCol w:w="305"/>
        <w:gridCol w:w="908"/>
        <w:gridCol w:w="1213"/>
        <w:gridCol w:w="1213"/>
        <w:gridCol w:w="104"/>
        <w:gridCol w:w="1013"/>
        <w:gridCol w:w="506"/>
        <w:gridCol w:w="809"/>
        <w:gridCol w:w="1207"/>
        <w:gridCol w:w="360"/>
      </w:tblGrid>
      <w:tr w:rsidR="0069639F" w14:paraId="5E2B9570" w14:textId="77777777" w:rsidTr="00872168">
        <w:trPr>
          <w:gridAfter w:val="5"/>
          <w:wAfter w:w="3895" w:type="dxa"/>
          <w:trHeight w:val="238"/>
        </w:trPr>
        <w:tc>
          <w:tcPr>
            <w:tcW w:w="3139" w:type="dxa"/>
            <w:gridSpan w:val="3"/>
            <w:tcBorders>
              <w:top w:val="nil"/>
              <w:left w:val="nil"/>
              <w:bottom w:val="nil"/>
              <w:right w:val="nil"/>
            </w:tcBorders>
          </w:tcPr>
          <w:p w14:paraId="79441B11" w14:textId="77777777" w:rsidR="0069639F" w:rsidRDefault="0069639F" w:rsidP="004801FE">
            <w:pPr>
              <w:widowControl w:val="0"/>
              <w:autoSpaceDE w:val="0"/>
              <w:autoSpaceDN w:val="0"/>
              <w:adjustRightInd w:val="0"/>
              <w:rPr>
                <w:rFonts w:ascii="Garamond" w:hAnsi="Garamond"/>
                <w:lang w:val="en-US"/>
              </w:rPr>
            </w:pPr>
          </w:p>
        </w:tc>
        <w:tc>
          <w:tcPr>
            <w:tcW w:w="3438" w:type="dxa"/>
            <w:gridSpan w:val="4"/>
            <w:tcBorders>
              <w:top w:val="nil"/>
              <w:left w:val="nil"/>
              <w:bottom w:val="nil"/>
              <w:right w:val="nil"/>
            </w:tcBorders>
          </w:tcPr>
          <w:p w14:paraId="44CF4234"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w:t>
            </w:r>
          </w:p>
        </w:tc>
      </w:tr>
      <w:tr w:rsidR="0069639F" w14:paraId="71A1DBCC" w14:textId="77777777" w:rsidTr="00872168">
        <w:trPr>
          <w:trHeight w:val="460"/>
        </w:trPr>
        <w:tc>
          <w:tcPr>
            <w:tcW w:w="1622" w:type="dxa"/>
            <w:tcBorders>
              <w:top w:val="single" w:sz="4" w:space="0" w:color="auto"/>
              <w:left w:val="nil"/>
              <w:bottom w:val="single" w:sz="10" w:space="0" w:color="auto"/>
              <w:right w:val="nil"/>
            </w:tcBorders>
          </w:tcPr>
          <w:p w14:paraId="4910CDA4"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Choice </w:t>
            </w:r>
          </w:p>
        </w:tc>
        <w:tc>
          <w:tcPr>
            <w:tcW w:w="1212" w:type="dxa"/>
            <w:tcBorders>
              <w:top w:val="single" w:sz="4" w:space="0" w:color="auto"/>
              <w:left w:val="nil"/>
              <w:bottom w:val="single" w:sz="10" w:space="0" w:color="auto"/>
              <w:right w:val="nil"/>
            </w:tcBorders>
          </w:tcPr>
          <w:p w14:paraId="24ADF242"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Coefficient</w:t>
            </w:r>
          </w:p>
        </w:tc>
        <w:tc>
          <w:tcPr>
            <w:tcW w:w="1213" w:type="dxa"/>
            <w:gridSpan w:val="2"/>
            <w:tcBorders>
              <w:top w:val="single" w:sz="4" w:space="0" w:color="auto"/>
              <w:left w:val="nil"/>
              <w:bottom w:val="single" w:sz="10" w:space="0" w:color="auto"/>
              <w:right w:val="nil"/>
            </w:tcBorders>
          </w:tcPr>
          <w:p w14:paraId="4033941C"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Robust</w:t>
            </w:r>
          </w:p>
          <w:p w14:paraId="15C5D09D"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std. err.</w:t>
            </w:r>
          </w:p>
        </w:tc>
        <w:tc>
          <w:tcPr>
            <w:tcW w:w="1213" w:type="dxa"/>
            <w:tcBorders>
              <w:top w:val="single" w:sz="4" w:space="0" w:color="auto"/>
              <w:left w:val="nil"/>
              <w:bottom w:val="single" w:sz="10" w:space="0" w:color="auto"/>
              <w:right w:val="nil"/>
            </w:tcBorders>
          </w:tcPr>
          <w:p w14:paraId="60E0D3BA"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z</w:t>
            </w:r>
          </w:p>
        </w:tc>
        <w:tc>
          <w:tcPr>
            <w:tcW w:w="1213" w:type="dxa"/>
            <w:tcBorders>
              <w:top w:val="single" w:sz="4" w:space="0" w:color="auto"/>
              <w:left w:val="nil"/>
              <w:bottom w:val="single" w:sz="10" w:space="0" w:color="auto"/>
              <w:right w:val="nil"/>
            </w:tcBorders>
          </w:tcPr>
          <w:p w14:paraId="2C27655B"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P&gt;z</w:t>
            </w:r>
          </w:p>
        </w:tc>
        <w:tc>
          <w:tcPr>
            <w:tcW w:w="1117" w:type="dxa"/>
            <w:gridSpan w:val="2"/>
            <w:tcBorders>
              <w:top w:val="single" w:sz="4" w:space="0" w:color="auto"/>
              <w:left w:val="nil"/>
              <w:bottom w:val="single" w:sz="10" w:space="0" w:color="auto"/>
              <w:right w:val="nil"/>
            </w:tcBorders>
          </w:tcPr>
          <w:p w14:paraId="7E682547"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[95%</w:t>
            </w:r>
          </w:p>
        </w:tc>
        <w:tc>
          <w:tcPr>
            <w:tcW w:w="2522" w:type="dxa"/>
            <w:gridSpan w:val="3"/>
            <w:tcBorders>
              <w:top w:val="single" w:sz="4" w:space="0" w:color="auto"/>
              <w:left w:val="nil"/>
              <w:bottom w:val="single" w:sz="10" w:space="0" w:color="auto"/>
              <w:right w:val="nil"/>
            </w:tcBorders>
          </w:tcPr>
          <w:p w14:paraId="7C6B1118"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conf. interval]</w:t>
            </w:r>
          </w:p>
          <w:p w14:paraId="327BD31C"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w:t>
            </w:r>
          </w:p>
        </w:tc>
        <w:tc>
          <w:tcPr>
            <w:tcW w:w="360" w:type="dxa"/>
            <w:tcBorders>
              <w:top w:val="single" w:sz="4" w:space="0" w:color="auto"/>
              <w:left w:val="nil"/>
              <w:bottom w:val="single" w:sz="10" w:space="0" w:color="auto"/>
              <w:right w:val="nil"/>
            </w:tcBorders>
          </w:tcPr>
          <w:p w14:paraId="535EA9B8" w14:textId="77777777" w:rsidR="0069639F" w:rsidRDefault="0069639F" w:rsidP="004801FE">
            <w:pPr>
              <w:widowControl w:val="0"/>
              <w:autoSpaceDE w:val="0"/>
              <w:autoSpaceDN w:val="0"/>
              <w:adjustRightInd w:val="0"/>
              <w:rPr>
                <w:rFonts w:ascii="Garamond" w:hAnsi="Garamond"/>
                <w:lang w:val="en-US"/>
              </w:rPr>
            </w:pPr>
          </w:p>
        </w:tc>
      </w:tr>
      <w:tr w:rsidR="0069639F" w14:paraId="09633998" w14:textId="77777777" w:rsidTr="00872168">
        <w:trPr>
          <w:gridAfter w:val="9"/>
          <w:wAfter w:w="7333" w:type="dxa"/>
          <w:trHeight w:val="222"/>
        </w:trPr>
        <w:tc>
          <w:tcPr>
            <w:tcW w:w="3139" w:type="dxa"/>
            <w:gridSpan w:val="3"/>
            <w:tcBorders>
              <w:top w:val="nil"/>
              <w:left w:val="nil"/>
              <w:bottom w:val="nil"/>
              <w:right w:val="nil"/>
            </w:tcBorders>
          </w:tcPr>
          <w:p w14:paraId="697A06C9"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Domain       </w:t>
            </w:r>
          </w:p>
        </w:tc>
      </w:tr>
      <w:tr w:rsidR="0069639F" w14:paraId="6F643E3D" w14:textId="77777777" w:rsidTr="00872168">
        <w:trPr>
          <w:gridAfter w:val="2"/>
          <w:wAfter w:w="1567" w:type="dxa"/>
          <w:trHeight w:val="238"/>
        </w:trPr>
        <w:tc>
          <w:tcPr>
            <w:tcW w:w="1622" w:type="dxa"/>
            <w:tcBorders>
              <w:top w:val="nil"/>
              <w:left w:val="nil"/>
              <w:bottom w:val="nil"/>
              <w:right w:val="nil"/>
            </w:tcBorders>
          </w:tcPr>
          <w:p w14:paraId="3EA53743"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ASC </w:t>
            </w:r>
          </w:p>
        </w:tc>
        <w:tc>
          <w:tcPr>
            <w:tcW w:w="1212" w:type="dxa"/>
            <w:tcBorders>
              <w:top w:val="nil"/>
              <w:left w:val="nil"/>
              <w:bottom w:val="nil"/>
              <w:right w:val="nil"/>
            </w:tcBorders>
          </w:tcPr>
          <w:p w14:paraId="6345E446"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-13.725**</w:t>
            </w:r>
          </w:p>
        </w:tc>
        <w:tc>
          <w:tcPr>
            <w:tcW w:w="1213" w:type="dxa"/>
            <w:gridSpan w:val="2"/>
            <w:tcBorders>
              <w:top w:val="nil"/>
              <w:left w:val="nil"/>
              <w:bottom w:val="nil"/>
              <w:right w:val="nil"/>
            </w:tcBorders>
          </w:tcPr>
          <w:p w14:paraId="0B533098"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0.753</w:t>
            </w:r>
          </w:p>
        </w:tc>
        <w:tc>
          <w:tcPr>
            <w:tcW w:w="1213" w:type="dxa"/>
            <w:tcBorders>
              <w:top w:val="nil"/>
              <w:left w:val="nil"/>
              <w:bottom w:val="nil"/>
              <w:right w:val="nil"/>
            </w:tcBorders>
          </w:tcPr>
          <w:p w14:paraId="117BDE8F"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-18.240</w:t>
            </w:r>
          </w:p>
        </w:tc>
        <w:tc>
          <w:tcPr>
            <w:tcW w:w="1213" w:type="dxa"/>
            <w:tcBorders>
              <w:top w:val="nil"/>
              <w:left w:val="nil"/>
              <w:bottom w:val="nil"/>
              <w:right w:val="nil"/>
            </w:tcBorders>
          </w:tcPr>
          <w:p w14:paraId="5815D549"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0.000</w:t>
            </w:r>
          </w:p>
        </w:tc>
        <w:tc>
          <w:tcPr>
            <w:tcW w:w="1117" w:type="dxa"/>
            <w:gridSpan w:val="2"/>
            <w:tcBorders>
              <w:top w:val="nil"/>
              <w:left w:val="nil"/>
              <w:bottom w:val="nil"/>
              <w:right w:val="nil"/>
            </w:tcBorders>
          </w:tcPr>
          <w:p w14:paraId="58A43A58"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-15.200</w:t>
            </w:r>
          </w:p>
        </w:tc>
        <w:tc>
          <w:tcPr>
            <w:tcW w:w="1315" w:type="dxa"/>
            <w:gridSpan w:val="2"/>
            <w:tcBorders>
              <w:top w:val="nil"/>
              <w:left w:val="nil"/>
              <w:bottom w:val="nil"/>
              <w:right w:val="nil"/>
            </w:tcBorders>
          </w:tcPr>
          <w:p w14:paraId="2F5F203B"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-12.250</w:t>
            </w:r>
          </w:p>
        </w:tc>
      </w:tr>
      <w:tr w:rsidR="0069639F" w14:paraId="72F5FA9B" w14:textId="77777777" w:rsidTr="00872168">
        <w:trPr>
          <w:gridAfter w:val="9"/>
          <w:wAfter w:w="7333" w:type="dxa"/>
          <w:trHeight w:val="238"/>
        </w:trPr>
        <w:tc>
          <w:tcPr>
            <w:tcW w:w="3139" w:type="dxa"/>
            <w:gridSpan w:val="3"/>
            <w:tcBorders>
              <w:top w:val="nil"/>
              <w:left w:val="nil"/>
              <w:bottom w:val="nil"/>
              <w:right w:val="nil"/>
            </w:tcBorders>
          </w:tcPr>
          <w:p w14:paraId="73B49CF3" w14:textId="77777777" w:rsidR="0069639F" w:rsidRDefault="0069639F" w:rsidP="004801FE">
            <w:pPr>
              <w:widowControl w:val="0"/>
              <w:autoSpaceDE w:val="0"/>
              <w:autoSpaceDN w:val="0"/>
              <w:adjustRightInd w:val="0"/>
              <w:rPr>
                <w:rFonts w:ascii="Garamond" w:hAnsi="Garamond"/>
                <w:lang w:val="en-US"/>
              </w:rPr>
            </w:pPr>
          </w:p>
        </w:tc>
      </w:tr>
      <w:tr w:rsidR="0069639F" w14:paraId="361B0311" w14:textId="77777777" w:rsidTr="00872168">
        <w:trPr>
          <w:gridAfter w:val="9"/>
          <w:wAfter w:w="7333" w:type="dxa"/>
          <w:trHeight w:val="238"/>
        </w:trPr>
        <w:tc>
          <w:tcPr>
            <w:tcW w:w="3139" w:type="dxa"/>
            <w:gridSpan w:val="3"/>
            <w:tcBorders>
              <w:top w:val="nil"/>
              <w:left w:val="nil"/>
              <w:bottom w:val="nil"/>
              <w:right w:val="nil"/>
            </w:tcBorders>
          </w:tcPr>
          <w:p w14:paraId="619BEE8A"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Provider </w:t>
            </w:r>
          </w:p>
        </w:tc>
      </w:tr>
      <w:tr w:rsidR="0069639F" w14:paraId="03197436" w14:textId="77777777" w:rsidTr="00872168">
        <w:trPr>
          <w:gridAfter w:val="2"/>
          <w:wAfter w:w="1567" w:type="dxa"/>
          <w:trHeight w:val="238"/>
        </w:trPr>
        <w:tc>
          <w:tcPr>
            <w:tcW w:w="1622" w:type="dxa"/>
            <w:tcBorders>
              <w:top w:val="nil"/>
              <w:left w:val="nil"/>
              <w:bottom w:val="nil"/>
              <w:right w:val="nil"/>
            </w:tcBorders>
          </w:tcPr>
          <w:p w14:paraId="45518256"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Government   </w:t>
            </w:r>
          </w:p>
        </w:tc>
        <w:tc>
          <w:tcPr>
            <w:tcW w:w="1212" w:type="dxa"/>
            <w:tcBorders>
              <w:top w:val="nil"/>
              <w:left w:val="nil"/>
              <w:bottom w:val="nil"/>
              <w:right w:val="nil"/>
            </w:tcBorders>
          </w:tcPr>
          <w:p w14:paraId="6301EAF1"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0.295**</w:t>
            </w:r>
          </w:p>
        </w:tc>
        <w:tc>
          <w:tcPr>
            <w:tcW w:w="1213" w:type="dxa"/>
            <w:gridSpan w:val="2"/>
            <w:tcBorders>
              <w:top w:val="nil"/>
              <w:left w:val="nil"/>
              <w:bottom w:val="nil"/>
              <w:right w:val="nil"/>
            </w:tcBorders>
          </w:tcPr>
          <w:p w14:paraId="5B9F0740"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0.124</w:t>
            </w:r>
          </w:p>
        </w:tc>
        <w:tc>
          <w:tcPr>
            <w:tcW w:w="1213" w:type="dxa"/>
            <w:tcBorders>
              <w:top w:val="nil"/>
              <w:left w:val="nil"/>
              <w:bottom w:val="nil"/>
              <w:right w:val="nil"/>
            </w:tcBorders>
          </w:tcPr>
          <w:p w14:paraId="7EE60B12"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2.380</w:t>
            </w:r>
          </w:p>
        </w:tc>
        <w:tc>
          <w:tcPr>
            <w:tcW w:w="1213" w:type="dxa"/>
            <w:tcBorders>
              <w:top w:val="nil"/>
              <w:left w:val="nil"/>
              <w:bottom w:val="nil"/>
              <w:right w:val="nil"/>
            </w:tcBorders>
          </w:tcPr>
          <w:p w14:paraId="5A43B629"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0.017</w:t>
            </w:r>
          </w:p>
        </w:tc>
        <w:tc>
          <w:tcPr>
            <w:tcW w:w="1117" w:type="dxa"/>
            <w:gridSpan w:val="2"/>
            <w:tcBorders>
              <w:top w:val="nil"/>
              <w:left w:val="nil"/>
              <w:bottom w:val="nil"/>
              <w:right w:val="nil"/>
            </w:tcBorders>
          </w:tcPr>
          <w:p w14:paraId="72B03036"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0.053</w:t>
            </w:r>
          </w:p>
        </w:tc>
        <w:tc>
          <w:tcPr>
            <w:tcW w:w="1315" w:type="dxa"/>
            <w:gridSpan w:val="2"/>
            <w:tcBorders>
              <w:top w:val="nil"/>
              <w:left w:val="nil"/>
              <w:bottom w:val="nil"/>
              <w:right w:val="nil"/>
            </w:tcBorders>
          </w:tcPr>
          <w:p w14:paraId="6C368857"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0.538</w:t>
            </w:r>
          </w:p>
        </w:tc>
      </w:tr>
      <w:tr w:rsidR="0069639F" w14:paraId="3E9315C7" w14:textId="77777777" w:rsidTr="00872168">
        <w:trPr>
          <w:gridAfter w:val="2"/>
          <w:wAfter w:w="1567" w:type="dxa"/>
          <w:trHeight w:val="238"/>
        </w:trPr>
        <w:tc>
          <w:tcPr>
            <w:tcW w:w="1622" w:type="dxa"/>
            <w:tcBorders>
              <w:top w:val="nil"/>
              <w:left w:val="nil"/>
              <w:bottom w:val="nil"/>
              <w:right w:val="nil"/>
            </w:tcBorders>
          </w:tcPr>
          <w:p w14:paraId="028BDFD0"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NGO  </w:t>
            </w:r>
          </w:p>
        </w:tc>
        <w:tc>
          <w:tcPr>
            <w:tcW w:w="1212" w:type="dxa"/>
            <w:tcBorders>
              <w:top w:val="nil"/>
              <w:left w:val="nil"/>
              <w:bottom w:val="nil"/>
              <w:right w:val="nil"/>
            </w:tcBorders>
          </w:tcPr>
          <w:p w14:paraId="4B15D7C6"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0.370*</w:t>
            </w:r>
          </w:p>
        </w:tc>
        <w:tc>
          <w:tcPr>
            <w:tcW w:w="1213" w:type="dxa"/>
            <w:gridSpan w:val="2"/>
            <w:tcBorders>
              <w:top w:val="nil"/>
              <w:left w:val="nil"/>
              <w:bottom w:val="nil"/>
              <w:right w:val="nil"/>
            </w:tcBorders>
          </w:tcPr>
          <w:p w14:paraId="2003B406"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0.197</w:t>
            </w:r>
          </w:p>
        </w:tc>
        <w:tc>
          <w:tcPr>
            <w:tcW w:w="1213" w:type="dxa"/>
            <w:tcBorders>
              <w:top w:val="nil"/>
              <w:left w:val="nil"/>
              <w:bottom w:val="nil"/>
              <w:right w:val="nil"/>
            </w:tcBorders>
          </w:tcPr>
          <w:p w14:paraId="491E07FF"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1.870</w:t>
            </w:r>
          </w:p>
        </w:tc>
        <w:tc>
          <w:tcPr>
            <w:tcW w:w="1213" w:type="dxa"/>
            <w:tcBorders>
              <w:top w:val="nil"/>
              <w:left w:val="nil"/>
              <w:bottom w:val="nil"/>
              <w:right w:val="nil"/>
            </w:tcBorders>
          </w:tcPr>
          <w:p w14:paraId="202595DC"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0.061</w:t>
            </w:r>
          </w:p>
        </w:tc>
        <w:tc>
          <w:tcPr>
            <w:tcW w:w="1117" w:type="dxa"/>
            <w:gridSpan w:val="2"/>
            <w:tcBorders>
              <w:top w:val="nil"/>
              <w:left w:val="nil"/>
              <w:bottom w:val="nil"/>
              <w:right w:val="nil"/>
            </w:tcBorders>
          </w:tcPr>
          <w:p w14:paraId="5CF2D2B1"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-0.017</w:t>
            </w:r>
          </w:p>
        </w:tc>
        <w:tc>
          <w:tcPr>
            <w:tcW w:w="1315" w:type="dxa"/>
            <w:gridSpan w:val="2"/>
            <w:tcBorders>
              <w:top w:val="nil"/>
              <w:left w:val="nil"/>
              <w:bottom w:val="nil"/>
              <w:right w:val="nil"/>
            </w:tcBorders>
          </w:tcPr>
          <w:p w14:paraId="6A89ABDC"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0.757</w:t>
            </w:r>
          </w:p>
        </w:tc>
      </w:tr>
      <w:tr w:rsidR="0069639F" w14:paraId="2F50E2F8" w14:textId="77777777" w:rsidTr="00872168">
        <w:trPr>
          <w:gridAfter w:val="9"/>
          <w:wAfter w:w="7333" w:type="dxa"/>
          <w:trHeight w:val="238"/>
        </w:trPr>
        <w:tc>
          <w:tcPr>
            <w:tcW w:w="3139" w:type="dxa"/>
            <w:gridSpan w:val="3"/>
            <w:tcBorders>
              <w:top w:val="nil"/>
              <w:left w:val="nil"/>
              <w:bottom w:val="nil"/>
              <w:right w:val="nil"/>
            </w:tcBorders>
          </w:tcPr>
          <w:p w14:paraId="2BB73AA0" w14:textId="77777777" w:rsidR="0069639F" w:rsidRDefault="0069639F" w:rsidP="004801FE">
            <w:pPr>
              <w:widowControl w:val="0"/>
              <w:autoSpaceDE w:val="0"/>
              <w:autoSpaceDN w:val="0"/>
              <w:adjustRightInd w:val="0"/>
              <w:rPr>
                <w:rFonts w:ascii="Garamond" w:hAnsi="Garamond"/>
                <w:lang w:val="en-US"/>
              </w:rPr>
            </w:pPr>
          </w:p>
        </w:tc>
      </w:tr>
      <w:tr w:rsidR="0069639F" w14:paraId="7F4EE4D9" w14:textId="77777777" w:rsidTr="00872168">
        <w:trPr>
          <w:gridAfter w:val="2"/>
          <w:wAfter w:w="1567" w:type="dxa"/>
          <w:trHeight w:val="254"/>
        </w:trPr>
        <w:tc>
          <w:tcPr>
            <w:tcW w:w="1622" w:type="dxa"/>
            <w:tcBorders>
              <w:top w:val="nil"/>
              <w:left w:val="nil"/>
              <w:bottom w:val="nil"/>
              <w:right w:val="nil"/>
            </w:tcBorders>
          </w:tcPr>
          <w:p w14:paraId="4D200B93"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Maxi </w:t>
            </w:r>
          </w:p>
        </w:tc>
        <w:tc>
          <w:tcPr>
            <w:tcW w:w="1212" w:type="dxa"/>
            <w:tcBorders>
              <w:top w:val="nil"/>
              <w:left w:val="nil"/>
              <w:bottom w:val="nil"/>
              <w:right w:val="nil"/>
            </w:tcBorders>
          </w:tcPr>
          <w:p w14:paraId="6168EB2E"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w:t>
            </w:r>
            <w:r w:rsidRPr="00EC7A31">
              <w:rPr>
                <w:rFonts w:ascii="Times New Roman" w:hAnsi="Times New Roman"/>
                <w:lang w:val="en-ZA"/>
              </w:rPr>
              <w:t>2.64e-06</w:t>
            </w:r>
          </w:p>
        </w:tc>
        <w:tc>
          <w:tcPr>
            <w:tcW w:w="1213" w:type="dxa"/>
            <w:gridSpan w:val="2"/>
            <w:tcBorders>
              <w:top w:val="nil"/>
              <w:left w:val="nil"/>
              <w:bottom w:val="nil"/>
              <w:right w:val="nil"/>
            </w:tcBorders>
          </w:tcPr>
          <w:p w14:paraId="11132951"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0.000</w:t>
            </w:r>
          </w:p>
        </w:tc>
        <w:tc>
          <w:tcPr>
            <w:tcW w:w="1213" w:type="dxa"/>
            <w:tcBorders>
              <w:top w:val="nil"/>
              <w:left w:val="nil"/>
              <w:bottom w:val="nil"/>
              <w:right w:val="nil"/>
            </w:tcBorders>
          </w:tcPr>
          <w:p w14:paraId="2724C798"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1.000</w:t>
            </w:r>
          </w:p>
        </w:tc>
        <w:tc>
          <w:tcPr>
            <w:tcW w:w="1213" w:type="dxa"/>
            <w:tcBorders>
              <w:top w:val="nil"/>
              <w:left w:val="nil"/>
              <w:bottom w:val="nil"/>
              <w:right w:val="nil"/>
            </w:tcBorders>
          </w:tcPr>
          <w:p w14:paraId="4909CA6A"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0.320</w:t>
            </w:r>
          </w:p>
        </w:tc>
        <w:tc>
          <w:tcPr>
            <w:tcW w:w="1117" w:type="dxa"/>
            <w:gridSpan w:val="2"/>
            <w:tcBorders>
              <w:top w:val="nil"/>
              <w:left w:val="nil"/>
              <w:bottom w:val="nil"/>
              <w:right w:val="nil"/>
            </w:tcBorders>
          </w:tcPr>
          <w:p w14:paraId="17A72731"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-0.000</w:t>
            </w:r>
          </w:p>
        </w:tc>
        <w:tc>
          <w:tcPr>
            <w:tcW w:w="1315" w:type="dxa"/>
            <w:gridSpan w:val="2"/>
            <w:tcBorders>
              <w:top w:val="nil"/>
              <w:left w:val="nil"/>
              <w:bottom w:val="nil"/>
              <w:right w:val="nil"/>
            </w:tcBorders>
          </w:tcPr>
          <w:p w14:paraId="02973EBF"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0.000</w:t>
            </w:r>
          </w:p>
        </w:tc>
      </w:tr>
      <w:tr w:rsidR="0069639F" w14:paraId="7C776EA2" w14:textId="77777777" w:rsidTr="00872168">
        <w:trPr>
          <w:gridAfter w:val="2"/>
          <w:wAfter w:w="1567" w:type="dxa"/>
          <w:trHeight w:val="238"/>
        </w:trPr>
        <w:tc>
          <w:tcPr>
            <w:tcW w:w="1622" w:type="dxa"/>
            <w:tcBorders>
              <w:top w:val="nil"/>
              <w:left w:val="nil"/>
              <w:bottom w:val="nil"/>
              <w:right w:val="nil"/>
            </w:tcBorders>
          </w:tcPr>
          <w:p w14:paraId="10AE5345"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Premium </w:t>
            </w:r>
          </w:p>
        </w:tc>
        <w:tc>
          <w:tcPr>
            <w:tcW w:w="1212" w:type="dxa"/>
            <w:tcBorders>
              <w:top w:val="nil"/>
              <w:left w:val="nil"/>
              <w:bottom w:val="nil"/>
              <w:right w:val="nil"/>
            </w:tcBorders>
          </w:tcPr>
          <w:p w14:paraId="0ABD40FB"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-0.003</w:t>
            </w:r>
          </w:p>
        </w:tc>
        <w:tc>
          <w:tcPr>
            <w:tcW w:w="1213" w:type="dxa"/>
            <w:gridSpan w:val="2"/>
            <w:tcBorders>
              <w:top w:val="nil"/>
              <w:left w:val="nil"/>
              <w:bottom w:val="nil"/>
              <w:right w:val="nil"/>
            </w:tcBorders>
          </w:tcPr>
          <w:p w14:paraId="19729888"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0.002</w:t>
            </w:r>
          </w:p>
        </w:tc>
        <w:tc>
          <w:tcPr>
            <w:tcW w:w="1213" w:type="dxa"/>
            <w:tcBorders>
              <w:top w:val="nil"/>
              <w:left w:val="nil"/>
              <w:bottom w:val="nil"/>
              <w:right w:val="nil"/>
            </w:tcBorders>
          </w:tcPr>
          <w:p w14:paraId="5C52477C"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-1.500</w:t>
            </w:r>
          </w:p>
        </w:tc>
        <w:tc>
          <w:tcPr>
            <w:tcW w:w="1213" w:type="dxa"/>
            <w:tcBorders>
              <w:top w:val="nil"/>
              <w:left w:val="nil"/>
              <w:bottom w:val="nil"/>
              <w:right w:val="nil"/>
            </w:tcBorders>
          </w:tcPr>
          <w:p w14:paraId="5B8D5515"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0.134</w:t>
            </w:r>
          </w:p>
        </w:tc>
        <w:tc>
          <w:tcPr>
            <w:tcW w:w="1117" w:type="dxa"/>
            <w:gridSpan w:val="2"/>
            <w:tcBorders>
              <w:top w:val="nil"/>
              <w:left w:val="nil"/>
              <w:bottom w:val="nil"/>
              <w:right w:val="nil"/>
            </w:tcBorders>
          </w:tcPr>
          <w:p w14:paraId="5805FC31"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-0.008</w:t>
            </w:r>
          </w:p>
        </w:tc>
        <w:tc>
          <w:tcPr>
            <w:tcW w:w="1315" w:type="dxa"/>
            <w:gridSpan w:val="2"/>
            <w:tcBorders>
              <w:top w:val="nil"/>
              <w:left w:val="nil"/>
              <w:bottom w:val="nil"/>
              <w:right w:val="nil"/>
            </w:tcBorders>
          </w:tcPr>
          <w:p w14:paraId="78A8BD69"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0.001</w:t>
            </w:r>
          </w:p>
        </w:tc>
      </w:tr>
      <w:tr w:rsidR="0069639F" w14:paraId="79EAFF23" w14:textId="77777777" w:rsidTr="00872168">
        <w:trPr>
          <w:gridAfter w:val="9"/>
          <w:wAfter w:w="7333" w:type="dxa"/>
          <w:trHeight w:val="238"/>
        </w:trPr>
        <w:tc>
          <w:tcPr>
            <w:tcW w:w="3139" w:type="dxa"/>
            <w:gridSpan w:val="3"/>
            <w:tcBorders>
              <w:top w:val="nil"/>
              <w:left w:val="nil"/>
              <w:bottom w:val="nil"/>
              <w:right w:val="nil"/>
            </w:tcBorders>
          </w:tcPr>
          <w:p w14:paraId="0CDC490C" w14:textId="77777777" w:rsidR="0069639F" w:rsidRDefault="0069639F" w:rsidP="004801FE">
            <w:pPr>
              <w:widowControl w:val="0"/>
              <w:autoSpaceDE w:val="0"/>
              <w:autoSpaceDN w:val="0"/>
              <w:adjustRightInd w:val="0"/>
              <w:rPr>
                <w:rFonts w:ascii="Garamond" w:hAnsi="Garamond"/>
                <w:lang w:val="en-US"/>
              </w:rPr>
            </w:pPr>
          </w:p>
        </w:tc>
      </w:tr>
      <w:tr w:rsidR="0069639F" w14:paraId="1EAFE75C" w14:textId="77777777" w:rsidTr="00872168">
        <w:trPr>
          <w:gridAfter w:val="9"/>
          <w:wAfter w:w="7333" w:type="dxa"/>
          <w:trHeight w:val="238"/>
        </w:trPr>
        <w:tc>
          <w:tcPr>
            <w:tcW w:w="3139" w:type="dxa"/>
            <w:gridSpan w:val="3"/>
            <w:tcBorders>
              <w:top w:val="nil"/>
              <w:left w:val="nil"/>
              <w:bottom w:val="nil"/>
              <w:right w:val="nil"/>
            </w:tcBorders>
          </w:tcPr>
          <w:p w14:paraId="474AE13E"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Transparency </w:t>
            </w:r>
          </w:p>
        </w:tc>
      </w:tr>
      <w:tr w:rsidR="0069639F" w14:paraId="5D7717F1" w14:textId="77777777" w:rsidTr="00872168">
        <w:trPr>
          <w:gridAfter w:val="2"/>
          <w:wAfter w:w="1567" w:type="dxa"/>
          <w:trHeight w:val="238"/>
        </w:trPr>
        <w:tc>
          <w:tcPr>
            <w:tcW w:w="1622" w:type="dxa"/>
            <w:tcBorders>
              <w:top w:val="nil"/>
              <w:left w:val="nil"/>
              <w:bottom w:val="nil"/>
              <w:right w:val="nil"/>
            </w:tcBorders>
          </w:tcPr>
          <w:p w14:paraId="5D4B741C"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Yes  </w:t>
            </w:r>
          </w:p>
        </w:tc>
        <w:tc>
          <w:tcPr>
            <w:tcW w:w="1212" w:type="dxa"/>
            <w:tcBorders>
              <w:top w:val="nil"/>
              <w:left w:val="nil"/>
              <w:bottom w:val="nil"/>
              <w:right w:val="nil"/>
            </w:tcBorders>
          </w:tcPr>
          <w:p w14:paraId="32B23F26"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0.159</w:t>
            </w:r>
          </w:p>
        </w:tc>
        <w:tc>
          <w:tcPr>
            <w:tcW w:w="1213" w:type="dxa"/>
            <w:gridSpan w:val="2"/>
            <w:tcBorders>
              <w:top w:val="nil"/>
              <w:left w:val="nil"/>
              <w:bottom w:val="nil"/>
              <w:right w:val="nil"/>
            </w:tcBorders>
          </w:tcPr>
          <w:p w14:paraId="7B2D5AA2"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0.112</w:t>
            </w:r>
          </w:p>
        </w:tc>
        <w:tc>
          <w:tcPr>
            <w:tcW w:w="1213" w:type="dxa"/>
            <w:tcBorders>
              <w:top w:val="nil"/>
              <w:left w:val="nil"/>
              <w:bottom w:val="nil"/>
              <w:right w:val="nil"/>
            </w:tcBorders>
          </w:tcPr>
          <w:p w14:paraId="15FB0425"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1.420</w:t>
            </w:r>
          </w:p>
        </w:tc>
        <w:tc>
          <w:tcPr>
            <w:tcW w:w="1213" w:type="dxa"/>
            <w:tcBorders>
              <w:top w:val="nil"/>
              <w:left w:val="nil"/>
              <w:bottom w:val="nil"/>
              <w:right w:val="nil"/>
            </w:tcBorders>
          </w:tcPr>
          <w:p w14:paraId="59DACCB1"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0.155</w:t>
            </w:r>
          </w:p>
        </w:tc>
        <w:tc>
          <w:tcPr>
            <w:tcW w:w="1117" w:type="dxa"/>
            <w:gridSpan w:val="2"/>
            <w:tcBorders>
              <w:top w:val="nil"/>
              <w:left w:val="nil"/>
              <w:bottom w:val="nil"/>
              <w:right w:val="nil"/>
            </w:tcBorders>
          </w:tcPr>
          <w:p w14:paraId="39EB868E"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-0.060</w:t>
            </w:r>
          </w:p>
        </w:tc>
        <w:tc>
          <w:tcPr>
            <w:tcW w:w="1315" w:type="dxa"/>
            <w:gridSpan w:val="2"/>
            <w:tcBorders>
              <w:top w:val="nil"/>
              <w:left w:val="nil"/>
              <w:bottom w:val="nil"/>
              <w:right w:val="nil"/>
            </w:tcBorders>
          </w:tcPr>
          <w:p w14:paraId="1B95D0C7"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0.378</w:t>
            </w:r>
          </w:p>
        </w:tc>
      </w:tr>
      <w:tr w:rsidR="0069639F" w14:paraId="385C1461" w14:textId="77777777" w:rsidTr="00872168">
        <w:trPr>
          <w:gridAfter w:val="9"/>
          <w:wAfter w:w="7333" w:type="dxa"/>
          <w:trHeight w:val="238"/>
        </w:trPr>
        <w:tc>
          <w:tcPr>
            <w:tcW w:w="3139" w:type="dxa"/>
            <w:gridSpan w:val="3"/>
            <w:tcBorders>
              <w:top w:val="nil"/>
              <w:left w:val="nil"/>
              <w:bottom w:val="nil"/>
              <w:right w:val="nil"/>
            </w:tcBorders>
          </w:tcPr>
          <w:p w14:paraId="3CDE547D" w14:textId="77777777" w:rsidR="0069639F" w:rsidRDefault="0069639F" w:rsidP="004801FE">
            <w:pPr>
              <w:widowControl w:val="0"/>
              <w:autoSpaceDE w:val="0"/>
              <w:autoSpaceDN w:val="0"/>
              <w:adjustRightInd w:val="0"/>
              <w:rPr>
                <w:rFonts w:ascii="Garamond" w:hAnsi="Garamond"/>
                <w:lang w:val="en-US"/>
              </w:rPr>
            </w:pPr>
          </w:p>
        </w:tc>
      </w:tr>
      <w:tr w:rsidR="0069639F" w14:paraId="2BA7BD3B" w14:textId="77777777" w:rsidTr="00872168">
        <w:trPr>
          <w:gridAfter w:val="9"/>
          <w:wAfter w:w="7333" w:type="dxa"/>
          <w:trHeight w:val="238"/>
        </w:trPr>
        <w:tc>
          <w:tcPr>
            <w:tcW w:w="3139" w:type="dxa"/>
            <w:gridSpan w:val="3"/>
            <w:tcBorders>
              <w:top w:val="nil"/>
              <w:left w:val="nil"/>
              <w:bottom w:val="nil"/>
              <w:right w:val="nil"/>
            </w:tcBorders>
          </w:tcPr>
          <w:p w14:paraId="3F86A654" w14:textId="77777777" w:rsidR="0069639F" w:rsidRDefault="0069639F" w:rsidP="004801FE">
            <w:pPr>
              <w:widowControl w:val="0"/>
              <w:autoSpaceDE w:val="0"/>
              <w:autoSpaceDN w:val="0"/>
              <w:adjustRightInd w:val="0"/>
              <w:rPr>
                <w:rFonts w:ascii="Garamond" w:hAnsi="Garamond"/>
                <w:lang w:val="en-US"/>
              </w:rPr>
            </w:pPr>
            <w:proofErr w:type="spellStart"/>
            <w:r>
              <w:rPr>
                <w:rFonts w:ascii="Garamond" w:hAnsi="Garamond"/>
                <w:lang w:val="en-US"/>
              </w:rPr>
              <w:t>PayoutTime</w:t>
            </w:r>
            <w:proofErr w:type="spellEnd"/>
            <w:r>
              <w:rPr>
                <w:rFonts w:ascii="Garamond" w:hAnsi="Garamond"/>
                <w:lang w:val="en-US"/>
              </w:rPr>
              <w:t xml:space="preserve"> </w:t>
            </w:r>
          </w:p>
        </w:tc>
      </w:tr>
      <w:tr w:rsidR="0069639F" w14:paraId="3057CCC3" w14:textId="77777777" w:rsidTr="00872168">
        <w:trPr>
          <w:gridAfter w:val="2"/>
          <w:wAfter w:w="1567" w:type="dxa"/>
          <w:trHeight w:val="238"/>
        </w:trPr>
        <w:tc>
          <w:tcPr>
            <w:tcW w:w="1622" w:type="dxa"/>
            <w:tcBorders>
              <w:top w:val="nil"/>
              <w:left w:val="nil"/>
              <w:bottom w:val="nil"/>
              <w:right w:val="nil"/>
            </w:tcBorders>
          </w:tcPr>
          <w:p w14:paraId="5D135CAB"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6  </w:t>
            </w:r>
          </w:p>
        </w:tc>
        <w:tc>
          <w:tcPr>
            <w:tcW w:w="1212" w:type="dxa"/>
            <w:tcBorders>
              <w:top w:val="nil"/>
              <w:left w:val="nil"/>
              <w:bottom w:val="nil"/>
              <w:right w:val="nil"/>
            </w:tcBorders>
          </w:tcPr>
          <w:p w14:paraId="4AD6FCF6"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-0.399**</w:t>
            </w:r>
          </w:p>
        </w:tc>
        <w:tc>
          <w:tcPr>
            <w:tcW w:w="1213" w:type="dxa"/>
            <w:gridSpan w:val="2"/>
            <w:tcBorders>
              <w:top w:val="nil"/>
              <w:left w:val="nil"/>
              <w:bottom w:val="nil"/>
              <w:right w:val="nil"/>
            </w:tcBorders>
          </w:tcPr>
          <w:p w14:paraId="34B35856"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0.154</w:t>
            </w:r>
          </w:p>
        </w:tc>
        <w:tc>
          <w:tcPr>
            <w:tcW w:w="1213" w:type="dxa"/>
            <w:tcBorders>
              <w:top w:val="nil"/>
              <w:left w:val="nil"/>
              <w:bottom w:val="nil"/>
              <w:right w:val="nil"/>
            </w:tcBorders>
          </w:tcPr>
          <w:p w14:paraId="5F50B574"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-2.590</w:t>
            </w:r>
          </w:p>
        </w:tc>
        <w:tc>
          <w:tcPr>
            <w:tcW w:w="1213" w:type="dxa"/>
            <w:tcBorders>
              <w:top w:val="nil"/>
              <w:left w:val="nil"/>
              <w:bottom w:val="nil"/>
              <w:right w:val="nil"/>
            </w:tcBorders>
          </w:tcPr>
          <w:p w14:paraId="364E17A8"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0.010</w:t>
            </w:r>
          </w:p>
        </w:tc>
        <w:tc>
          <w:tcPr>
            <w:tcW w:w="1117" w:type="dxa"/>
            <w:gridSpan w:val="2"/>
            <w:tcBorders>
              <w:top w:val="nil"/>
              <w:left w:val="nil"/>
              <w:bottom w:val="nil"/>
              <w:right w:val="nil"/>
            </w:tcBorders>
          </w:tcPr>
          <w:p w14:paraId="6CEE4CD0"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-0.700</w:t>
            </w:r>
          </w:p>
        </w:tc>
        <w:tc>
          <w:tcPr>
            <w:tcW w:w="1315" w:type="dxa"/>
            <w:gridSpan w:val="2"/>
            <w:tcBorders>
              <w:top w:val="nil"/>
              <w:left w:val="nil"/>
              <w:bottom w:val="nil"/>
              <w:right w:val="nil"/>
            </w:tcBorders>
          </w:tcPr>
          <w:p w14:paraId="0D05BE07"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-0.097</w:t>
            </w:r>
          </w:p>
        </w:tc>
      </w:tr>
      <w:tr w:rsidR="0069639F" w14:paraId="594B0977" w14:textId="77777777" w:rsidTr="00872168">
        <w:trPr>
          <w:gridAfter w:val="2"/>
          <w:wAfter w:w="1567" w:type="dxa"/>
          <w:trHeight w:val="238"/>
        </w:trPr>
        <w:tc>
          <w:tcPr>
            <w:tcW w:w="1622" w:type="dxa"/>
            <w:tcBorders>
              <w:top w:val="nil"/>
              <w:left w:val="nil"/>
              <w:bottom w:val="nil"/>
              <w:right w:val="nil"/>
            </w:tcBorders>
          </w:tcPr>
          <w:p w14:paraId="335733DA"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12  </w:t>
            </w:r>
          </w:p>
        </w:tc>
        <w:tc>
          <w:tcPr>
            <w:tcW w:w="1212" w:type="dxa"/>
            <w:tcBorders>
              <w:top w:val="nil"/>
              <w:left w:val="nil"/>
              <w:bottom w:val="nil"/>
              <w:right w:val="nil"/>
            </w:tcBorders>
          </w:tcPr>
          <w:p w14:paraId="336CF1F6"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-0.400**</w:t>
            </w:r>
          </w:p>
        </w:tc>
        <w:tc>
          <w:tcPr>
            <w:tcW w:w="1213" w:type="dxa"/>
            <w:gridSpan w:val="2"/>
            <w:tcBorders>
              <w:top w:val="nil"/>
              <w:left w:val="nil"/>
              <w:bottom w:val="nil"/>
              <w:right w:val="nil"/>
            </w:tcBorders>
          </w:tcPr>
          <w:p w14:paraId="758B33F2"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0.148</w:t>
            </w:r>
          </w:p>
        </w:tc>
        <w:tc>
          <w:tcPr>
            <w:tcW w:w="1213" w:type="dxa"/>
            <w:tcBorders>
              <w:top w:val="nil"/>
              <w:left w:val="nil"/>
              <w:bottom w:val="nil"/>
              <w:right w:val="nil"/>
            </w:tcBorders>
          </w:tcPr>
          <w:p w14:paraId="7854B2FD"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-2.700</w:t>
            </w:r>
          </w:p>
        </w:tc>
        <w:tc>
          <w:tcPr>
            <w:tcW w:w="1213" w:type="dxa"/>
            <w:tcBorders>
              <w:top w:val="nil"/>
              <w:left w:val="nil"/>
              <w:bottom w:val="nil"/>
              <w:right w:val="nil"/>
            </w:tcBorders>
          </w:tcPr>
          <w:p w14:paraId="64637949"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0.007</w:t>
            </w:r>
          </w:p>
        </w:tc>
        <w:tc>
          <w:tcPr>
            <w:tcW w:w="1117" w:type="dxa"/>
            <w:gridSpan w:val="2"/>
            <w:tcBorders>
              <w:top w:val="nil"/>
              <w:left w:val="nil"/>
              <w:bottom w:val="nil"/>
              <w:right w:val="nil"/>
            </w:tcBorders>
          </w:tcPr>
          <w:p w14:paraId="5730DC94"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-0.690</w:t>
            </w:r>
          </w:p>
        </w:tc>
        <w:tc>
          <w:tcPr>
            <w:tcW w:w="1315" w:type="dxa"/>
            <w:gridSpan w:val="2"/>
            <w:tcBorders>
              <w:top w:val="nil"/>
              <w:left w:val="nil"/>
              <w:bottom w:val="nil"/>
              <w:right w:val="nil"/>
            </w:tcBorders>
          </w:tcPr>
          <w:p w14:paraId="088B0BA9"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-0.110</w:t>
            </w:r>
          </w:p>
        </w:tc>
      </w:tr>
      <w:tr w:rsidR="0069639F" w14:paraId="07793479" w14:textId="77777777" w:rsidTr="00872168">
        <w:trPr>
          <w:gridAfter w:val="3"/>
          <w:wAfter w:w="2376" w:type="dxa"/>
          <w:trHeight w:val="715"/>
        </w:trPr>
        <w:tc>
          <w:tcPr>
            <w:tcW w:w="8096" w:type="dxa"/>
            <w:gridSpan w:val="9"/>
            <w:tcBorders>
              <w:top w:val="nil"/>
              <w:left w:val="nil"/>
              <w:bottom w:val="nil"/>
              <w:right w:val="nil"/>
            </w:tcBorders>
          </w:tcPr>
          <w:p w14:paraId="2EB7077A"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Health       </w:t>
            </w:r>
          </w:p>
          <w:p w14:paraId="3EA6A6B7"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(base</w:t>
            </w:r>
          </w:p>
          <w:p w14:paraId="1A569AB1"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alternative)</w:t>
            </w:r>
          </w:p>
        </w:tc>
      </w:tr>
      <w:tr w:rsidR="0069639F" w14:paraId="2DAAD270" w14:textId="77777777" w:rsidTr="00872168">
        <w:trPr>
          <w:gridAfter w:val="9"/>
          <w:wAfter w:w="7333" w:type="dxa"/>
          <w:trHeight w:val="238"/>
        </w:trPr>
        <w:tc>
          <w:tcPr>
            <w:tcW w:w="3139" w:type="dxa"/>
            <w:gridSpan w:val="3"/>
            <w:tcBorders>
              <w:top w:val="nil"/>
              <w:left w:val="nil"/>
              <w:bottom w:val="nil"/>
              <w:right w:val="nil"/>
            </w:tcBorders>
          </w:tcPr>
          <w:p w14:paraId="4FDEB3F6"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w:t>
            </w:r>
          </w:p>
        </w:tc>
      </w:tr>
      <w:tr w:rsidR="0069639F" w14:paraId="6D8CA019" w14:textId="77777777" w:rsidTr="00872168">
        <w:trPr>
          <w:gridAfter w:val="2"/>
          <w:wAfter w:w="1567" w:type="dxa"/>
          <w:trHeight w:val="238"/>
        </w:trPr>
        <w:tc>
          <w:tcPr>
            <w:tcW w:w="1622" w:type="dxa"/>
            <w:tcBorders>
              <w:top w:val="nil"/>
              <w:left w:val="nil"/>
              <w:bottom w:val="nil"/>
              <w:right w:val="nil"/>
            </w:tcBorders>
          </w:tcPr>
          <w:p w14:paraId="0D57E603"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Agriculture</w:t>
            </w:r>
          </w:p>
        </w:tc>
        <w:tc>
          <w:tcPr>
            <w:tcW w:w="1212" w:type="dxa"/>
            <w:tcBorders>
              <w:top w:val="nil"/>
              <w:left w:val="nil"/>
              <w:bottom w:val="nil"/>
              <w:right w:val="nil"/>
            </w:tcBorders>
          </w:tcPr>
          <w:p w14:paraId="001FB3F8"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-0.445</w:t>
            </w:r>
          </w:p>
        </w:tc>
        <w:tc>
          <w:tcPr>
            <w:tcW w:w="1213" w:type="dxa"/>
            <w:gridSpan w:val="2"/>
            <w:tcBorders>
              <w:top w:val="nil"/>
              <w:left w:val="nil"/>
              <w:bottom w:val="nil"/>
              <w:right w:val="nil"/>
            </w:tcBorders>
          </w:tcPr>
          <w:p w14:paraId="5B47F162"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0.264</w:t>
            </w:r>
          </w:p>
        </w:tc>
        <w:tc>
          <w:tcPr>
            <w:tcW w:w="1213" w:type="dxa"/>
            <w:tcBorders>
              <w:top w:val="nil"/>
              <w:left w:val="nil"/>
              <w:bottom w:val="nil"/>
              <w:right w:val="nil"/>
            </w:tcBorders>
          </w:tcPr>
          <w:p w14:paraId="72041098"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-1.690</w:t>
            </w:r>
          </w:p>
        </w:tc>
        <w:tc>
          <w:tcPr>
            <w:tcW w:w="1213" w:type="dxa"/>
            <w:tcBorders>
              <w:top w:val="nil"/>
              <w:left w:val="nil"/>
              <w:bottom w:val="nil"/>
              <w:right w:val="nil"/>
            </w:tcBorders>
          </w:tcPr>
          <w:p w14:paraId="20FD9733"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0.092</w:t>
            </w:r>
          </w:p>
        </w:tc>
        <w:tc>
          <w:tcPr>
            <w:tcW w:w="1117" w:type="dxa"/>
            <w:gridSpan w:val="2"/>
            <w:tcBorders>
              <w:top w:val="nil"/>
              <w:left w:val="nil"/>
              <w:bottom w:val="nil"/>
              <w:right w:val="nil"/>
            </w:tcBorders>
          </w:tcPr>
          <w:p w14:paraId="3B9E3C4B"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-0.962</w:t>
            </w:r>
          </w:p>
        </w:tc>
        <w:tc>
          <w:tcPr>
            <w:tcW w:w="1315" w:type="dxa"/>
            <w:gridSpan w:val="2"/>
            <w:tcBorders>
              <w:top w:val="nil"/>
              <w:left w:val="nil"/>
              <w:bottom w:val="nil"/>
              <w:right w:val="nil"/>
            </w:tcBorders>
          </w:tcPr>
          <w:p w14:paraId="407BEF00"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0.072</w:t>
            </w:r>
          </w:p>
        </w:tc>
      </w:tr>
      <w:tr w:rsidR="0069639F" w14:paraId="2189AB46" w14:textId="77777777" w:rsidTr="00872168">
        <w:trPr>
          <w:gridAfter w:val="9"/>
          <w:wAfter w:w="7333" w:type="dxa"/>
          <w:trHeight w:val="238"/>
        </w:trPr>
        <w:tc>
          <w:tcPr>
            <w:tcW w:w="3139" w:type="dxa"/>
            <w:gridSpan w:val="3"/>
            <w:tcBorders>
              <w:top w:val="nil"/>
              <w:left w:val="nil"/>
              <w:bottom w:val="nil"/>
              <w:right w:val="nil"/>
            </w:tcBorders>
          </w:tcPr>
          <w:p w14:paraId="46E6DBC3"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w:t>
            </w:r>
          </w:p>
        </w:tc>
      </w:tr>
      <w:tr w:rsidR="0069639F" w14:paraId="1BF528FB" w14:textId="77777777" w:rsidTr="00872168">
        <w:trPr>
          <w:gridAfter w:val="2"/>
          <w:wAfter w:w="1567" w:type="dxa"/>
          <w:trHeight w:val="238"/>
        </w:trPr>
        <w:tc>
          <w:tcPr>
            <w:tcW w:w="1622" w:type="dxa"/>
            <w:tcBorders>
              <w:top w:val="nil"/>
              <w:left w:val="nil"/>
              <w:bottom w:val="nil"/>
              <w:right w:val="nil"/>
            </w:tcBorders>
          </w:tcPr>
          <w:p w14:paraId="397C5154"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Property</w:t>
            </w:r>
          </w:p>
        </w:tc>
        <w:tc>
          <w:tcPr>
            <w:tcW w:w="1212" w:type="dxa"/>
            <w:tcBorders>
              <w:top w:val="nil"/>
              <w:left w:val="nil"/>
              <w:bottom w:val="nil"/>
              <w:right w:val="nil"/>
            </w:tcBorders>
          </w:tcPr>
          <w:p w14:paraId="7148E67E"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-0.383</w:t>
            </w:r>
          </w:p>
        </w:tc>
        <w:tc>
          <w:tcPr>
            <w:tcW w:w="1213" w:type="dxa"/>
            <w:gridSpan w:val="2"/>
            <w:tcBorders>
              <w:top w:val="nil"/>
              <w:left w:val="nil"/>
              <w:bottom w:val="nil"/>
              <w:right w:val="nil"/>
            </w:tcBorders>
          </w:tcPr>
          <w:p w14:paraId="14BF6DF5"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0.253</w:t>
            </w:r>
          </w:p>
        </w:tc>
        <w:tc>
          <w:tcPr>
            <w:tcW w:w="1213" w:type="dxa"/>
            <w:tcBorders>
              <w:top w:val="nil"/>
              <w:left w:val="nil"/>
              <w:bottom w:val="nil"/>
              <w:right w:val="nil"/>
            </w:tcBorders>
          </w:tcPr>
          <w:p w14:paraId="0EE9FEFD"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-1.520</w:t>
            </w:r>
          </w:p>
        </w:tc>
        <w:tc>
          <w:tcPr>
            <w:tcW w:w="1213" w:type="dxa"/>
            <w:tcBorders>
              <w:top w:val="nil"/>
              <w:left w:val="nil"/>
              <w:bottom w:val="nil"/>
              <w:right w:val="nil"/>
            </w:tcBorders>
          </w:tcPr>
          <w:p w14:paraId="41E7DF1D"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0.130</w:t>
            </w:r>
          </w:p>
        </w:tc>
        <w:tc>
          <w:tcPr>
            <w:tcW w:w="1117" w:type="dxa"/>
            <w:gridSpan w:val="2"/>
            <w:tcBorders>
              <w:top w:val="nil"/>
              <w:left w:val="nil"/>
              <w:bottom w:val="nil"/>
              <w:right w:val="nil"/>
            </w:tcBorders>
          </w:tcPr>
          <w:p w14:paraId="77674601"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-0.878</w:t>
            </w:r>
          </w:p>
        </w:tc>
        <w:tc>
          <w:tcPr>
            <w:tcW w:w="1315" w:type="dxa"/>
            <w:gridSpan w:val="2"/>
            <w:tcBorders>
              <w:top w:val="nil"/>
              <w:left w:val="nil"/>
              <w:bottom w:val="nil"/>
              <w:right w:val="nil"/>
            </w:tcBorders>
          </w:tcPr>
          <w:p w14:paraId="4FF598D6"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0.112</w:t>
            </w:r>
          </w:p>
        </w:tc>
      </w:tr>
      <w:tr w:rsidR="0069639F" w14:paraId="3D8B45FE" w14:textId="77777777" w:rsidTr="00872168">
        <w:trPr>
          <w:gridAfter w:val="2"/>
          <w:wAfter w:w="1567" w:type="dxa"/>
          <w:trHeight w:val="238"/>
        </w:trPr>
        <w:tc>
          <w:tcPr>
            <w:tcW w:w="8905" w:type="dxa"/>
            <w:gridSpan w:val="10"/>
            <w:tcBorders>
              <w:top w:val="nil"/>
              <w:left w:val="nil"/>
              <w:bottom w:val="nil"/>
              <w:right w:val="nil"/>
            </w:tcBorders>
          </w:tcPr>
          <w:p w14:paraId="2731D37E" w14:textId="77777777" w:rsidR="0069639F" w:rsidRDefault="0069639F" w:rsidP="004801FE">
            <w:pPr>
              <w:widowControl w:val="0"/>
              <w:autoSpaceDE w:val="0"/>
              <w:autoSpaceDN w:val="0"/>
              <w:adjustRightInd w:val="0"/>
              <w:rPr>
                <w:rFonts w:ascii="Garamond" w:hAnsi="Garamond"/>
                <w:lang w:val="en-US"/>
              </w:rPr>
            </w:pPr>
          </w:p>
        </w:tc>
      </w:tr>
      <w:tr w:rsidR="0069639F" w14:paraId="2723E0E9" w14:textId="77777777" w:rsidTr="00872168">
        <w:trPr>
          <w:gridAfter w:val="2"/>
          <w:wAfter w:w="1567" w:type="dxa"/>
          <w:trHeight w:val="238"/>
        </w:trPr>
        <w:tc>
          <w:tcPr>
            <w:tcW w:w="8905" w:type="dxa"/>
            <w:gridSpan w:val="10"/>
            <w:tcBorders>
              <w:top w:val="nil"/>
              <w:left w:val="nil"/>
              <w:bottom w:val="single" w:sz="6" w:space="0" w:color="auto"/>
              <w:right w:val="nil"/>
            </w:tcBorders>
          </w:tcPr>
          <w:p w14:paraId="2308E41D" w14:textId="77777777" w:rsidR="0069639F" w:rsidRDefault="0069639F" w:rsidP="004801FE">
            <w:pPr>
              <w:widowControl w:val="0"/>
              <w:autoSpaceDE w:val="0"/>
              <w:autoSpaceDN w:val="0"/>
              <w:adjustRightInd w:val="0"/>
              <w:rPr>
                <w:rFonts w:ascii="Garamond" w:hAnsi="Garamond"/>
                <w:lang w:val="en-US"/>
              </w:rPr>
            </w:pPr>
          </w:p>
        </w:tc>
      </w:tr>
    </w:tbl>
    <w:p w14:paraId="26782336" w14:textId="77777777" w:rsidR="0069639F" w:rsidRDefault="0069639F" w:rsidP="004801FE">
      <w:pPr>
        <w:jc w:val="both"/>
        <w:rPr>
          <w:rFonts w:ascii="Times New Roman" w:eastAsia="Aptos" w:hAnsi="Times New Roman"/>
          <w:b/>
          <w:sz w:val="24"/>
          <w:szCs w:val="24"/>
          <w:u w:val="single"/>
          <w:lang w:val="en-ZA"/>
        </w:rPr>
      </w:pPr>
    </w:p>
    <w:p w14:paraId="2DFF316E" w14:textId="3F751CC7" w:rsidR="00274B3A" w:rsidRDefault="00274B3A" w:rsidP="00407E38">
      <w:pPr>
        <w:widowControl w:val="0"/>
        <w:autoSpaceDE w:val="0"/>
        <w:autoSpaceDN w:val="0"/>
        <w:adjustRightInd w:val="0"/>
        <w:spacing w:line="360" w:lineRule="auto"/>
        <w:jc w:val="both"/>
        <w:rPr>
          <w:rFonts w:ascii="Times New Roman" w:eastAsia="Aptos" w:hAnsi="Times New Roman"/>
          <w:bCs/>
          <w:sz w:val="24"/>
          <w:szCs w:val="24"/>
          <w:lang w:val="en-US"/>
          <w14:ligatures w14:val="standardContextual"/>
        </w:rPr>
      </w:pPr>
      <w:r w:rsidRPr="00890257">
        <w:rPr>
          <w:rFonts w:ascii="Times New Roman" w:eastAsia="Aptos" w:hAnsi="Times New Roman"/>
          <w:bCs/>
          <w:sz w:val="24"/>
          <w:szCs w:val="24"/>
          <w:lang w:val="en-US"/>
          <w14:ligatures w14:val="standardContextual"/>
        </w:rPr>
        <w:t xml:space="preserve">The negative and significant signs of the </w:t>
      </w:r>
      <w:r>
        <w:rPr>
          <w:rFonts w:ascii="Times New Roman" w:eastAsia="Aptos" w:hAnsi="Times New Roman"/>
          <w:bCs/>
          <w:sz w:val="24"/>
          <w:szCs w:val="24"/>
          <w:lang w:val="en-US"/>
          <w14:ligatures w14:val="standardContextual"/>
        </w:rPr>
        <w:t>period of pay out in Table 5 above show</w:t>
      </w:r>
      <w:r w:rsidRPr="00890257">
        <w:rPr>
          <w:rFonts w:ascii="Times New Roman" w:eastAsia="Aptos" w:hAnsi="Times New Roman"/>
          <w:bCs/>
          <w:sz w:val="24"/>
          <w:szCs w:val="24"/>
          <w:lang w:val="en-US"/>
          <w14:ligatures w14:val="standardContextual"/>
        </w:rPr>
        <w:t xml:space="preserve"> that the respondents are less likely to choose an insurance scheme that has a long payout period of </w:t>
      </w:r>
      <w:r w:rsidRPr="00890257">
        <w:rPr>
          <w:rFonts w:ascii="Times New Roman" w:eastAsia="Aptos" w:hAnsi="Times New Roman"/>
          <w:bCs/>
          <w:sz w:val="24"/>
          <w:szCs w:val="24"/>
          <w:lang w:val="en-US"/>
          <w14:ligatures w14:val="standardContextual"/>
        </w:rPr>
        <w:lastRenderedPageBreak/>
        <w:t xml:space="preserve">either 6- or </w:t>
      </w:r>
      <w:r>
        <w:rPr>
          <w:rFonts w:ascii="Times New Roman" w:eastAsia="Aptos" w:hAnsi="Times New Roman"/>
          <w:bCs/>
          <w:sz w:val="24"/>
          <w:szCs w:val="24"/>
          <w:lang w:val="en-US"/>
          <w14:ligatures w14:val="standardContextual"/>
        </w:rPr>
        <w:t>12-week</w:t>
      </w:r>
      <w:r w:rsidRPr="00890257">
        <w:rPr>
          <w:rFonts w:ascii="Times New Roman" w:eastAsia="Aptos" w:hAnsi="Times New Roman"/>
          <w:bCs/>
          <w:sz w:val="24"/>
          <w:szCs w:val="24"/>
          <w:lang w:val="en-US"/>
          <w14:ligatures w14:val="standardContextual"/>
        </w:rPr>
        <w:t xml:space="preserve"> payout period when compared to three weeks. The results </w:t>
      </w:r>
      <w:r>
        <w:rPr>
          <w:rFonts w:ascii="Times New Roman" w:eastAsia="Aptos" w:hAnsi="Times New Roman"/>
          <w:bCs/>
          <w:sz w:val="24"/>
          <w:szCs w:val="24"/>
          <w:lang w:val="en-US"/>
          <w14:ligatures w14:val="standardContextual"/>
        </w:rPr>
        <w:t>are</w:t>
      </w:r>
      <w:r w:rsidRPr="00890257">
        <w:rPr>
          <w:rFonts w:ascii="Times New Roman" w:eastAsia="Aptos" w:hAnsi="Times New Roman"/>
          <w:bCs/>
          <w:sz w:val="24"/>
          <w:szCs w:val="24"/>
          <w:lang w:val="en-US"/>
          <w14:ligatures w14:val="standardContextual"/>
        </w:rPr>
        <w:t xml:space="preserve"> in line with the a priori expectations as specified in </w:t>
      </w:r>
      <w:r>
        <w:rPr>
          <w:rFonts w:ascii="Times New Roman" w:eastAsia="Aptos" w:hAnsi="Times New Roman"/>
          <w:bCs/>
          <w:sz w:val="24"/>
          <w:szCs w:val="24"/>
          <w:lang w:val="en-US"/>
          <w14:ligatures w14:val="standardContextual"/>
        </w:rPr>
        <w:t>Table</w:t>
      </w:r>
      <w:r w:rsidRPr="00890257">
        <w:rPr>
          <w:rFonts w:ascii="Times New Roman" w:eastAsia="Aptos" w:hAnsi="Times New Roman"/>
          <w:bCs/>
          <w:sz w:val="24"/>
          <w:szCs w:val="24"/>
          <w:lang w:val="en-US"/>
          <w14:ligatures w14:val="standardContextual"/>
        </w:rPr>
        <w:t xml:space="preserve"> 6.</w:t>
      </w:r>
      <w:r>
        <w:rPr>
          <w:rFonts w:ascii="Times New Roman" w:eastAsia="Aptos" w:hAnsi="Times New Roman"/>
          <w:bCs/>
          <w:sz w:val="24"/>
          <w:szCs w:val="24"/>
          <w:lang w:val="en-US"/>
          <w14:ligatures w14:val="standardContextual"/>
        </w:rPr>
        <w:t xml:space="preserve">1 in chapter 6 above </w:t>
      </w:r>
      <w:r w:rsidRPr="00890257">
        <w:rPr>
          <w:rFonts w:ascii="Times New Roman" w:eastAsia="Aptos" w:hAnsi="Times New Roman"/>
          <w:bCs/>
          <w:sz w:val="24"/>
          <w:szCs w:val="24"/>
          <w:lang w:val="en-US"/>
          <w14:ligatures w14:val="standardContextual"/>
        </w:rPr>
        <w:t xml:space="preserve">and these results are also in line with results found in </w:t>
      </w:r>
      <w:r>
        <w:rPr>
          <w:rFonts w:ascii="Times New Roman" w:eastAsia="Aptos" w:hAnsi="Times New Roman"/>
          <w:bCs/>
          <w:sz w:val="24"/>
          <w:szCs w:val="24"/>
          <w:lang w:val="en-US"/>
          <w14:ligatures w14:val="standardContextual"/>
        </w:rPr>
        <w:t>Wang</w:t>
      </w:r>
      <w:r>
        <w:rPr>
          <w:rFonts w:cs="Arial"/>
          <w:color w:val="222222"/>
          <w:shd w:val="clear" w:color="auto" w:fill="FFFFFF"/>
        </w:rPr>
        <w:t xml:space="preserve"> &amp; Liu (2023)</w:t>
      </w:r>
      <w:r w:rsidRPr="00890257">
        <w:rPr>
          <w:rFonts w:ascii="Times New Roman" w:eastAsia="Aptos" w:hAnsi="Times New Roman"/>
          <w:bCs/>
          <w:sz w:val="24"/>
          <w:szCs w:val="24"/>
          <w:lang w:val="en-US"/>
          <w14:ligatures w14:val="standardContextual"/>
        </w:rPr>
        <w:t xml:space="preserve"> </w:t>
      </w:r>
      <w:r>
        <w:rPr>
          <w:rFonts w:ascii="Times New Roman" w:eastAsia="Aptos" w:hAnsi="Times New Roman"/>
          <w:bCs/>
          <w:sz w:val="24"/>
          <w:szCs w:val="24"/>
          <w:lang w:val="en-US"/>
          <w14:ligatures w14:val="standardContextual"/>
        </w:rPr>
        <w:t xml:space="preserve">and Patel et al (2018) and the results from </w:t>
      </w:r>
      <w:r w:rsidRPr="00890257">
        <w:rPr>
          <w:rFonts w:ascii="Times New Roman" w:eastAsia="Aptos" w:hAnsi="Times New Roman"/>
          <w:bCs/>
          <w:sz w:val="24"/>
          <w:szCs w:val="24"/>
          <w:lang w:val="en-US"/>
          <w14:ligatures w14:val="standardContextual"/>
        </w:rPr>
        <w:t>Zimbabwe a</w:t>
      </w:r>
      <w:r>
        <w:rPr>
          <w:rFonts w:ascii="Times New Roman" w:eastAsia="Aptos" w:hAnsi="Times New Roman"/>
          <w:bCs/>
          <w:sz w:val="24"/>
          <w:szCs w:val="24"/>
          <w:lang w:val="en-US"/>
          <w14:ligatures w14:val="standardContextual"/>
        </w:rPr>
        <w:t xml:space="preserve">s presented in the chapter 6(A) above. The study further interpreted the results of the study in the next section. </w:t>
      </w:r>
    </w:p>
    <w:p w14:paraId="69EB9CEA" w14:textId="77777777" w:rsidR="0069639F" w:rsidRDefault="0069639F" w:rsidP="00407E38">
      <w:pPr>
        <w:spacing w:line="360" w:lineRule="auto"/>
        <w:jc w:val="both"/>
        <w:rPr>
          <w:rFonts w:ascii="Times New Roman" w:eastAsia="Aptos" w:hAnsi="Times New Roman"/>
          <w:b/>
          <w:sz w:val="24"/>
          <w:szCs w:val="24"/>
          <w:u w:val="single"/>
          <w:lang w:val="en-ZA"/>
        </w:rPr>
      </w:pPr>
    </w:p>
    <w:p w14:paraId="0EEFB618" w14:textId="77777777" w:rsidR="0069639F" w:rsidRDefault="0069639F" w:rsidP="00407E38">
      <w:pPr>
        <w:pStyle w:val="Heading2"/>
        <w:spacing w:line="360" w:lineRule="auto"/>
        <w:rPr>
          <w:rFonts w:ascii="Times New Roman" w:eastAsia="Aptos" w:hAnsi="Times New Roman" w:cs="Times New Roman"/>
          <w:sz w:val="24"/>
          <w:szCs w:val="24"/>
          <w:lang w:val="en-US"/>
        </w:rPr>
      </w:pPr>
    </w:p>
    <w:p w14:paraId="1D297E94" w14:textId="186E2935" w:rsidR="0069639F" w:rsidRDefault="0069639F" w:rsidP="00407E38">
      <w:pPr>
        <w:pStyle w:val="Heading2"/>
        <w:spacing w:line="360" w:lineRule="auto"/>
        <w:rPr>
          <w:rFonts w:eastAsia="Aptos"/>
          <w:lang w:val="en-US"/>
        </w:rPr>
      </w:pPr>
      <w:bookmarkStart w:id="23" w:name="_Toc187315434"/>
      <w:r>
        <w:rPr>
          <w:rFonts w:eastAsia="Aptos"/>
          <w:lang w:val="en-US"/>
        </w:rPr>
        <w:t>6.</w:t>
      </w:r>
      <w:r w:rsidR="00274B3A">
        <w:rPr>
          <w:rFonts w:eastAsia="Aptos"/>
          <w:lang w:val="en-US"/>
        </w:rPr>
        <w:t xml:space="preserve">1.1 </w:t>
      </w:r>
      <w:r>
        <w:rPr>
          <w:rFonts w:eastAsia="Aptos"/>
          <w:lang w:val="en-US"/>
        </w:rPr>
        <w:t>Post estimation results</w:t>
      </w:r>
      <w:bookmarkEnd w:id="23"/>
      <w:r>
        <w:rPr>
          <w:rFonts w:eastAsia="Aptos"/>
          <w:lang w:val="en-US"/>
        </w:rPr>
        <w:t xml:space="preserve"> </w:t>
      </w:r>
    </w:p>
    <w:p w14:paraId="5BE9AEA8" w14:textId="0A06B3AE" w:rsidR="0069639F" w:rsidRDefault="00274B3A" w:rsidP="00407E38">
      <w:pPr>
        <w:pStyle w:val="Heading3"/>
        <w:spacing w:line="360" w:lineRule="auto"/>
        <w:rPr>
          <w:rFonts w:eastAsia="Aptos"/>
          <w:lang w:val="en-US"/>
        </w:rPr>
      </w:pPr>
      <w:r>
        <w:rPr>
          <w:rFonts w:eastAsia="Aptos"/>
          <w:lang w:val="en-US"/>
        </w:rPr>
        <w:t xml:space="preserve">6.1.1.1 </w:t>
      </w:r>
      <w:r w:rsidR="0069639F">
        <w:rPr>
          <w:rFonts w:eastAsia="Aptos"/>
          <w:lang w:val="en-US"/>
        </w:rPr>
        <w:t xml:space="preserve">Predictive </w:t>
      </w:r>
      <w:r>
        <w:rPr>
          <w:rFonts w:eastAsia="Aptos"/>
          <w:lang w:val="en-US"/>
        </w:rPr>
        <w:t>margins</w:t>
      </w:r>
    </w:p>
    <w:p w14:paraId="2EDE5A65" w14:textId="77777777" w:rsidR="0069639F" w:rsidRPr="00ED3087" w:rsidRDefault="0069639F" w:rsidP="00407E38">
      <w:pPr>
        <w:spacing w:line="360" w:lineRule="auto"/>
        <w:rPr>
          <w:rFonts w:eastAsia="Aptos"/>
          <w:lang w:val="en-US"/>
        </w:rPr>
      </w:pPr>
    </w:p>
    <w:p w14:paraId="233E95BB" w14:textId="085BBC37" w:rsidR="0069639F" w:rsidRPr="008C0DAF" w:rsidRDefault="0069639F" w:rsidP="00407E38">
      <w:pPr>
        <w:spacing w:line="360" w:lineRule="auto"/>
        <w:jc w:val="both"/>
        <w:rPr>
          <w:rFonts w:ascii="Times New Roman" w:eastAsia="Aptos" w:hAnsi="Times New Roman"/>
          <w:sz w:val="24"/>
          <w:szCs w:val="24"/>
          <w:lang w:val="en-US"/>
        </w:rPr>
      </w:pPr>
      <w:r w:rsidRPr="008C0DAF">
        <w:rPr>
          <w:rFonts w:ascii="Times New Roman" w:eastAsia="Aptos" w:hAnsi="Times New Roman"/>
          <w:sz w:val="24"/>
          <w:szCs w:val="24"/>
          <w:lang w:val="en-US"/>
        </w:rPr>
        <w:t xml:space="preserve">The results of the study further analyze the marginal effects of willingness to pay </w:t>
      </w:r>
      <w:r w:rsidR="00274B3A" w:rsidRPr="008C0DAF">
        <w:rPr>
          <w:rFonts w:ascii="Times New Roman" w:eastAsia="Aptos" w:hAnsi="Times New Roman"/>
          <w:sz w:val="24"/>
          <w:szCs w:val="24"/>
          <w:lang w:val="en-US"/>
        </w:rPr>
        <w:t>for</w:t>
      </w:r>
      <w:r w:rsidRPr="008C0DAF">
        <w:rPr>
          <w:rFonts w:ascii="Times New Roman" w:eastAsia="Aptos" w:hAnsi="Times New Roman"/>
          <w:sz w:val="24"/>
          <w:szCs w:val="24"/>
          <w:lang w:val="en-US"/>
        </w:rPr>
        <w:t xml:space="preserve"> model one in Table</w:t>
      </w:r>
      <w:r>
        <w:rPr>
          <w:rFonts w:ascii="Times New Roman" w:eastAsia="Aptos" w:hAnsi="Times New Roman"/>
          <w:sz w:val="24"/>
          <w:szCs w:val="24"/>
          <w:lang w:val="en-US"/>
        </w:rPr>
        <w:t xml:space="preserve"> 6.4 below</w:t>
      </w:r>
      <w:r w:rsidRPr="008C0DAF">
        <w:rPr>
          <w:rFonts w:ascii="Times New Roman" w:eastAsia="Aptos" w:hAnsi="Times New Roman"/>
          <w:sz w:val="24"/>
          <w:szCs w:val="24"/>
          <w:lang w:val="en-US"/>
        </w:rPr>
        <w:t xml:space="preserve">. The results of the study show the marginal </w:t>
      </w:r>
      <w:r w:rsidR="00274B3A" w:rsidRPr="008C0DAF">
        <w:rPr>
          <w:rFonts w:ascii="Times New Roman" w:eastAsia="Aptos" w:hAnsi="Times New Roman"/>
          <w:sz w:val="24"/>
          <w:szCs w:val="24"/>
          <w:lang w:val="en-US"/>
        </w:rPr>
        <w:t>probability</w:t>
      </w:r>
      <w:r w:rsidRPr="008C0DAF">
        <w:rPr>
          <w:rFonts w:ascii="Times New Roman" w:eastAsia="Aptos" w:hAnsi="Times New Roman"/>
          <w:sz w:val="24"/>
          <w:szCs w:val="24"/>
          <w:lang w:val="en-US"/>
        </w:rPr>
        <w:t xml:space="preserve"> of participants selecting either health, agriculture or property insurance. The results of the study show that the marginal probability of selecting agriculture insurance in Zimbabwe is 43.3% followed by health insurance </w:t>
      </w:r>
      <w:r>
        <w:rPr>
          <w:rFonts w:ascii="Times New Roman" w:eastAsia="Aptos" w:hAnsi="Times New Roman"/>
          <w:sz w:val="24"/>
          <w:szCs w:val="24"/>
          <w:lang w:val="en-US"/>
        </w:rPr>
        <w:t>at</w:t>
      </w:r>
      <w:r w:rsidRPr="008C0DAF">
        <w:rPr>
          <w:rFonts w:ascii="Times New Roman" w:eastAsia="Aptos" w:hAnsi="Times New Roman"/>
          <w:sz w:val="24"/>
          <w:szCs w:val="24"/>
          <w:lang w:val="en-US"/>
        </w:rPr>
        <w:t xml:space="preserve"> 31.2% and the lowest being property with a 25.5% probability of being selected. The study further looks at the effect of premiums on the probability of selection</w:t>
      </w:r>
      <w:r>
        <w:rPr>
          <w:rFonts w:ascii="Times New Roman" w:eastAsia="Aptos" w:hAnsi="Times New Roman"/>
          <w:sz w:val="24"/>
          <w:szCs w:val="24"/>
          <w:lang w:val="en-US"/>
        </w:rPr>
        <w:t xml:space="preserve"> in Figure 6.4</w:t>
      </w:r>
      <w:r w:rsidRPr="008C0DAF">
        <w:rPr>
          <w:rFonts w:ascii="Times New Roman" w:eastAsia="Aptos" w:hAnsi="Times New Roman"/>
          <w:sz w:val="24"/>
          <w:szCs w:val="24"/>
          <w:lang w:val="en-US"/>
        </w:rPr>
        <w:t xml:space="preserve"> below as premium margins when the premium ranges from R50-R700 </w:t>
      </w:r>
    </w:p>
    <w:p w14:paraId="3302F3E3" w14:textId="77777777" w:rsidR="0069639F" w:rsidRDefault="0069639F" w:rsidP="00407E38">
      <w:pPr>
        <w:pStyle w:val="Caption"/>
        <w:keepNext/>
        <w:spacing w:line="360" w:lineRule="auto"/>
      </w:pPr>
      <w:r>
        <w:rPr>
          <w:b/>
          <w:bCs/>
        </w:rPr>
        <w:br/>
        <w:t xml:space="preserve"> </w:t>
      </w:r>
    </w:p>
    <w:p w14:paraId="135313D9" w14:textId="75D88FBE" w:rsidR="0069639F" w:rsidRDefault="0069639F" w:rsidP="004801FE">
      <w:pPr>
        <w:widowControl w:val="0"/>
        <w:autoSpaceDE w:val="0"/>
        <w:autoSpaceDN w:val="0"/>
        <w:adjustRightInd w:val="0"/>
        <w:rPr>
          <w:b/>
          <w:bCs/>
        </w:rPr>
      </w:pPr>
      <w:bookmarkStart w:id="24" w:name="_Toc187315301"/>
      <w:r w:rsidRPr="00274B3A">
        <w:rPr>
          <w:b/>
          <w:bCs/>
        </w:rPr>
        <w:t xml:space="preserve">Table </w:t>
      </w:r>
      <w:r w:rsidR="00274B3A" w:rsidRPr="00274B3A">
        <w:rPr>
          <w:b/>
          <w:bCs/>
        </w:rPr>
        <w:t>7</w:t>
      </w:r>
      <w:r w:rsidRPr="00274B3A">
        <w:rPr>
          <w:b/>
          <w:bCs/>
        </w:rPr>
        <w:t xml:space="preserve"> Predictive margins</w:t>
      </w:r>
      <w:bookmarkEnd w:id="24"/>
    </w:p>
    <w:p w14:paraId="311A2C15" w14:textId="77777777" w:rsidR="00274B3A" w:rsidRPr="00274B3A" w:rsidRDefault="00274B3A" w:rsidP="004801FE">
      <w:pPr>
        <w:widowControl w:val="0"/>
        <w:autoSpaceDE w:val="0"/>
        <w:autoSpaceDN w:val="0"/>
        <w:adjustRightInd w:val="0"/>
        <w:rPr>
          <w:rFonts w:ascii="Garamond" w:hAnsi="Garamond"/>
          <w:b/>
          <w:bCs/>
          <w:lang w:val="en-US"/>
        </w:rPr>
      </w:pPr>
    </w:p>
    <w:p w14:paraId="752D3123" w14:textId="77777777" w:rsidR="0069639F" w:rsidRPr="00E43114" w:rsidRDefault="0069639F" w:rsidP="004801FE">
      <w:pPr>
        <w:widowControl w:val="0"/>
        <w:autoSpaceDE w:val="0"/>
        <w:autoSpaceDN w:val="0"/>
        <w:adjustRightInd w:val="0"/>
        <w:rPr>
          <w:rFonts w:ascii="Garamond" w:hAnsi="Garamond"/>
          <w:lang w:val="en-US"/>
        </w:rPr>
      </w:pPr>
      <w:r>
        <w:rPr>
          <w:rFonts w:ascii="Garamond" w:hAnsi="Garamond"/>
          <w:lang w:val="en-US"/>
        </w:rPr>
        <w:t xml:space="preserve">Predictive margins                                       Number of </w:t>
      </w:r>
      <w:proofErr w:type="spellStart"/>
      <w:r>
        <w:rPr>
          <w:rFonts w:ascii="Garamond" w:hAnsi="Garamond"/>
          <w:lang w:val="en-US"/>
        </w:rPr>
        <w:t>obs</w:t>
      </w:r>
      <w:proofErr w:type="spellEnd"/>
      <w:r>
        <w:rPr>
          <w:rFonts w:ascii="Garamond" w:hAnsi="Garamond"/>
          <w:lang w:val="en-US"/>
        </w:rPr>
        <w:t xml:space="preserve"> = 1,836</w:t>
      </w:r>
      <w:r>
        <w:rPr>
          <w:rFonts w:ascii="Garamond" w:hAnsi="Garamond"/>
          <w:lang w:val="en-US"/>
        </w:rPr>
        <w:br/>
        <w:t>Model VCE: Robust</w:t>
      </w:r>
      <w:r>
        <w:rPr>
          <w:rFonts w:ascii="Garamond" w:hAnsi="Garamond"/>
          <w:lang w:val="en-US"/>
        </w:rPr>
        <w:br/>
      </w:r>
    </w:p>
    <w:tbl>
      <w:tblPr>
        <w:tblW w:w="0" w:type="auto"/>
        <w:tblLayout w:type="fixed"/>
        <w:tblLook w:val="0000" w:firstRow="0" w:lastRow="0" w:firstColumn="0" w:lastColumn="0" w:noHBand="0" w:noVBand="0"/>
      </w:tblPr>
      <w:tblGrid>
        <w:gridCol w:w="2038"/>
        <w:gridCol w:w="1625"/>
        <w:gridCol w:w="1625"/>
        <w:gridCol w:w="1625"/>
      </w:tblGrid>
      <w:tr w:rsidR="0069639F" w14:paraId="20E428F4" w14:textId="77777777" w:rsidTr="00872168">
        <w:trPr>
          <w:trHeight w:val="406"/>
        </w:trPr>
        <w:tc>
          <w:tcPr>
            <w:tcW w:w="2038" w:type="dxa"/>
            <w:tcBorders>
              <w:top w:val="single" w:sz="4" w:space="0" w:color="auto"/>
              <w:left w:val="nil"/>
              <w:bottom w:val="single" w:sz="10" w:space="0" w:color="auto"/>
              <w:right w:val="nil"/>
            </w:tcBorders>
          </w:tcPr>
          <w:p w14:paraId="61C30C97"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.Expression: </w:t>
            </w:r>
            <w:proofErr w:type="spellStart"/>
            <w:r>
              <w:rPr>
                <w:rFonts w:ascii="Garamond" w:hAnsi="Garamond"/>
                <w:lang w:val="en-US"/>
              </w:rPr>
              <w:t>Pr</w:t>
            </w:r>
            <w:proofErr w:type="spellEnd"/>
            <w:r>
              <w:rPr>
                <w:rFonts w:ascii="Garamond" w:hAnsi="Garamond"/>
                <w:lang w:val="en-US"/>
              </w:rPr>
              <w:t>(Domain)</w:t>
            </w:r>
          </w:p>
        </w:tc>
        <w:tc>
          <w:tcPr>
            <w:tcW w:w="1625" w:type="dxa"/>
            <w:tcBorders>
              <w:top w:val="single" w:sz="4" w:space="0" w:color="auto"/>
              <w:left w:val="nil"/>
              <w:bottom w:val="single" w:sz="10" w:space="0" w:color="auto"/>
              <w:right w:val="nil"/>
            </w:tcBorders>
          </w:tcPr>
          <w:p w14:paraId="12C6E6E2"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1</w:t>
            </w:r>
          </w:p>
        </w:tc>
        <w:tc>
          <w:tcPr>
            <w:tcW w:w="1625" w:type="dxa"/>
            <w:tcBorders>
              <w:top w:val="single" w:sz="4" w:space="0" w:color="auto"/>
              <w:left w:val="nil"/>
              <w:bottom w:val="single" w:sz="10" w:space="0" w:color="auto"/>
              <w:right w:val="nil"/>
            </w:tcBorders>
          </w:tcPr>
          <w:p w14:paraId="73942066"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selected),</w:t>
            </w:r>
          </w:p>
        </w:tc>
        <w:tc>
          <w:tcPr>
            <w:tcW w:w="1625" w:type="dxa"/>
            <w:tcBorders>
              <w:top w:val="single" w:sz="4" w:space="0" w:color="auto"/>
              <w:left w:val="nil"/>
              <w:bottom w:val="single" w:sz="10" w:space="0" w:color="auto"/>
              <w:right w:val="nil"/>
            </w:tcBorders>
          </w:tcPr>
          <w:p w14:paraId="14ABE105"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predict()</w:t>
            </w:r>
          </w:p>
        </w:tc>
      </w:tr>
    </w:tbl>
    <w:p w14:paraId="6C03CB97" w14:textId="77777777" w:rsidR="0069639F" w:rsidRDefault="0069639F" w:rsidP="004801FE">
      <w:pPr>
        <w:widowControl w:val="0"/>
        <w:autoSpaceDE w:val="0"/>
        <w:autoSpaceDN w:val="0"/>
        <w:adjustRightInd w:val="0"/>
        <w:rPr>
          <w:rFonts w:ascii="Garamond" w:hAnsi="Garamond"/>
          <w:lang w:val="en-US"/>
        </w:rPr>
      </w:pPr>
    </w:p>
    <w:tbl>
      <w:tblPr>
        <w:tblW w:w="3929" w:type="pct"/>
        <w:tblLook w:val="0000" w:firstRow="0" w:lastRow="0" w:firstColumn="0" w:lastColumn="0" w:noHBand="0" w:noVBand="0"/>
      </w:tblPr>
      <w:tblGrid>
        <w:gridCol w:w="1294"/>
        <w:gridCol w:w="966"/>
        <w:gridCol w:w="244"/>
        <w:gridCol w:w="722"/>
        <w:gridCol w:w="966"/>
        <w:gridCol w:w="966"/>
        <w:gridCol w:w="85"/>
        <w:gridCol w:w="881"/>
        <w:gridCol w:w="969"/>
      </w:tblGrid>
      <w:tr w:rsidR="0069639F" w14:paraId="775E56A2" w14:textId="77777777" w:rsidTr="00872168">
        <w:trPr>
          <w:gridAfter w:val="2"/>
          <w:wAfter w:w="1304" w:type="pct"/>
        </w:trPr>
        <w:tc>
          <w:tcPr>
            <w:tcW w:w="1765" w:type="pct"/>
            <w:gridSpan w:val="3"/>
            <w:tcBorders>
              <w:top w:val="nil"/>
              <w:left w:val="nil"/>
              <w:bottom w:val="nil"/>
              <w:right w:val="nil"/>
            </w:tcBorders>
          </w:tcPr>
          <w:p w14:paraId="68A64D79"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w:t>
            </w:r>
          </w:p>
        </w:tc>
        <w:tc>
          <w:tcPr>
            <w:tcW w:w="1931" w:type="pct"/>
            <w:gridSpan w:val="4"/>
            <w:tcBorders>
              <w:top w:val="nil"/>
              <w:left w:val="nil"/>
              <w:bottom w:val="nil"/>
              <w:right w:val="nil"/>
            </w:tcBorders>
          </w:tcPr>
          <w:p w14:paraId="4EF71145"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Delta-method</w:t>
            </w:r>
          </w:p>
        </w:tc>
      </w:tr>
      <w:tr w:rsidR="0069639F" w14:paraId="3DBF0E52" w14:textId="77777777" w:rsidTr="00872168">
        <w:tc>
          <w:tcPr>
            <w:tcW w:w="912" w:type="pct"/>
            <w:tcBorders>
              <w:top w:val="single" w:sz="4" w:space="0" w:color="auto"/>
              <w:left w:val="nil"/>
              <w:bottom w:val="single" w:sz="10" w:space="0" w:color="auto"/>
              <w:right w:val="nil"/>
            </w:tcBorders>
          </w:tcPr>
          <w:p w14:paraId="792E8B7F"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w:t>
            </w:r>
          </w:p>
        </w:tc>
        <w:tc>
          <w:tcPr>
            <w:tcW w:w="681" w:type="pct"/>
            <w:tcBorders>
              <w:top w:val="single" w:sz="4" w:space="0" w:color="auto"/>
              <w:left w:val="nil"/>
              <w:bottom w:val="single" w:sz="10" w:space="0" w:color="auto"/>
              <w:right w:val="nil"/>
            </w:tcBorders>
          </w:tcPr>
          <w:p w14:paraId="09AA70B7"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Margin</w:t>
            </w:r>
          </w:p>
        </w:tc>
        <w:tc>
          <w:tcPr>
            <w:tcW w:w="681" w:type="pct"/>
            <w:gridSpan w:val="2"/>
            <w:tcBorders>
              <w:top w:val="single" w:sz="4" w:space="0" w:color="auto"/>
              <w:left w:val="nil"/>
              <w:bottom w:val="single" w:sz="10" w:space="0" w:color="auto"/>
              <w:right w:val="nil"/>
            </w:tcBorders>
          </w:tcPr>
          <w:p w14:paraId="6AB2CD68"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std. err.</w:t>
            </w:r>
          </w:p>
        </w:tc>
        <w:tc>
          <w:tcPr>
            <w:tcW w:w="681" w:type="pct"/>
            <w:tcBorders>
              <w:top w:val="single" w:sz="4" w:space="0" w:color="auto"/>
              <w:left w:val="nil"/>
              <w:bottom w:val="single" w:sz="10" w:space="0" w:color="auto"/>
              <w:right w:val="nil"/>
            </w:tcBorders>
          </w:tcPr>
          <w:p w14:paraId="687F0012"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z</w:t>
            </w:r>
          </w:p>
        </w:tc>
        <w:tc>
          <w:tcPr>
            <w:tcW w:w="681" w:type="pct"/>
            <w:tcBorders>
              <w:top w:val="single" w:sz="4" w:space="0" w:color="auto"/>
              <w:left w:val="nil"/>
              <w:bottom w:val="single" w:sz="10" w:space="0" w:color="auto"/>
              <w:right w:val="nil"/>
            </w:tcBorders>
          </w:tcPr>
          <w:p w14:paraId="6B32A4F4"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P&gt;z</w:t>
            </w:r>
          </w:p>
        </w:tc>
        <w:tc>
          <w:tcPr>
            <w:tcW w:w="1364" w:type="pct"/>
            <w:gridSpan w:val="3"/>
            <w:tcBorders>
              <w:top w:val="single" w:sz="4" w:space="0" w:color="auto"/>
              <w:left w:val="nil"/>
              <w:bottom w:val="single" w:sz="10" w:space="0" w:color="auto"/>
              <w:right w:val="nil"/>
            </w:tcBorders>
          </w:tcPr>
          <w:p w14:paraId="10EF0C7F"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[95% conf.  interval]</w:t>
            </w:r>
          </w:p>
        </w:tc>
      </w:tr>
      <w:tr w:rsidR="0069639F" w14:paraId="2A54B5B4" w14:textId="77777777" w:rsidTr="00872168">
        <w:trPr>
          <w:gridAfter w:val="6"/>
          <w:wAfter w:w="3235" w:type="pct"/>
        </w:trPr>
        <w:tc>
          <w:tcPr>
            <w:tcW w:w="1765" w:type="pct"/>
            <w:gridSpan w:val="3"/>
            <w:tcBorders>
              <w:top w:val="nil"/>
              <w:left w:val="nil"/>
              <w:bottom w:val="nil"/>
              <w:right w:val="nil"/>
            </w:tcBorders>
          </w:tcPr>
          <w:p w14:paraId="659543BE"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_outcome </w:t>
            </w:r>
          </w:p>
        </w:tc>
      </w:tr>
      <w:tr w:rsidR="0069639F" w14:paraId="56C9C457" w14:textId="77777777" w:rsidTr="00872168">
        <w:tc>
          <w:tcPr>
            <w:tcW w:w="912" w:type="pct"/>
            <w:tcBorders>
              <w:top w:val="nil"/>
              <w:left w:val="nil"/>
              <w:bottom w:val="nil"/>
              <w:right w:val="nil"/>
            </w:tcBorders>
          </w:tcPr>
          <w:p w14:paraId="0ECB8087"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Health  </w:t>
            </w:r>
          </w:p>
        </w:tc>
        <w:tc>
          <w:tcPr>
            <w:tcW w:w="681" w:type="pct"/>
            <w:tcBorders>
              <w:top w:val="nil"/>
              <w:left w:val="nil"/>
              <w:bottom w:val="nil"/>
              <w:right w:val="nil"/>
            </w:tcBorders>
          </w:tcPr>
          <w:p w14:paraId="300E6F1F"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0.312</w:t>
            </w:r>
          </w:p>
        </w:tc>
        <w:tc>
          <w:tcPr>
            <w:tcW w:w="681" w:type="pct"/>
            <w:gridSpan w:val="2"/>
            <w:tcBorders>
              <w:top w:val="nil"/>
              <w:left w:val="nil"/>
              <w:bottom w:val="nil"/>
              <w:right w:val="nil"/>
            </w:tcBorders>
          </w:tcPr>
          <w:p w14:paraId="34C9B4F4"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0.021</w:t>
            </w:r>
          </w:p>
        </w:tc>
        <w:tc>
          <w:tcPr>
            <w:tcW w:w="681" w:type="pct"/>
            <w:tcBorders>
              <w:top w:val="nil"/>
              <w:left w:val="nil"/>
              <w:bottom w:val="nil"/>
              <w:right w:val="nil"/>
            </w:tcBorders>
          </w:tcPr>
          <w:p w14:paraId="392FD36D"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14.740</w:t>
            </w:r>
          </w:p>
        </w:tc>
        <w:tc>
          <w:tcPr>
            <w:tcW w:w="681" w:type="pct"/>
            <w:tcBorders>
              <w:top w:val="nil"/>
              <w:left w:val="nil"/>
              <w:bottom w:val="nil"/>
              <w:right w:val="nil"/>
            </w:tcBorders>
          </w:tcPr>
          <w:p w14:paraId="7ACECDD1"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0.000</w:t>
            </w:r>
          </w:p>
        </w:tc>
        <w:tc>
          <w:tcPr>
            <w:tcW w:w="681" w:type="pct"/>
            <w:gridSpan w:val="2"/>
            <w:tcBorders>
              <w:top w:val="nil"/>
              <w:left w:val="nil"/>
              <w:bottom w:val="nil"/>
              <w:right w:val="nil"/>
            </w:tcBorders>
          </w:tcPr>
          <w:p w14:paraId="6ABAC73B"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0.271</w:t>
            </w:r>
          </w:p>
        </w:tc>
        <w:tc>
          <w:tcPr>
            <w:tcW w:w="683" w:type="pct"/>
            <w:tcBorders>
              <w:top w:val="nil"/>
              <w:left w:val="nil"/>
              <w:bottom w:val="nil"/>
              <w:right w:val="nil"/>
            </w:tcBorders>
          </w:tcPr>
          <w:p w14:paraId="1A7A0976"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0.354</w:t>
            </w:r>
          </w:p>
        </w:tc>
      </w:tr>
      <w:tr w:rsidR="0069639F" w14:paraId="405D106B" w14:textId="77777777" w:rsidTr="00872168">
        <w:tc>
          <w:tcPr>
            <w:tcW w:w="912" w:type="pct"/>
            <w:tcBorders>
              <w:top w:val="nil"/>
              <w:left w:val="nil"/>
              <w:bottom w:val="nil"/>
              <w:right w:val="nil"/>
            </w:tcBorders>
          </w:tcPr>
          <w:p w14:paraId="157E1A98"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Agriculture  </w:t>
            </w:r>
          </w:p>
        </w:tc>
        <w:tc>
          <w:tcPr>
            <w:tcW w:w="681" w:type="pct"/>
            <w:tcBorders>
              <w:top w:val="nil"/>
              <w:left w:val="nil"/>
              <w:bottom w:val="nil"/>
              <w:right w:val="nil"/>
            </w:tcBorders>
          </w:tcPr>
          <w:p w14:paraId="21CEFCA8"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0.433</w:t>
            </w:r>
          </w:p>
        </w:tc>
        <w:tc>
          <w:tcPr>
            <w:tcW w:w="681" w:type="pct"/>
            <w:gridSpan w:val="2"/>
            <w:tcBorders>
              <w:top w:val="nil"/>
              <w:left w:val="nil"/>
              <w:bottom w:val="nil"/>
              <w:right w:val="nil"/>
            </w:tcBorders>
          </w:tcPr>
          <w:p w14:paraId="1CBF7ECB"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0.025</w:t>
            </w:r>
          </w:p>
        </w:tc>
        <w:tc>
          <w:tcPr>
            <w:tcW w:w="681" w:type="pct"/>
            <w:tcBorders>
              <w:top w:val="nil"/>
              <w:left w:val="nil"/>
              <w:bottom w:val="nil"/>
              <w:right w:val="nil"/>
            </w:tcBorders>
          </w:tcPr>
          <w:p w14:paraId="796FE957"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17.400</w:t>
            </w:r>
          </w:p>
        </w:tc>
        <w:tc>
          <w:tcPr>
            <w:tcW w:w="681" w:type="pct"/>
            <w:tcBorders>
              <w:top w:val="nil"/>
              <w:left w:val="nil"/>
              <w:bottom w:val="nil"/>
              <w:right w:val="nil"/>
            </w:tcBorders>
          </w:tcPr>
          <w:p w14:paraId="5557A644"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0.000</w:t>
            </w:r>
          </w:p>
        </w:tc>
        <w:tc>
          <w:tcPr>
            <w:tcW w:w="681" w:type="pct"/>
            <w:gridSpan w:val="2"/>
            <w:tcBorders>
              <w:top w:val="nil"/>
              <w:left w:val="nil"/>
              <w:bottom w:val="nil"/>
              <w:right w:val="nil"/>
            </w:tcBorders>
          </w:tcPr>
          <w:p w14:paraId="1E925BB1"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0.384</w:t>
            </w:r>
          </w:p>
        </w:tc>
        <w:tc>
          <w:tcPr>
            <w:tcW w:w="683" w:type="pct"/>
            <w:tcBorders>
              <w:top w:val="nil"/>
              <w:left w:val="nil"/>
              <w:bottom w:val="nil"/>
              <w:right w:val="nil"/>
            </w:tcBorders>
          </w:tcPr>
          <w:p w14:paraId="6FD458BC"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0.482</w:t>
            </w:r>
          </w:p>
        </w:tc>
      </w:tr>
      <w:tr w:rsidR="0069639F" w14:paraId="03A6FBAE" w14:textId="77777777" w:rsidTr="00872168">
        <w:tc>
          <w:tcPr>
            <w:tcW w:w="912" w:type="pct"/>
            <w:tcBorders>
              <w:top w:val="nil"/>
              <w:left w:val="nil"/>
              <w:bottom w:val="nil"/>
              <w:right w:val="nil"/>
            </w:tcBorders>
          </w:tcPr>
          <w:p w14:paraId="4D4BB6E8"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Property  </w:t>
            </w:r>
          </w:p>
        </w:tc>
        <w:tc>
          <w:tcPr>
            <w:tcW w:w="681" w:type="pct"/>
            <w:tcBorders>
              <w:top w:val="nil"/>
              <w:left w:val="nil"/>
              <w:bottom w:val="nil"/>
              <w:right w:val="nil"/>
            </w:tcBorders>
          </w:tcPr>
          <w:p w14:paraId="6CB4BA8B"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0.255</w:t>
            </w:r>
          </w:p>
        </w:tc>
        <w:tc>
          <w:tcPr>
            <w:tcW w:w="681" w:type="pct"/>
            <w:gridSpan w:val="2"/>
            <w:tcBorders>
              <w:top w:val="nil"/>
              <w:left w:val="nil"/>
              <w:bottom w:val="nil"/>
              <w:right w:val="nil"/>
            </w:tcBorders>
          </w:tcPr>
          <w:p w14:paraId="6C6565A6"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0.020</w:t>
            </w:r>
          </w:p>
        </w:tc>
        <w:tc>
          <w:tcPr>
            <w:tcW w:w="681" w:type="pct"/>
            <w:tcBorders>
              <w:top w:val="nil"/>
              <w:left w:val="nil"/>
              <w:bottom w:val="nil"/>
              <w:right w:val="nil"/>
            </w:tcBorders>
          </w:tcPr>
          <w:p w14:paraId="08F97497"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12.840</w:t>
            </w:r>
          </w:p>
        </w:tc>
        <w:tc>
          <w:tcPr>
            <w:tcW w:w="681" w:type="pct"/>
            <w:tcBorders>
              <w:top w:val="nil"/>
              <w:left w:val="nil"/>
              <w:bottom w:val="nil"/>
              <w:right w:val="nil"/>
            </w:tcBorders>
          </w:tcPr>
          <w:p w14:paraId="64FA6BE4"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0.000</w:t>
            </w:r>
          </w:p>
        </w:tc>
        <w:tc>
          <w:tcPr>
            <w:tcW w:w="681" w:type="pct"/>
            <w:gridSpan w:val="2"/>
            <w:tcBorders>
              <w:top w:val="nil"/>
              <w:left w:val="nil"/>
              <w:bottom w:val="nil"/>
              <w:right w:val="nil"/>
            </w:tcBorders>
          </w:tcPr>
          <w:p w14:paraId="7609FC04"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0.216</w:t>
            </w:r>
          </w:p>
        </w:tc>
        <w:tc>
          <w:tcPr>
            <w:tcW w:w="683" w:type="pct"/>
            <w:tcBorders>
              <w:top w:val="nil"/>
              <w:left w:val="nil"/>
              <w:bottom w:val="nil"/>
              <w:right w:val="nil"/>
            </w:tcBorders>
          </w:tcPr>
          <w:p w14:paraId="78161EC2"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0.294</w:t>
            </w:r>
          </w:p>
        </w:tc>
      </w:tr>
      <w:tr w:rsidR="0069639F" w14:paraId="245BAEFD" w14:textId="77777777" w:rsidTr="00872168">
        <w:tc>
          <w:tcPr>
            <w:tcW w:w="5000" w:type="pct"/>
            <w:gridSpan w:val="9"/>
            <w:tcBorders>
              <w:top w:val="nil"/>
              <w:left w:val="nil"/>
              <w:bottom w:val="single" w:sz="6" w:space="0" w:color="auto"/>
              <w:right w:val="nil"/>
            </w:tcBorders>
          </w:tcPr>
          <w:p w14:paraId="3811F7C9" w14:textId="77777777" w:rsidR="0069639F" w:rsidRDefault="0069639F" w:rsidP="004801FE">
            <w:pPr>
              <w:widowControl w:val="0"/>
              <w:autoSpaceDE w:val="0"/>
              <w:autoSpaceDN w:val="0"/>
              <w:adjustRightInd w:val="0"/>
              <w:rPr>
                <w:rFonts w:ascii="Garamond" w:hAnsi="Garamond"/>
                <w:lang w:val="en-US"/>
              </w:rPr>
            </w:pPr>
          </w:p>
        </w:tc>
      </w:tr>
    </w:tbl>
    <w:p w14:paraId="6C54F8FF" w14:textId="77777777" w:rsidR="0069639F" w:rsidRDefault="0069639F" w:rsidP="004801FE"/>
    <w:p w14:paraId="12E14DB8" w14:textId="77777777" w:rsidR="0069639F" w:rsidRDefault="0069639F" w:rsidP="00407E38">
      <w:pPr>
        <w:spacing w:line="360" w:lineRule="auto"/>
        <w:rPr>
          <w:rFonts w:eastAsia="Aptos"/>
          <w:lang w:val="en-US"/>
        </w:rPr>
      </w:pPr>
    </w:p>
    <w:p w14:paraId="179DFCC1" w14:textId="29456D69" w:rsidR="00274B3A" w:rsidRDefault="0069639F" w:rsidP="00407E38">
      <w:pPr>
        <w:spacing w:line="360" w:lineRule="auto"/>
        <w:jc w:val="both"/>
        <w:rPr>
          <w:rFonts w:ascii="Times New Roman" w:eastAsia="Aptos" w:hAnsi="Times New Roman"/>
          <w:sz w:val="24"/>
          <w:szCs w:val="24"/>
          <w:lang w:val="en-ZA"/>
        </w:rPr>
      </w:pPr>
      <w:r w:rsidRPr="009E6A50">
        <w:rPr>
          <w:rFonts w:ascii="Times New Roman" w:eastAsia="Aptos" w:hAnsi="Times New Roman"/>
          <w:sz w:val="24"/>
          <w:szCs w:val="24"/>
          <w:lang w:val="en-ZA"/>
        </w:rPr>
        <w:t xml:space="preserve">The analysis of the </w:t>
      </w:r>
      <w:r>
        <w:rPr>
          <w:rFonts w:ascii="Times New Roman" w:eastAsia="Aptos" w:hAnsi="Times New Roman"/>
          <w:sz w:val="24"/>
          <w:szCs w:val="24"/>
          <w:lang w:val="en-ZA"/>
        </w:rPr>
        <w:t>post-estimation</w:t>
      </w:r>
      <w:r w:rsidRPr="009E6A50">
        <w:rPr>
          <w:rFonts w:ascii="Times New Roman" w:eastAsia="Aptos" w:hAnsi="Times New Roman"/>
          <w:sz w:val="24"/>
          <w:szCs w:val="24"/>
          <w:lang w:val="en-ZA"/>
        </w:rPr>
        <w:t xml:space="preserve"> results of the study</w:t>
      </w:r>
      <w:r w:rsidR="00274B3A">
        <w:rPr>
          <w:rFonts w:ascii="Times New Roman" w:eastAsia="Aptos" w:hAnsi="Times New Roman"/>
          <w:sz w:val="24"/>
          <w:szCs w:val="24"/>
          <w:lang w:val="en-ZA"/>
        </w:rPr>
        <w:t xml:space="preserve"> in South Africa </w:t>
      </w:r>
      <w:r w:rsidR="00274B3A" w:rsidRPr="009E6A50">
        <w:rPr>
          <w:rFonts w:ascii="Times New Roman" w:eastAsia="Aptos" w:hAnsi="Times New Roman"/>
          <w:sz w:val="24"/>
          <w:szCs w:val="24"/>
          <w:lang w:val="en-ZA"/>
        </w:rPr>
        <w:t>shows</w:t>
      </w:r>
      <w:r w:rsidRPr="009E6A50">
        <w:rPr>
          <w:rFonts w:ascii="Times New Roman" w:eastAsia="Aptos" w:hAnsi="Times New Roman"/>
          <w:sz w:val="24"/>
          <w:szCs w:val="24"/>
          <w:lang w:val="en-ZA"/>
        </w:rPr>
        <w:t xml:space="preserve"> </w:t>
      </w:r>
      <w:proofErr w:type="spellStart"/>
      <w:r w:rsidRPr="009E6A50">
        <w:rPr>
          <w:rFonts w:ascii="Times New Roman" w:eastAsia="Aptos" w:hAnsi="Times New Roman"/>
          <w:sz w:val="24"/>
          <w:szCs w:val="24"/>
          <w:lang w:val="en-ZA"/>
        </w:rPr>
        <w:t>hat</w:t>
      </w:r>
      <w:proofErr w:type="spellEnd"/>
      <w:r w:rsidRPr="009E6A50">
        <w:rPr>
          <w:rFonts w:ascii="Times New Roman" w:eastAsia="Aptos" w:hAnsi="Times New Roman"/>
          <w:sz w:val="24"/>
          <w:szCs w:val="24"/>
          <w:lang w:val="en-ZA"/>
        </w:rPr>
        <w:t xml:space="preserve"> the probability margin of selection of health, agriculture and Property </w:t>
      </w:r>
      <w:r>
        <w:rPr>
          <w:rFonts w:ascii="Times New Roman" w:eastAsia="Aptos" w:hAnsi="Times New Roman"/>
          <w:sz w:val="24"/>
          <w:szCs w:val="24"/>
          <w:lang w:val="en-ZA"/>
        </w:rPr>
        <w:t>is</w:t>
      </w:r>
      <w:r w:rsidRPr="009E6A50">
        <w:rPr>
          <w:rFonts w:ascii="Times New Roman" w:eastAsia="Aptos" w:hAnsi="Times New Roman"/>
          <w:sz w:val="24"/>
          <w:szCs w:val="24"/>
          <w:lang w:val="en-ZA"/>
        </w:rPr>
        <w:t xml:space="preserve"> 35.6%, 28% and 36.3% respectively</w:t>
      </w:r>
      <w:r>
        <w:rPr>
          <w:rFonts w:ascii="Times New Roman" w:eastAsia="Aptos" w:hAnsi="Times New Roman"/>
          <w:sz w:val="24"/>
          <w:szCs w:val="24"/>
          <w:lang w:val="en-ZA"/>
        </w:rPr>
        <w:t xml:space="preserve"> in Table </w:t>
      </w:r>
      <w:r w:rsidR="00274B3A">
        <w:rPr>
          <w:rFonts w:ascii="Times New Roman" w:eastAsia="Aptos" w:hAnsi="Times New Roman"/>
          <w:sz w:val="24"/>
          <w:szCs w:val="24"/>
          <w:lang w:val="en-ZA"/>
        </w:rPr>
        <w:t>8</w:t>
      </w:r>
      <w:r>
        <w:rPr>
          <w:rFonts w:ascii="Times New Roman" w:eastAsia="Aptos" w:hAnsi="Times New Roman"/>
          <w:sz w:val="24"/>
          <w:szCs w:val="24"/>
          <w:lang w:val="en-ZA"/>
        </w:rPr>
        <w:t xml:space="preserve"> below</w:t>
      </w:r>
      <w:r w:rsidRPr="009E6A50">
        <w:rPr>
          <w:rFonts w:ascii="Times New Roman" w:eastAsia="Aptos" w:hAnsi="Times New Roman"/>
          <w:sz w:val="24"/>
          <w:szCs w:val="24"/>
          <w:lang w:val="en-ZA"/>
        </w:rPr>
        <w:t xml:space="preserve">. These results are also aligned </w:t>
      </w:r>
      <w:r>
        <w:rPr>
          <w:rFonts w:ascii="Times New Roman" w:eastAsia="Aptos" w:hAnsi="Times New Roman"/>
          <w:sz w:val="24"/>
          <w:szCs w:val="24"/>
          <w:lang w:val="en-ZA"/>
        </w:rPr>
        <w:t>with</w:t>
      </w:r>
      <w:r w:rsidRPr="009E6A50">
        <w:rPr>
          <w:rFonts w:ascii="Times New Roman" w:eastAsia="Aptos" w:hAnsi="Times New Roman"/>
          <w:sz w:val="24"/>
          <w:szCs w:val="24"/>
          <w:lang w:val="en-ZA"/>
        </w:rPr>
        <w:t xml:space="preserve"> the descriptive statistics in </w:t>
      </w:r>
      <w:r>
        <w:rPr>
          <w:rFonts w:ascii="Times New Roman" w:eastAsia="Aptos" w:hAnsi="Times New Roman"/>
          <w:sz w:val="24"/>
          <w:szCs w:val="24"/>
          <w:lang w:val="en-ZA"/>
        </w:rPr>
        <w:lastRenderedPageBreak/>
        <w:t>Table</w:t>
      </w:r>
      <w:r w:rsidR="00274B3A">
        <w:rPr>
          <w:rFonts w:ascii="Times New Roman" w:eastAsia="Aptos" w:hAnsi="Times New Roman"/>
          <w:sz w:val="24"/>
          <w:szCs w:val="24"/>
          <w:lang w:val="en-ZA"/>
        </w:rPr>
        <w:t xml:space="preserve"> 5</w:t>
      </w:r>
      <w:r w:rsidRPr="009E6A50">
        <w:rPr>
          <w:rFonts w:ascii="Times New Roman" w:eastAsia="Aptos" w:hAnsi="Times New Roman"/>
          <w:sz w:val="24"/>
          <w:szCs w:val="24"/>
          <w:lang w:val="en-ZA"/>
        </w:rPr>
        <w:t xml:space="preserve"> above which shows the dominants of health and property insurance. The dominants of the probabilities of selection of health and property are aligned to the nature of the area and the dominant activities in </w:t>
      </w:r>
      <w:proofErr w:type="spellStart"/>
      <w:r w:rsidRPr="009E6A50">
        <w:rPr>
          <w:rFonts w:ascii="Times New Roman" w:eastAsia="Aptos" w:hAnsi="Times New Roman"/>
          <w:sz w:val="24"/>
          <w:szCs w:val="24"/>
          <w:lang w:val="en-ZA"/>
        </w:rPr>
        <w:t>Othongaat</w:t>
      </w:r>
      <w:proofErr w:type="spellEnd"/>
      <w:r w:rsidRPr="009E6A50">
        <w:rPr>
          <w:rFonts w:ascii="Times New Roman" w:eastAsia="Aptos" w:hAnsi="Times New Roman"/>
          <w:sz w:val="24"/>
          <w:szCs w:val="24"/>
          <w:lang w:val="en-ZA"/>
        </w:rPr>
        <w:t xml:space="preserve">.  The study further </w:t>
      </w:r>
      <w:r>
        <w:rPr>
          <w:rFonts w:ascii="Times New Roman" w:eastAsia="Aptos" w:hAnsi="Times New Roman"/>
          <w:sz w:val="24"/>
          <w:szCs w:val="24"/>
          <w:lang w:val="en-ZA"/>
        </w:rPr>
        <w:t>analyses</w:t>
      </w:r>
      <w:r w:rsidRPr="009E6A50">
        <w:rPr>
          <w:rFonts w:ascii="Times New Roman" w:eastAsia="Aptos" w:hAnsi="Times New Roman"/>
          <w:sz w:val="24"/>
          <w:szCs w:val="24"/>
          <w:lang w:val="en-ZA"/>
        </w:rPr>
        <w:t xml:space="preserve"> the probabilities of selection with changes in premium and maximum amounts </w:t>
      </w:r>
    </w:p>
    <w:p w14:paraId="58FBB123" w14:textId="77777777" w:rsidR="00274B3A" w:rsidRDefault="00274B3A" w:rsidP="004801FE">
      <w:pPr>
        <w:jc w:val="both"/>
        <w:rPr>
          <w:rFonts w:ascii="Times New Roman" w:eastAsia="Aptos" w:hAnsi="Times New Roman"/>
          <w:sz w:val="24"/>
          <w:szCs w:val="24"/>
          <w:lang w:val="en-ZA"/>
        </w:rPr>
      </w:pPr>
    </w:p>
    <w:p w14:paraId="3BF18EB1" w14:textId="4AC77F1B" w:rsidR="0069639F" w:rsidRPr="00274B3A" w:rsidRDefault="0069639F" w:rsidP="004801FE">
      <w:pPr>
        <w:jc w:val="both"/>
        <w:rPr>
          <w:rFonts w:ascii="Times New Roman" w:eastAsia="Aptos" w:hAnsi="Times New Roman"/>
          <w:b/>
          <w:bCs/>
          <w:sz w:val="24"/>
          <w:szCs w:val="24"/>
          <w:lang w:val="en-ZA"/>
        </w:rPr>
      </w:pPr>
      <w:r w:rsidRPr="00274B3A">
        <w:rPr>
          <w:b/>
          <w:bCs/>
        </w:rPr>
        <w:t xml:space="preserve">Table </w:t>
      </w:r>
      <w:r w:rsidR="00274B3A" w:rsidRPr="00274B3A">
        <w:rPr>
          <w:b/>
          <w:bCs/>
        </w:rPr>
        <w:t xml:space="preserve">8 </w:t>
      </w:r>
      <w:r w:rsidRPr="00274B3A">
        <w:rPr>
          <w:b/>
          <w:bCs/>
        </w:rPr>
        <w:t xml:space="preserve"> Predictive margins South Africa</w:t>
      </w:r>
    </w:p>
    <w:p w14:paraId="3CFBEA74" w14:textId="77777777" w:rsidR="0069639F" w:rsidRPr="003F37CE" w:rsidRDefault="0069639F" w:rsidP="004801FE">
      <w:pPr>
        <w:widowControl w:val="0"/>
        <w:autoSpaceDE w:val="0"/>
        <w:autoSpaceDN w:val="0"/>
        <w:adjustRightInd w:val="0"/>
        <w:rPr>
          <w:rFonts w:ascii="Garamond" w:hAnsi="Garamond"/>
          <w:u w:val="single"/>
          <w:lang w:val="en-US"/>
        </w:rPr>
      </w:pPr>
    </w:p>
    <w:p w14:paraId="275E28ED" w14:textId="77777777" w:rsidR="0069639F" w:rsidRPr="00E43114" w:rsidRDefault="0069639F" w:rsidP="004801FE">
      <w:pPr>
        <w:widowControl w:val="0"/>
        <w:autoSpaceDE w:val="0"/>
        <w:autoSpaceDN w:val="0"/>
        <w:adjustRightInd w:val="0"/>
        <w:rPr>
          <w:rFonts w:ascii="Garamond" w:hAnsi="Garamond"/>
          <w:lang w:val="en-US"/>
        </w:rPr>
      </w:pPr>
      <w:r>
        <w:rPr>
          <w:rFonts w:ascii="Garamond" w:hAnsi="Garamond"/>
          <w:lang w:val="en-US"/>
        </w:rPr>
        <w:t xml:space="preserve">Predictive margins                                       Number of </w:t>
      </w:r>
      <w:proofErr w:type="spellStart"/>
      <w:r>
        <w:rPr>
          <w:rFonts w:ascii="Garamond" w:hAnsi="Garamond"/>
          <w:lang w:val="en-US"/>
        </w:rPr>
        <w:t>obs</w:t>
      </w:r>
      <w:proofErr w:type="spellEnd"/>
      <w:r>
        <w:rPr>
          <w:rFonts w:ascii="Garamond" w:hAnsi="Garamond"/>
          <w:lang w:val="en-US"/>
        </w:rPr>
        <w:t xml:space="preserve"> = 1,263</w:t>
      </w:r>
      <w:r>
        <w:rPr>
          <w:rFonts w:ascii="Garamond" w:hAnsi="Garamond"/>
          <w:lang w:val="en-US"/>
        </w:rPr>
        <w:br/>
        <w:t>Model VCE: Robust</w:t>
      </w:r>
    </w:p>
    <w:tbl>
      <w:tblPr>
        <w:tblW w:w="0" w:type="auto"/>
        <w:tblLayout w:type="fixed"/>
        <w:tblLook w:val="0000" w:firstRow="0" w:lastRow="0" w:firstColumn="0" w:lastColumn="0" w:noHBand="0" w:noVBand="0"/>
      </w:tblPr>
      <w:tblGrid>
        <w:gridCol w:w="2095"/>
        <w:gridCol w:w="1671"/>
        <w:gridCol w:w="1671"/>
        <w:gridCol w:w="1671"/>
      </w:tblGrid>
      <w:tr w:rsidR="0069639F" w14:paraId="687D199C" w14:textId="77777777" w:rsidTr="0011110B">
        <w:trPr>
          <w:trHeight w:val="445"/>
        </w:trPr>
        <w:tc>
          <w:tcPr>
            <w:tcW w:w="2095" w:type="dxa"/>
            <w:tcBorders>
              <w:top w:val="single" w:sz="4" w:space="0" w:color="auto"/>
              <w:left w:val="nil"/>
              <w:bottom w:val="single" w:sz="10" w:space="0" w:color="auto"/>
              <w:right w:val="nil"/>
            </w:tcBorders>
          </w:tcPr>
          <w:p w14:paraId="6254DC32"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Expression: </w:t>
            </w:r>
            <w:proofErr w:type="spellStart"/>
            <w:r>
              <w:rPr>
                <w:rFonts w:ascii="Garamond" w:hAnsi="Garamond"/>
                <w:lang w:val="en-US"/>
              </w:rPr>
              <w:t>Pr</w:t>
            </w:r>
            <w:proofErr w:type="spellEnd"/>
            <w:r>
              <w:rPr>
                <w:rFonts w:ascii="Garamond" w:hAnsi="Garamond"/>
                <w:lang w:val="en-US"/>
              </w:rPr>
              <w:t>(Domain</w:t>
            </w:r>
          </w:p>
        </w:tc>
        <w:tc>
          <w:tcPr>
            <w:tcW w:w="1671" w:type="dxa"/>
            <w:tcBorders>
              <w:top w:val="single" w:sz="4" w:space="0" w:color="auto"/>
              <w:left w:val="nil"/>
              <w:bottom w:val="single" w:sz="10" w:space="0" w:color="auto"/>
              <w:right w:val="nil"/>
            </w:tcBorders>
          </w:tcPr>
          <w:p w14:paraId="6C904AAB"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1</w:t>
            </w:r>
          </w:p>
        </w:tc>
        <w:tc>
          <w:tcPr>
            <w:tcW w:w="1671" w:type="dxa"/>
            <w:tcBorders>
              <w:top w:val="single" w:sz="4" w:space="0" w:color="auto"/>
              <w:left w:val="nil"/>
              <w:bottom w:val="single" w:sz="10" w:space="0" w:color="auto"/>
              <w:right w:val="nil"/>
            </w:tcBorders>
          </w:tcPr>
          <w:p w14:paraId="768D8086"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selected),</w:t>
            </w:r>
          </w:p>
        </w:tc>
        <w:tc>
          <w:tcPr>
            <w:tcW w:w="1671" w:type="dxa"/>
            <w:tcBorders>
              <w:top w:val="single" w:sz="4" w:space="0" w:color="auto"/>
              <w:left w:val="nil"/>
              <w:bottom w:val="single" w:sz="10" w:space="0" w:color="auto"/>
              <w:right w:val="nil"/>
            </w:tcBorders>
          </w:tcPr>
          <w:p w14:paraId="2D887F01"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predict()</w:t>
            </w:r>
          </w:p>
        </w:tc>
      </w:tr>
    </w:tbl>
    <w:p w14:paraId="224C641E" w14:textId="77777777" w:rsidR="0069639F" w:rsidRDefault="0069639F" w:rsidP="004801FE">
      <w:pPr>
        <w:widowControl w:val="0"/>
        <w:autoSpaceDE w:val="0"/>
        <w:autoSpaceDN w:val="0"/>
        <w:adjustRightInd w:val="0"/>
        <w:rPr>
          <w:rFonts w:ascii="Garamond" w:hAnsi="Garamond"/>
          <w:lang w:val="en-US"/>
        </w:rPr>
      </w:pPr>
    </w:p>
    <w:tbl>
      <w:tblPr>
        <w:tblW w:w="3848" w:type="pct"/>
        <w:tblLook w:val="0000" w:firstRow="0" w:lastRow="0" w:firstColumn="0" w:lastColumn="0" w:noHBand="0" w:noVBand="0"/>
      </w:tblPr>
      <w:tblGrid>
        <w:gridCol w:w="1241"/>
        <w:gridCol w:w="927"/>
        <w:gridCol w:w="233"/>
        <w:gridCol w:w="692"/>
        <w:gridCol w:w="925"/>
        <w:gridCol w:w="925"/>
        <w:gridCol w:w="83"/>
        <w:gridCol w:w="842"/>
        <w:gridCol w:w="929"/>
        <w:gridCol w:w="149"/>
      </w:tblGrid>
      <w:tr w:rsidR="0069639F" w14:paraId="57BC48EB" w14:textId="77777777" w:rsidTr="0011110B">
        <w:trPr>
          <w:gridAfter w:val="3"/>
          <w:wAfter w:w="1383" w:type="pct"/>
          <w:trHeight w:val="244"/>
        </w:trPr>
        <w:tc>
          <w:tcPr>
            <w:tcW w:w="1728" w:type="pct"/>
            <w:gridSpan w:val="3"/>
            <w:tcBorders>
              <w:top w:val="nil"/>
              <w:left w:val="nil"/>
              <w:bottom w:val="nil"/>
              <w:right w:val="nil"/>
            </w:tcBorders>
          </w:tcPr>
          <w:p w14:paraId="67A9A2B2"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w:t>
            </w:r>
          </w:p>
        </w:tc>
        <w:tc>
          <w:tcPr>
            <w:tcW w:w="1890" w:type="pct"/>
            <w:gridSpan w:val="4"/>
            <w:tcBorders>
              <w:top w:val="nil"/>
              <w:left w:val="nil"/>
              <w:bottom w:val="nil"/>
              <w:right w:val="nil"/>
            </w:tcBorders>
          </w:tcPr>
          <w:p w14:paraId="71D371A9"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Delta-method</w:t>
            </w:r>
          </w:p>
        </w:tc>
      </w:tr>
      <w:tr w:rsidR="0069639F" w14:paraId="72662744" w14:textId="77777777" w:rsidTr="0011110B">
        <w:trPr>
          <w:trHeight w:val="960"/>
        </w:trPr>
        <w:tc>
          <w:tcPr>
            <w:tcW w:w="893" w:type="pct"/>
            <w:tcBorders>
              <w:top w:val="single" w:sz="4" w:space="0" w:color="auto"/>
              <w:left w:val="nil"/>
              <w:bottom w:val="single" w:sz="10" w:space="0" w:color="auto"/>
              <w:right w:val="nil"/>
            </w:tcBorders>
          </w:tcPr>
          <w:p w14:paraId="6D464831"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w:t>
            </w:r>
          </w:p>
        </w:tc>
        <w:tc>
          <w:tcPr>
            <w:tcW w:w="667" w:type="pct"/>
            <w:tcBorders>
              <w:top w:val="single" w:sz="4" w:space="0" w:color="auto"/>
              <w:left w:val="nil"/>
              <w:bottom w:val="single" w:sz="10" w:space="0" w:color="auto"/>
              <w:right w:val="nil"/>
            </w:tcBorders>
          </w:tcPr>
          <w:p w14:paraId="3C4C846D"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Margin</w:t>
            </w:r>
          </w:p>
        </w:tc>
        <w:tc>
          <w:tcPr>
            <w:tcW w:w="666" w:type="pct"/>
            <w:gridSpan w:val="2"/>
            <w:tcBorders>
              <w:top w:val="single" w:sz="4" w:space="0" w:color="auto"/>
              <w:left w:val="nil"/>
              <w:bottom w:val="single" w:sz="10" w:space="0" w:color="auto"/>
              <w:right w:val="nil"/>
            </w:tcBorders>
          </w:tcPr>
          <w:p w14:paraId="5E81108E"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std. err.</w:t>
            </w:r>
          </w:p>
        </w:tc>
        <w:tc>
          <w:tcPr>
            <w:tcW w:w="666" w:type="pct"/>
            <w:tcBorders>
              <w:top w:val="single" w:sz="4" w:space="0" w:color="auto"/>
              <w:left w:val="nil"/>
              <w:bottom w:val="single" w:sz="10" w:space="0" w:color="auto"/>
              <w:right w:val="nil"/>
            </w:tcBorders>
          </w:tcPr>
          <w:p w14:paraId="1864F1F4"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z</w:t>
            </w:r>
          </w:p>
        </w:tc>
        <w:tc>
          <w:tcPr>
            <w:tcW w:w="666" w:type="pct"/>
            <w:tcBorders>
              <w:top w:val="single" w:sz="4" w:space="0" w:color="auto"/>
              <w:left w:val="nil"/>
              <w:bottom w:val="single" w:sz="10" w:space="0" w:color="auto"/>
              <w:right w:val="nil"/>
            </w:tcBorders>
          </w:tcPr>
          <w:p w14:paraId="73A2D35D"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P&gt;z</w:t>
            </w:r>
          </w:p>
        </w:tc>
        <w:tc>
          <w:tcPr>
            <w:tcW w:w="1443" w:type="pct"/>
            <w:gridSpan w:val="4"/>
            <w:tcBorders>
              <w:top w:val="single" w:sz="4" w:space="0" w:color="auto"/>
              <w:left w:val="nil"/>
              <w:bottom w:val="single" w:sz="10" w:space="0" w:color="auto"/>
              <w:right w:val="nil"/>
            </w:tcBorders>
          </w:tcPr>
          <w:p w14:paraId="489379B1"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w:t>
            </w:r>
          </w:p>
          <w:p w14:paraId="5CB04C26"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[95% conf.  interval]</w:t>
            </w:r>
          </w:p>
        </w:tc>
      </w:tr>
      <w:tr w:rsidR="0069639F" w14:paraId="39096D0C" w14:textId="77777777" w:rsidTr="0011110B">
        <w:trPr>
          <w:gridAfter w:val="7"/>
          <w:wAfter w:w="3272" w:type="pct"/>
          <w:trHeight w:val="227"/>
        </w:trPr>
        <w:tc>
          <w:tcPr>
            <w:tcW w:w="1728" w:type="pct"/>
            <w:gridSpan w:val="3"/>
            <w:tcBorders>
              <w:top w:val="nil"/>
              <w:left w:val="nil"/>
              <w:bottom w:val="nil"/>
              <w:right w:val="nil"/>
            </w:tcBorders>
          </w:tcPr>
          <w:p w14:paraId="53FD5742"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_outcome </w:t>
            </w:r>
          </w:p>
        </w:tc>
      </w:tr>
      <w:tr w:rsidR="0069639F" w14:paraId="117F5548" w14:textId="77777777" w:rsidTr="0011110B">
        <w:trPr>
          <w:gridAfter w:val="1"/>
          <w:wAfter w:w="107" w:type="pct"/>
          <w:trHeight w:val="244"/>
        </w:trPr>
        <w:tc>
          <w:tcPr>
            <w:tcW w:w="893" w:type="pct"/>
            <w:tcBorders>
              <w:top w:val="nil"/>
              <w:left w:val="nil"/>
              <w:bottom w:val="nil"/>
              <w:right w:val="nil"/>
            </w:tcBorders>
          </w:tcPr>
          <w:p w14:paraId="39A938AE"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Health  </w:t>
            </w:r>
          </w:p>
        </w:tc>
        <w:tc>
          <w:tcPr>
            <w:tcW w:w="667" w:type="pct"/>
            <w:tcBorders>
              <w:top w:val="nil"/>
              <w:left w:val="nil"/>
              <w:bottom w:val="nil"/>
              <w:right w:val="nil"/>
            </w:tcBorders>
          </w:tcPr>
          <w:p w14:paraId="2BF04474"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0.356</w:t>
            </w:r>
          </w:p>
        </w:tc>
        <w:tc>
          <w:tcPr>
            <w:tcW w:w="666" w:type="pct"/>
            <w:gridSpan w:val="2"/>
            <w:tcBorders>
              <w:top w:val="nil"/>
              <w:left w:val="nil"/>
              <w:bottom w:val="nil"/>
              <w:right w:val="nil"/>
            </w:tcBorders>
          </w:tcPr>
          <w:p w14:paraId="3B7ED66E"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0.037</w:t>
            </w:r>
          </w:p>
        </w:tc>
        <w:tc>
          <w:tcPr>
            <w:tcW w:w="666" w:type="pct"/>
            <w:tcBorders>
              <w:top w:val="nil"/>
              <w:left w:val="nil"/>
              <w:bottom w:val="nil"/>
              <w:right w:val="nil"/>
            </w:tcBorders>
          </w:tcPr>
          <w:p w14:paraId="0BF50DF6"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9.530</w:t>
            </w:r>
          </w:p>
        </w:tc>
        <w:tc>
          <w:tcPr>
            <w:tcW w:w="666" w:type="pct"/>
            <w:tcBorders>
              <w:top w:val="nil"/>
              <w:left w:val="nil"/>
              <w:bottom w:val="nil"/>
              <w:right w:val="nil"/>
            </w:tcBorders>
          </w:tcPr>
          <w:p w14:paraId="53253B3B"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0.000</w:t>
            </w:r>
          </w:p>
        </w:tc>
        <w:tc>
          <w:tcPr>
            <w:tcW w:w="666" w:type="pct"/>
            <w:gridSpan w:val="2"/>
            <w:tcBorders>
              <w:top w:val="nil"/>
              <w:left w:val="nil"/>
              <w:bottom w:val="nil"/>
              <w:right w:val="nil"/>
            </w:tcBorders>
          </w:tcPr>
          <w:p w14:paraId="565E2E5C"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0.283</w:t>
            </w:r>
          </w:p>
        </w:tc>
        <w:tc>
          <w:tcPr>
            <w:tcW w:w="669" w:type="pct"/>
            <w:tcBorders>
              <w:top w:val="nil"/>
              <w:left w:val="nil"/>
              <w:bottom w:val="nil"/>
              <w:right w:val="nil"/>
            </w:tcBorders>
          </w:tcPr>
          <w:p w14:paraId="762556C9"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0.430</w:t>
            </w:r>
          </w:p>
        </w:tc>
      </w:tr>
      <w:tr w:rsidR="0069639F" w14:paraId="6A36039F" w14:textId="77777777" w:rsidTr="0011110B">
        <w:trPr>
          <w:gridAfter w:val="1"/>
          <w:wAfter w:w="107" w:type="pct"/>
          <w:trHeight w:val="244"/>
        </w:trPr>
        <w:tc>
          <w:tcPr>
            <w:tcW w:w="893" w:type="pct"/>
            <w:tcBorders>
              <w:top w:val="nil"/>
              <w:left w:val="nil"/>
              <w:bottom w:val="nil"/>
              <w:right w:val="nil"/>
            </w:tcBorders>
          </w:tcPr>
          <w:p w14:paraId="5CF77329"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Agriculture  </w:t>
            </w:r>
          </w:p>
        </w:tc>
        <w:tc>
          <w:tcPr>
            <w:tcW w:w="667" w:type="pct"/>
            <w:tcBorders>
              <w:top w:val="nil"/>
              <w:left w:val="nil"/>
              <w:bottom w:val="nil"/>
              <w:right w:val="nil"/>
            </w:tcBorders>
          </w:tcPr>
          <w:p w14:paraId="1C09DB17"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0.280</w:t>
            </w:r>
          </w:p>
        </w:tc>
        <w:tc>
          <w:tcPr>
            <w:tcW w:w="666" w:type="pct"/>
            <w:gridSpan w:val="2"/>
            <w:tcBorders>
              <w:top w:val="nil"/>
              <w:left w:val="nil"/>
              <w:bottom w:val="nil"/>
              <w:right w:val="nil"/>
            </w:tcBorders>
          </w:tcPr>
          <w:p w14:paraId="4126CA1C"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0.036</w:t>
            </w:r>
          </w:p>
        </w:tc>
        <w:tc>
          <w:tcPr>
            <w:tcW w:w="666" w:type="pct"/>
            <w:tcBorders>
              <w:top w:val="nil"/>
              <w:left w:val="nil"/>
              <w:bottom w:val="nil"/>
              <w:right w:val="nil"/>
            </w:tcBorders>
          </w:tcPr>
          <w:p w14:paraId="08247C53"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7.750</w:t>
            </w:r>
          </w:p>
        </w:tc>
        <w:tc>
          <w:tcPr>
            <w:tcW w:w="666" w:type="pct"/>
            <w:tcBorders>
              <w:top w:val="nil"/>
              <w:left w:val="nil"/>
              <w:bottom w:val="nil"/>
              <w:right w:val="nil"/>
            </w:tcBorders>
          </w:tcPr>
          <w:p w14:paraId="7AC2420F"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0.000</w:t>
            </w:r>
          </w:p>
        </w:tc>
        <w:tc>
          <w:tcPr>
            <w:tcW w:w="666" w:type="pct"/>
            <w:gridSpan w:val="2"/>
            <w:tcBorders>
              <w:top w:val="nil"/>
              <w:left w:val="nil"/>
              <w:bottom w:val="nil"/>
              <w:right w:val="nil"/>
            </w:tcBorders>
          </w:tcPr>
          <w:p w14:paraId="096D255A"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0.209</w:t>
            </w:r>
          </w:p>
        </w:tc>
        <w:tc>
          <w:tcPr>
            <w:tcW w:w="669" w:type="pct"/>
            <w:tcBorders>
              <w:top w:val="nil"/>
              <w:left w:val="nil"/>
              <w:bottom w:val="nil"/>
              <w:right w:val="nil"/>
            </w:tcBorders>
          </w:tcPr>
          <w:p w14:paraId="3B3E9063"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0.351</w:t>
            </w:r>
          </w:p>
        </w:tc>
      </w:tr>
      <w:tr w:rsidR="0069639F" w14:paraId="0B99F3FD" w14:textId="77777777" w:rsidTr="0011110B">
        <w:trPr>
          <w:gridAfter w:val="1"/>
          <w:wAfter w:w="107" w:type="pct"/>
          <w:trHeight w:val="244"/>
        </w:trPr>
        <w:tc>
          <w:tcPr>
            <w:tcW w:w="893" w:type="pct"/>
            <w:tcBorders>
              <w:top w:val="nil"/>
              <w:left w:val="nil"/>
              <w:bottom w:val="nil"/>
              <w:right w:val="nil"/>
            </w:tcBorders>
          </w:tcPr>
          <w:p w14:paraId="3535ECEA"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Property  </w:t>
            </w:r>
          </w:p>
        </w:tc>
        <w:tc>
          <w:tcPr>
            <w:tcW w:w="667" w:type="pct"/>
            <w:tcBorders>
              <w:top w:val="nil"/>
              <w:left w:val="nil"/>
              <w:bottom w:val="nil"/>
              <w:right w:val="nil"/>
            </w:tcBorders>
          </w:tcPr>
          <w:p w14:paraId="70CE940A"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0.363</w:t>
            </w:r>
          </w:p>
        </w:tc>
        <w:tc>
          <w:tcPr>
            <w:tcW w:w="666" w:type="pct"/>
            <w:gridSpan w:val="2"/>
            <w:tcBorders>
              <w:top w:val="nil"/>
              <w:left w:val="nil"/>
              <w:bottom w:val="nil"/>
              <w:right w:val="nil"/>
            </w:tcBorders>
          </w:tcPr>
          <w:p w14:paraId="401224F7"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0.035</w:t>
            </w:r>
          </w:p>
        </w:tc>
        <w:tc>
          <w:tcPr>
            <w:tcW w:w="666" w:type="pct"/>
            <w:tcBorders>
              <w:top w:val="nil"/>
              <w:left w:val="nil"/>
              <w:bottom w:val="nil"/>
              <w:right w:val="nil"/>
            </w:tcBorders>
          </w:tcPr>
          <w:p w14:paraId="1320EFC6"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10.350</w:t>
            </w:r>
          </w:p>
        </w:tc>
        <w:tc>
          <w:tcPr>
            <w:tcW w:w="666" w:type="pct"/>
            <w:tcBorders>
              <w:top w:val="nil"/>
              <w:left w:val="nil"/>
              <w:bottom w:val="nil"/>
              <w:right w:val="nil"/>
            </w:tcBorders>
          </w:tcPr>
          <w:p w14:paraId="719B42D0"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0.000</w:t>
            </w:r>
          </w:p>
        </w:tc>
        <w:tc>
          <w:tcPr>
            <w:tcW w:w="666" w:type="pct"/>
            <w:gridSpan w:val="2"/>
            <w:tcBorders>
              <w:top w:val="nil"/>
              <w:left w:val="nil"/>
              <w:bottom w:val="nil"/>
              <w:right w:val="nil"/>
            </w:tcBorders>
          </w:tcPr>
          <w:p w14:paraId="6C5F1521"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0.295</w:t>
            </w:r>
          </w:p>
        </w:tc>
        <w:tc>
          <w:tcPr>
            <w:tcW w:w="669" w:type="pct"/>
            <w:tcBorders>
              <w:top w:val="nil"/>
              <w:left w:val="nil"/>
              <w:bottom w:val="nil"/>
              <w:right w:val="nil"/>
            </w:tcBorders>
          </w:tcPr>
          <w:p w14:paraId="16BA7EAA" w14:textId="77777777" w:rsidR="0069639F" w:rsidRDefault="0069639F" w:rsidP="004801FE">
            <w:pPr>
              <w:widowControl w:val="0"/>
              <w:autoSpaceDE w:val="0"/>
              <w:autoSpaceDN w:val="0"/>
              <w:adjustRightInd w:val="0"/>
              <w:rPr>
                <w:rFonts w:ascii="Garamond" w:hAnsi="Garamond"/>
                <w:lang w:val="en-US"/>
              </w:rPr>
            </w:pPr>
            <w:r>
              <w:rPr>
                <w:rFonts w:ascii="Garamond" w:hAnsi="Garamond"/>
                <w:lang w:val="en-US"/>
              </w:rPr>
              <w:t xml:space="preserve">    0.432</w:t>
            </w:r>
          </w:p>
        </w:tc>
      </w:tr>
      <w:tr w:rsidR="0069639F" w14:paraId="0ECBF5E5" w14:textId="77777777" w:rsidTr="0011110B">
        <w:trPr>
          <w:gridAfter w:val="1"/>
          <w:wAfter w:w="107" w:type="pct"/>
          <w:trHeight w:val="244"/>
        </w:trPr>
        <w:tc>
          <w:tcPr>
            <w:tcW w:w="4893" w:type="pct"/>
            <w:gridSpan w:val="9"/>
            <w:tcBorders>
              <w:top w:val="nil"/>
              <w:left w:val="nil"/>
              <w:bottom w:val="single" w:sz="6" w:space="0" w:color="auto"/>
              <w:right w:val="nil"/>
            </w:tcBorders>
          </w:tcPr>
          <w:p w14:paraId="2C31D52D" w14:textId="77777777" w:rsidR="0069639F" w:rsidRDefault="0069639F" w:rsidP="004801FE">
            <w:pPr>
              <w:widowControl w:val="0"/>
              <w:autoSpaceDE w:val="0"/>
              <w:autoSpaceDN w:val="0"/>
              <w:adjustRightInd w:val="0"/>
              <w:rPr>
                <w:rFonts w:ascii="Garamond" w:hAnsi="Garamond"/>
                <w:lang w:val="en-US"/>
              </w:rPr>
            </w:pPr>
          </w:p>
        </w:tc>
      </w:tr>
    </w:tbl>
    <w:p w14:paraId="41A4FDCD" w14:textId="77777777" w:rsidR="0069639F" w:rsidRDefault="0069639F" w:rsidP="004801FE">
      <w:pPr>
        <w:jc w:val="both"/>
        <w:rPr>
          <w:rFonts w:ascii="Times New Roman" w:eastAsia="Aptos" w:hAnsi="Times New Roman"/>
          <w:sz w:val="24"/>
          <w:szCs w:val="24"/>
          <w:lang w:val="en-US"/>
        </w:rPr>
      </w:pPr>
    </w:p>
    <w:p w14:paraId="71A9705F" w14:textId="611EDC96" w:rsidR="0069639F" w:rsidRDefault="00274B3A" w:rsidP="004801FE">
      <w:pPr>
        <w:pStyle w:val="Heading3"/>
        <w:rPr>
          <w:rFonts w:eastAsia="Aptos"/>
          <w:lang w:val="en-US"/>
        </w:rPr>
      </w:pPr>
      <w:r>
        <w:rPr>
          <w:rFonts w:eastAsia="Aptos"/>
          <w:lang w:val="en-US"/>
        </w:rPr>
        <w:t>6.1.1.2</w:t>
      </w:r>
      <w:r w:rsidR="0069639F">
        <w:rPr>
          <w:rFonts w:eastAsia="Aptos"/>
          <w:lang w:val="en-US"/>
        </w:rPr>
        <w:t xml:space="preserve">Post </w:t>
      </w:r>
      <w:r>
        <w:rPr>
          <w:rFonts w:eastAsia="Aptos"/>
          <w:lang w:val="en-US"/>
        </w:rPr>
        <w:t>estimation premium</w:t>
      </w:r>
      <w:r w:rsidR="0069639F">
        <w:rPr>
          <w:rFonts w:eastAsia="Aptos"/>
          <w:lang w:val="en-US"/>
        </w:rPr>
        <w:t xml:space="preserve"> margins analysis </w:t>
      </w:r>
    </w:p>
    <w:p w14:paraId="0C48D09F" w14:textId="77777777" w:rsidR="0069639F" w:rsidRDefault="0069639F" w:rsidP="004801FE">
      <w:pPr>
        <w:jc w:val="both"/>
        <w:rPr>
          <w:rFonts w:ascii="Times New Roman" w:eastAsia="Aptos" w:hAnsi="Times New Roman"/>
          <w:sz w:val="24"/>
          <w:szCs w:val="24"/>
          <w:lang w:val="en-US"/>
        </w:rPr>
      </w:pPr>
    </w:p>
    <w:p w14:paraId="2CB98A95" w14:textId="143094BD" w:rsidR="00AC49E0" w:rsidRPr="00531A46" w:rsidRDefault="0069639F" w:rsidP="00407E38">
      <w:pPr>
        <w:spacing w:line="360" w:lineRule="auto"/>
        <w:jc w:val="both"/>
        <w:rPr>
          <w:rFonts w:ascii="Times New Roman" w:hAnsi="Times New Roman"/>
          <w:sz w:val="24"/>
          <w:szCs w:val="24"/>
        </w:rPr>
      </w:pPr>
      <w:r w:rsidRPr="00531A46">
        <w:rPr>
          <w:rFonts w:ascii="Times New Roman" w:eastAsia="Aptos" w:hAnsi="Times New Roman"/>
          <w:sz w:val="24"/>
          <w:szCs w:val="24"/>
          <w:lang w:val="en-US"/>
        </w:rPr>
        <w:t xml:space="preserve">The results of the premium margins shown in Figure </w:t>
      </w:r>
      <w:r w:rsidR="009B4FC9" w:rsidRPr="00531A46">
        <w:rPr>
          <w:rFonts w:ascii="Times New Roman" w:eastAsia="Aptos" w:hAnsi="Times New Roman"/>
          <w:sz w:val="24"/>
          <w:szCs w:val="24"/>
          <w:lang w:val="en-US"/>
        </w:rPr>
        <w:t xml:space="preserve">2 </w:t>
      </w:r>
      <w:r w:rsidRPr="00531A46">
        <w:rPr>
          <w:rFonts w:ascii="Times New Roman" w:eastAsia="Aptos" w:hAnsi="Times New Roman"/>
          <w:sz w:val="24"/>
          <w:szCs w:val="24"/>
          <w:lang w:val="en-US"/>
        </w:rPr>
        <w:t xml:space="preserve"> below reflect that at an R50 premium, the probability of selection is high at 60% for health and 25 % for agriculture selection. Whilst for property the probability of selection is low at around 20% (The table with the margins is in the attached appendix </w:t>
      </w:r>
      <w:r w:rsidR="009B4FC9" w:rsidRPr="00531A46">
        <w:rPr>
          <w:rFonts w:ascii="Times New Roman" w:eastAsia="Aptos" w:hAnsi="Times New Roman"/>
          <w:sz w:val="24"/>
          <w:szCs w:val="24"/>
          <w:lang w:val="en-US"/>
        </w:rPr>
        <w:t>4</w:t>
      </w:r>
      <w:r w:rsidRPr="00531A46">
        <w:rPr>
          <w:rFonts w:ascii="Times New Roman" w:eastAsia="Aptos" w:hAnsi="Times New Roman"/>
          <w:sz w:val="24"/>
          <w:szCs w:val="24"/>
          <w:lang w:val="en-US"/>
        </w:rPr>
        <w:t xml:space="preserve"> below). The probability of selection of health, agriculture and property is 1 below 20%, 40% and 60% respectively at an R700 premium. The high probability of selection for health when the premium is low might be attributed to the existing free health care in Zimbabwe even though the quality is low. The risk for property and agriculture is also high therefore when having a normative </w:t>
      </w:r>
      <w:r w:rsidR="009B4FC9" w:rsidRPr="00531A46">
        <w:rPr>
          <w:rFonts w:ascii="Times New Roman" w:eastAsia="Aptos" w:hAnsi="Times New Roman"/>
          <w:sz w:val="24"/>
          <w:szCs w:val="24"/>
          <w:lang w:val="en-US"/>
        </w:rPr>
        <w:t>decision,</w:t>
      </w:r>
      <w:r w:rsidRPr="00531A46">
        <w:rPr>
          <w:rFonts w:ascii="Times New Roman" w:eastAsia="Aptos" w:hAnsi="Times New Roman"/>
          <w:sz w:val="24"/>
          <w:szCs w:val="24"/>
          <w:lang w:val="en-US"/>
        </w:rPr>
        <w:t xml:space="preserve"> the higher premium will be demanded when the expected risk is also high since agriculture and property are not as covered as health since there is free health care in the country.  The analysis of the margins of maximum payout are represented in Figure </w:t>
      </w:r>
      <w:r w:rsidR="009B4FC9" w:rsidRPr="00531A46">
        <w:rPr>
          <w:rFonts w:ascii="Times New Roman" w:eastAsia="Aptos" w:hAnsi="Times New Roman"/>
          <w:sz w:val="24"/>
          <w:szCs w:val="24"/>
          <w:lang w:val="en-US"/>
        </w:rPr>
        <w:t xml:space="preserve">2 </w:t>
      </w:r>
      <w:r w:rsidRPr="00531A46">
        <w:rPr>
          <w:rFonts w:ascii="Times New Roman" w:eastAsia="Aptos" w:hAnsi="Times New Roman"/>
          <w:sz w:val="24"/>
          <w:szCs w:val="24"/>
          <w:lang w:val="en-US"/>
        </w:rPr>
        <w:t xml:space="preserve">below.  </w:t>
      </w:r>
      <w:r w:rsidR="00AC49E0" w:rsidRPr="00531A46">
        <w:rPr>
          <w:rFonts w:ascii="Times New Roman" w:hAnsi="Times New Roman"/>
          <w:sz w:val="24"/>
          <w:szCs w:val="24"/>
        </w:rPr>
        <w:t xml:space="preserve">The analysis from the model shows that in Zimbabwe, premium cost has a statistically significant negative effect on insurance uptake (β = -0.005, </w:t>
      </w:r>
      <w:r w:rsidR="00AC49E0" w:rsidRPr="00531A46">
        <w:rPr>
          <w:rFonts w:ascii="Times New Roman" w:hAnsi="Times New Roman"/>
          <w:i/>
          <w:iCs/>
          <w:sz w:val="24"/>
          <w:szCs w:val="24"/>
        </w:rPr>
        <w:t>p</w:t>
      </w:r>
      <w:r w:rsidR="00AC49E0" w:rsidRPr="00531A46">
        <w:rPr>
          <w:rFonts w:ascii="Times New Roman" w:hAnsi="Times New Roman"/>
          <w:sz w:val="24"/>
          <w:szCs w:val="24"/>
        </w:rPr>
        <w:t xml:space="preserve"> = 0.009). This aligns with global evidence that cost is a major barrier to insurance adoption in low-income contexts (Cole et al., 2013; </w:t>
      </w:r>
      <w:proofErr w:type="spellStart"/>
      <w:r w:rsidR="00AC49E0" w:rsidRPr="00531A46">
        <w:rPr>
          <w:rFonts w:ascii="Times New Roman" w:hAnsi="Times New Roman"/>
          <w:sz w:val="24"/>
          <w:szCs w:val="24"/>
        </w:rPr>
        <w:t>Giné</w:t>
      </w:r>
      <w:proofErr w:type="spellEnd"/>
      <w:r w:rsidR="00AC49E0" w:rsidRPr="00531A46">
        <w:rPr>
          <w:rFonts w:ascii="Times New Roman" w:hAnsi="Times New Roman"/>
          <w:sz w:val="24"/>
          <w:szCs w:val="24"/>
        </w:rPr>
        <w:t xml:space="preserve"> et al., 2008). In rural Zimbabwe, where disposable incomes are constrained, even small increases in premium can deter enrolment</w:t>
      </w:r>
      <w:r w:rsidR="00531A46">
        <w:rPr>
          <w:rFonts w:ascii="Times New Roman" w:hAnsi="Times New Roman"/>
          <w:sz w:val="24"/>
          <w:szCs w:val="24"/>
        </w:rPr>
        <w:t xml:space="preserve"> </w:t>
      </w:r>
      <w:r w:rsidR="00AC49E0" w:rsidRPr="00531A46">
        <w:rPr>
          <w:rFonts w:ascii="Times New Roman" w:hAnsi="Times New Roman"/>
          <w:sz w:val="24"/>
          <w:szCs w:val="24"/>
        </w:rPr>
        <w:t>especially for health insurance, as reflected in the sharply declining predictive margins in that domain.</w:t>
      </w:r>
    </w:p>
    <w:p w14:paraId="65064A6C" w14:textId="4FB31092" w:rsidR="00AC49E0" w:rsidRPr="00531A46" w:rsidRDefault="00AC49E0" w:rsidP="00407E38">
      <w:pPr>
        <w:spacing w:line="360" w:lineRule="auto"/>
        <w:jc w:val="both"/>
        <w:rPr>
          <w:rFonts w:ascii="Times New Roman" w:hAnsi="Times New Roman"/>
          <w:sz w:val="24"/>
          <w:szCs w:val="24"/>
        </w:rPr>
      </w:pPr>
      <w:r w:rsidRPr="00531A46">
        <w:rPr>
          <w:rFonts w:ascii="Times New Roman" w:hAnsi="Times New Roman"/>
          <w:sz w:val="24"/>
          <w:szCs w:val="24"/>
        </w:rPr>
        <w:lastRenderedPageBreak/>
        <w:t xml:space="preserve">Interestingly, the margins for agricultural insurance show increasing demand with higher premiums, which at first seems counterintuitive. However, this could reflect a perceived quality signal </w:t>
      </w:r>
      <w:r w:rsidR="00531A46" w:rsidRPr="00531A46">
        <w:rPr>
          <w:rFonts w:ascii="Times New Roman" w:hAnsi="Times New Roman"/>
          <w:sz w:val="24"/>
          <w:szCs w:val="24"/>
        </w:rPr>
        <w:t>and in</w:t>
      </w:r>
      <w:r w:rsidRPr="00531A46">
        <w:rPr>
          <w:rFonts w:ascii="Times New Roman" w:hAnsi="Times New Roman"/>
          <w:sz w:val="24"/>
          <w:szCs w:val="24"/>
        </w:rPr>
        <w:t xml:space="preserve"> the absence of strong regulation or market transparency, higher prices may be interpreted as more reliable or comprehensive coverage (Harrison &amp; Ng, 2016). This behavioural pattern has been noted in other African contexts where financial literacy is limited and past negative experiences with cheap or defaulting schemes have led to preference for more costly but perceived “better” options (Hill et al., 2019).</w:t>
      </w:r>
    </w:p>
    <w:p w14:paraId="3D61F856" w14:textId="4ABB952C" w:rsidR="00AC49E0" w:rsidRPr="00531A46" w:rsidRDefault="00AC49E0" w:rsidP="00407E38">
      <w:pPr>
        <w:spacing w:line="360" w:lineRule="auto"/>
        <w:jc w:val="both"/>
        <w:rPr>
          <w:rFonts w:ascii="Times New Roman" w:hAnsi="Times New Roman"/>
          <w:sz w:val="24"/>
          <w:szCs w:val="24"/>
        </w:rPr>
      </w:pPr>
      <w:r w:rsidRPr="00531A46">
        <w:rPr>
          <w:rFonts w:ascii="Times New Roman" w:hAnsi="Times New Roman"/>
          <w:sz w:val="24"/>
          <w:szCs w:val="24"/>
        </w:rPr>
        <w:t>Thus, in Zimbabwe, premium elasticity is not uniform across domains. Therefore, there is need to recognise that in insurance product designing subsidized products must recognize that while price reductions can increase health insurance uptake, agricultural insurance may benefit more from improving trust and perceived value, even at modest cost levels.</w:t>
      </w:r>
    </w:p>
    <w:p w14:paraId="60780AA6" w14:textId="7280D2AE" w:rsidR="0069639F" w:rsidRPr="009D32D1" w:rsidRDefault="0069639F" w:rsidP="004801FE">
      <w:pPr>
        <w:jc w:val="both"/>
        <w:rPr>
          <w:rFonts w:ascii="Times New Roman" w:eastAsia="Aptos" w:hAnsi="Times New Roman"/>
          <w:sz w:val="24"/>
          <w:szCs w:val="24"/>
          <w:lang w:val="en-US"/>
        </w:rPr>
      </w:pPr>
    </w:p>
    <w:p w14:paraId="783D668E" w14:textId="77777777" w:rsidR="0069639F" w:rsidRPr="009D32D1" w:rsidRDefault="0069639F" w:rsidP="004801FE">
      <w:pPr>
        <w:jc w:val="both"/>
        <w:rPr>
          <w:rFonts w:ascii="Times New Roman" w:eastAsia="Aptos" w:hAnsi="Times New Roman"/>
          <w:sz w:val="24"/>
          <w:szCs w:val="24"/>
          <w:lang w:val="en-US"/>
        </w:rPr>
      </w:pPr>
      <w:r>
        <w:rPr>
          <w:rFonts w:ascii="Times New Roman" w:eastAsia="Aptos" w:hAnsi="Times New Roman"/>
          <w:sz w:val="24"/>
          <w:szCs w:val="24"/>
          <w:lang w:val="en-US"/>
        </w:rPr>
        <w:t>.</w:t>
      </w:r>
    </w:p>
    <w:p w14:paraId="66945723" w14:textId="77777777" w:rsidR="0069639F" w:rsidRDefault="0069639F" w:rsidP="004801FE">
      <w:pPr>
        <w:keepNext/>
      </w:pPr>
      <w:r w:rsidRPr="00870E05">
        <w:rPr>
          <w:rFonts w:eastAsia="Aptos"/>
          <w:noProof/>
          <w:lang w:val="en-ZA" w:eastAsia="en-ZA"/>
        </w:rPr>
        <w:drawing>
          <wp:inline distT="0" distB="0" distL="0" distR="0" wp14:anchorId="0E505D67" wp14:editId="3C1BEED1">
            <wp:extent cx="5705475" cy="26289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05475" cy="2628900"/>
                    </a:xfrm>
                    <a:prstGeom prst="rect">
                      <a:avLst/>
                    </a:prstGeom>
                    <a:noFill/>
                    <a:ln>
                      <a:noFill/>
                    </a:ln>
                  </pic:spPr>
                </pic:pic>
              </a:graphicData>
            </a:graphic>
          </wp:inline>
        </w:drawing>
      </w:r>
    </w:p>
    <w:p w14:paraId="63DFB5CD" w14:textId="2DF4A46E" w:rsidR="0069639F" w:rsidRDefault="0069639F" w:rsidP="004801FE">
      <w:pPr>
        <w:pStyle w:val="Caption"/>
      </w:pPr>
      <w:bookmarkStart w:id="25" w:name="_Toc187315261"/>
      <w:r>
        <w:t xml:space="preserve">Figure </w:t>
      </w:r>
      <w:r w:rsidR="009B4FC9">
        <w:t>2</w:t>
      </w:r>
      <w:r w:rsidRPr="00AC7C8F">
        <w:t xml:space="preserve"> Zimbabwe’s premium margins</w:t>
      </w:r>
      <w:bookmarkEnd w:id="25"/>
    </w:p>
    <w:p w14:paraId="184E5C61" w14:textId="77777777" w:rsidR="0069639F" w:rsidRPr="00254E88" w:rsidRDefault="0069639F" w:rsidP="004801FE">
      <w:pPr>
        <w:pStyle w:val="Caption"/>
        <w:rPr>
          <w:rFonts w:eastAsia="Aptos"/>
        </w:rPr>
      </w:pPr>
      <w:r>
        <w:t xml:space="preserve">Source (Author Compilation ) </w:t>
      </w:r>
    </w:p>
    <w:p w14:paraId="113AC617" w14:textId="77777777" w:rsidR="0069639F" w:rsidRDefault="0069639F" w:rsidP="004801FE">
      <w:pPr>
        <w:jc w:val="both"/>
        <w:rPr>
          <w:rFonts w:ascii="Times New Roman" w:eastAsia="Aptos" w:hAnsi="Times New Roman"/>
          <w:sz w:val="24"/>
          <w:szCs w:val="24"/>
          <w:lang w:val="en-US"/>
        </w:rPr>
      </w:pPr>
    </w:p>
    <w:p w14:paraId="16CE1376" w14:textId="4C63D58E" w:rsidR="0069639F" w:rsidRDefault="0069639F" w:rsidP="00407E38">
      <w:pPr>
        <w:spacing w:line="360" w:lineRule="auto"/>
        <w:jc w:val="both"/>
        <w:rPr>
          <w:rFonts w:ascii="Times New Roman" w:eastAsia="Aptos" w:hAnsi="Times New Roman"/>
          <w:sz w:val="24"/>
          <w:szCs w:val="24"/>
          <w:lang w:val="en-ZA"/>
        </w:rPr>
      </w:pPr>
      <w:r w:rsidRPr="009E6A50">
        <w:rPr>
          <w:rFonts w:ascii="Times New Roman" w:eastAsia="Aptos" w:hAnsi="Times New Roman"/>
          <w:sz w:val="24"/>
          <w:szCs w:val="24"/>
          <w:lang w:val="en-ZA"/>
        </w:rPr>
        <w:t xml:space="preserve">The results </w:t>
      </w:r>
      <w:r>
        <w:rPr>
          <w:rFonts w:ascii="Times New Roman" w:eastAsia="Aptos" w:hAnsi="Times New Roman"/>
          <w:sz w:val="24"/>
          <w:szCs w:val="24"/>
          <w:lang w:val="en-ZA"/>
        </w:rPr>
        <w:t xml:space="preserve">presented Figure </w:t>
      </w:r>
      <w:r w:rsidR="009B4FC9">
        <w:rPr>
          <w:rFonts w:ascii="Times New Roman" w:eastAsia="Aptos" w:hAnsi="Times New Roman"/>
          <w:sz w:val="24"/>
          <w:szCs w:val="24"/>
          <w:lang w:val="en-ZA"/>
        </w:rPr>
        <w:t>3</w:t>
      </w:r>
      <w:r>
        <w:rPr>
          <w:rFonts w:ascii="Times New Roman" w:eastAsia="Aptos" w:hAnsi="Times New Roman"/>
          <w:sz w:val="24"/>
          <w:szCs w:val="24"/>
          <w:lang w:val="en-ZA"/>
        </w:rPr>
        <w:t xml:space="preserve"> below </w:t>
      </w:r>
      <w:r w:rsidRPr="009E6A50">
        <w:rPr>
          <w:rFonts w:ascii="Times New Roman" w:eastAsia="Aptos" w:hAnsi="Times New Roman"/>
          <w:sz w:val="24"/>
          <w:szCs w:val="24"/>
          <w:lang w:val="en-ZA"/>
        </w:rPr>
        <w:t xml:space="preserve">show that the demand for health insurance falls as insurance prices </w:t>
      </w:r>
      <w:r>
        <w:rPr>
          <w:rFonts w:ascii="Times New Roman" w:eastAsia="Aptos" w:hAnsi="Times New Roman"/>
          <w:sz w:val="24"/>
          <w:szCs w:val="24"/>
          <w:lang w:val="en-ZA"/>
        </w:rPr>
        <w:t>increase</w:t>
      </w:r>
      <w:r w:rsidRPr="009E6A50">
        <w:rPr>
          <w:rFonts w:ascii="Times New Roman" w:eastAsia="Aptos" w:hAnsi="Times New Roman"/>
          <w:sz w:val="24"/>
          <w:szCs w:val="24"/>
          <w:lang w:val="en-ZA"/>
        </w:rPr>
        <w:t xml:space="preserve"> and this can be attributed to the </w:t>
      </w:r>
      <w:r>
        <w:rPr>
          <w:rFonts w:ascii="Times New Roman" w:eastAsia="Aptos" w:hAnsi="Times New Roman"/>
          <w:sz w:val="24"/>
          <w:szCs w:val="24"/>
          <w:lang w:val="en-ZA"/>
        </w:rPr>
        <w:t>low-income</w:t>
      </w:r>
      <w:r w:rsidRPr="009E6A50">
        <w:rPr>
          <w:rFonts w:ascii="Times New Roman" w:eastAsia="Aptos" w:hAnsi="Times New Roman"/>
          <w:sz w:val="24"/>
          <w:szCs w:val="24"/>
          <w:lang w:val="en-ZA"/>
        </w:rPr>
        <w:t xml:space="preserve"> levels of the participants and the availability of free health care services in South Africa</w:t>
      </w:r>
      <w:r>
        <w:rPr>
          <w:rFonts w:ascii="Times New Roman" w:eastAsia="Aptos" w:hAnsi="Times New Roman"/>
          <w:sz w:val="24"/>
          <w:szCs w:val="24"/>
          <w:lang w:val="en-ZA"/>
        </w:rPr>
        <w:t>.</w:t>
      </w:r>
      <w:r w:rsidRPr="009E6A50">
        <w:rPr>
          <w:rFonts w:ascii="Times New Roman" w:eastAsia="Aptos" w:hAnsi="Times New Roman"/>
          <w:sz w:val="24"/>
          <w:szCs w:val="24"/>
          <w:lang w:val="en-ZA"/>
        </w:rPr>
        <w:t xml:space="preserve"> </w:t>
      </w:r>
      <w:r>
        <w:rPr>
          <w:rFonts w:ascii="Times New Roman" w:eastAsia="Aptos" w:hAnsi="Times New Roman"/>
          <w:sz w:val="24"/>
          <w:szCs w:val="24"/>
          <w:lang w:val="en-ZA"/>
        </w:rPr>
        <w:t>The</w:t>
      </w:r>
      <w:r w:rsidRPr="009E6A50">
        <w:rPr>
          <w:rFonts w:ascii="Times New Roman" w:eastAsia="Aptos" w:hAnsi="Times New Roman"/>
          <w:sz w:val="24"/>
          <w:szCs w:val="24"/>
          <w:lang w:val="en-ZA"/>
        </w:rPr>
        <w:t xml:space="preserve"> demand for agriculture</w:t>
      </w:r>
      <w:r>
        <w:rPr>
          <w:rFonts w:ascii="Times New Roman" w:eastAsia="Aptos" w:hAnsi="Times New Roman"/>
          <w:sz w:val="24"/>
          <w:szCs w:val="24"/>
          <w:lang w:val="en-ZA"/>
        </w:rPr>
        <w:t xml:space="preserve"> and property natural hazard</w:t>
      </w:r>
      <w:r w:rsidRPr="009E6A50">
        <w:rPr>
          <w:rFonts w:ascii="Times New Roman" w:eastAsia="Aptos" w:hAnsi="Times New Roman"/>
          <w:sz w:val="24"/>
          <w:szCs w:val="24"/>
          <w:lang w:val="en-ZA"/>
        </w:rPr>
        <w:t xml:space="preserve"> i</w:t>
      </w:r>
      <w:r>
        <w:rPr>
          <w:rFonts w:ascii="Times New Roman" w:eastAsia="Aptos" w:hAnsi="Times New Roman"/>
          <w:sz w:val="24"/>
          <w:szCs w:val="24"/>
          <w:lang w:val="en-ZA"/>
        </w:rPr>
        <w:t xml:space="preserve">nsurance increases at a diminishing rate as premium rates increase. The increase in demand at a decreasing rate can be explained by the law of demand and the probability and expected return when property and agriculture are affected. Secondly, </w:t>
      </w:r>
      <w:r w:rsidRPr="009E6A50">
        <w:rPr>
          <w:rFonts w:ascii="Times New Roman" w:eastAsia="Aptos" w:hAnsi="Times New Roman"/>
          <w:sz w:val="24"/>
          <w:szCs w:val="24"/>
          <w:lang w:val="en-ZA"/>
        </w:rPr>
        <w:t xml:space="preserve">this can be attributed to the maximum amount and the type of properties and size of agriculture fields that the participants prefer to cover. </w:t>
      </w:r>
      <w:r>
        <w:rPr>
          <w:rFonts w:ascii="Times New Roman" w:eastAsia="Aptos" w:hAnsi="Times New Roman"/>
          <w:sz w:val="24"/>
          <w:szCs w:val="24"/>
          <w:lang w:val="en-ZA"/>
        </w:rPr>
        <w:t xml:space="preserve"> Which is important to further investigate the margins of maximum indemnity. </w:t>
      </w:r>
    </w:p>
    <w:p w14:paraId="503EA7B8" w14:textId="77777777" w:rsidR="00AC49E0" w:rsidRDefault="00AC49E0" w:rsidP="00407E38">
      <w:pPr>
        <w:spacing w:line="360" w:lineRule="auto"/>
        <w:jc w:val="both"/>
        <w:rPr>
          <w:rFonts w:ascii="Times New Roman" w:eastAsia="Aptos" w:hAnsi="Times New Roman"/>
          <w:sz w:val="24"/>
          <w:szCs w:val="24"/>
          <w:lang w:val="en-ZA"/>
        </w:rPr>
      </w:pPr>
    </w:p>
    <w:p w14:paraId="6A1DE63E" w14:textId="77777777" w:rsidR="00AC49E0" w:rsidRPr="00531A46" w:rsidRDefault="00AC49E0" w:rsidP="00407E38">
      <w:pPr>
        <w:spacing w:line="360" w:lineRule="auto"/>
        <w:jc w:val="both"/>
        <w:rPr>
          <w:rFonts w:ascii="Times New Roman" w:hAnsi="Times New Roman"/>
          <w:sz w:val="24"/>
          <w:szCs w:val="24"/>
        </w:rPr>
      </w:pPr>
      <w:r w:rsidRPr="00531A46">
        <w:rPr>
          <w:rFonts w:ascii="Times New Roman" w:hAnsi="Times New Roman"/>
          <w:sz w:val="24"/>
          <w:szCs w:val="24"/>
        </w:rPr>
        <w:t xml:space="preserve">In contrast to Zimbabwe, the premium variable in South Africa's model was not statistically significant at the 10% level (β = -0.003, </w:t>
      </w:r>
      <w:r w:rsidRPr="00531A46">
        <w:rPr>
          <w:rFonts w:ascii="Times New Roman" w:hAnsi="Times New Roman"/>
          <w:i/>
          <w:iCs/>
          <w:sz w:val="24"/>
          <w:szCs w:val="24"/>
        </w:rPr>
        <w:t>p</w:t>
      </w:r>
      <w:r w:rsidRPr="00531A46">
        <w:rPr>
          <w:rFonts w:ascii="Times New Roman" w:hAnsi="Times New Roman"/>
          <w:sz w:val="24"/>
          <w:szCs w:val="24"/>
        </w:rPr>
        <w:t xml:space="preserve"> = 0.134), suggesting that consumers may be less price sensitive. This finding is supported by the premium margins, where changes in premium had only a modest effect on predicted insurance uptake across domains. This is consistent with literature indicating that higher financial literacy, greater insurance exposure, and more diverse income sources in South Africa reduce premium sensitivity (</w:t>
      </w:r>
      <w:proofErr w:type="spellStart"/>
      <w:r w:rsidRPr="00531A46">
        <w:rPr>
          <w:rFonts w:ascii="Times New Roman" w:hAnsi="Times New Roman"/>
          <w:sz w:val="24"/>
          <w:szCs w:val="24"/>
        </w:rPr>
        <w:t>Delavallade</w:t>
      </w:r>
      <w:proofErr w:type="spellEnd"/>
      <w:r w:rsidRPr="00531A46">
        <w:rPr>
          <w:rFonts w:ascii="Times New Roman" w:hAnsi="Times New Roman"/>
          <w:sz w:val="24"/>
          <w:szCs w:val="24"/>
        </w:rPr>
        <w:t xml:space="preserve"> et al., 2017; </w:t>
      </w:r>
      <w:proofErr w:type="spellStart"/>
      <w:r w:rsidRPr="00531A46">
        <w:rPr>
          <w:rFonts w:ascii="Times New Roman" w:hAnsi="Times New Roman"/>
          <w:sz w:val="24"/>
          <w:szCs w:val="24"/>
        </w:rPr>
        <w:t>Taffesse</w:t>
      </w:r>
      <w:proofErr w:type="spellEnd"/>
      <w:r w:rsidRPr="00531A46">
        <w:rPr>
          <w:rFonts w:ascii="Times New Roman" w:hAnsi="Times New Roman"/>
          <w:sz w:val="24"/>
          <w:szCs w:val="24"/>
        </w:rPr>
        <w:t xml:space="preserve"> et al., 2014).</w:t>
      </w:r>
    </w:p>
    <w:p w14:paraId="1816C65F" w14:textId="77777777" w:rsidR="00AC49E0" w:rsidRPr="00531A46" w:rsidRDefault="00AC49E0" w:rsidP="00407E38">
      <w:pPr>
        <w:spacing w:line="360" w:lineRule="auto"/>
        <w:jc w:val="both"/>
        <w:rPr>
          <w:rFonts w:ascii="Times New Roman" w:hAnsi="Times New Roman"/>
          <w:sz w:val="24"/>
          <w:szCs w:val="24"/>
        </w:rPr>
      </w:pPr>
      <w:r w:rsidRPr="00531A46">
        <w:rPr>
          <w:rFonts w:ascii="Times New Roman" w:hAnsi="Times New Roman"/>
          <w:sz w:val="24"/>
          <w:szCs w:val="24"/>
        </w:rPr>
        <w:t>Moreover, the government and NGO provider variables were significant, suggesting that trust in provider may outweigh cost concerns. Studies have found that in middle-income countries like South Africa, institutional trust and perceived claims performance drive adoption more than premium alone (</w:t>
      </w:r>
      <w:proofErr w:type="spellStart"/>
      <w:r w:rsidRPr="00531A46">
        <w:rPr>
          <w:rFonts w:ascii="Times New Roman" w:hAnsi="Times New Roman"/>
          <w:sz w:val="24"/>
          <w:szCs w:val="24"/>
        </w:rPr>
        <w:t>Dercon</w:t>
      </w:r>
      <w:proofErr w:type="spellEnd"/>
      <w:r w:rsidRPr="00531A46">
        <w:rPr>
          <w:rFonts w:ascii="Times New Roman" w:hAnsi="Times New Roman"/>
          <w:sz w:val="24"/>
          <w:szCs w:val="24"/>
        </w:rPr>
        <w:t xml:space="preserve"> et al., 2014; Petrie &amp; Swanson, 2020).</w:t>
      </w:r>
    </w:p>
    <w:p w14:paraId="3CC4E8ED" w14:textId="77777777" w:rsidR="00AC49E0" w:rsidRPr="00531A46" w:rsidRDefault="00AC49E0" w:rsidP="00407E38">
      <w:pPr>
        <w:spacing w:line="360" w:lineRule="auto"/>
        <w:jc w:val="both"/>
        <w:rPr>
          <w:rFonts w:ascii="Times New Roman" w:hAnsi="Times New Roman"/>
          <w:sz w:val="24"/>
          <w:szCs w:val="24"/>
        </w:rPr>
      </w:pPr>
      <w:r w:rsidRPr="00531A46">
        <w:rPr>
          <w:rFonts w:ascii="Times New Roman" w:hAnsi="Times New Roman"/>
          <w:sz w:val="24"/>
          <w:szCs w:val="24"/>
        </w:rPr>
        <w:t>However, health insurance still showed a modest decline in uptake with rising premiums in the margins plot, which suggests that price remains relevant for health-related risks, possibly due to frequent and smaller claims that make premiums feel less “worth it” without immediate payoffs (Chetty &amp; Looney, 2006).</w:t>
      </w:r>
    </w:p>
    <w:p w14:paraId="5426A893" w14:textId="77777777" w:rsidR="00AC49E0" w:rsidRPr="00531A46" w:rsidRDefault="00AC49E0" w:rsidP="00531A46">
      <w:pPr>
        <w:jc w:val="both"/>
        <w:rPr>
          <w:rFonts w:ascii="Times New Roman" w:eastAsia="Aptos" w:hAnsi="Times New Roman"/>
          <w:sz w:val="24"/>
          <w:szCs w:val="24"/>
          <w:lang w:val="en-ZA"/>
        </w:rPr>
      </w:pPr>
    </w:p>
    <w:p w14:paraId="7ACD44B2" w14:textId="77777777" w:rsidR="0069639F" w:rsidRDefault="0069639F" w:rsidP="004801FE">
      <w:pPr>
        <w:jc w:val="both"/>
        <w:rPr>
          <w:rFonts w:ascii="Times New Roman" w:eastAsia="Aptos" w:hAnsi="Times New Roman"/>
          <w:sz w:val="24"/>
          <w:szCs w:val="24"/>
          <w:lang w:val="en-US"/>
        </w:rPr>
      </w:pPr>
    </w:p>
    <w:p w14:paraId="2FD14EA9" w14:textId="77777777" w:rsidR="0069639F" w:rsidRDefault="0069639F" w:rsidP="004801FE">
      <w:pPr>
        <w:keepNext/>
        <w:jc w:val="both"/>
      </w:pPr>
      <w:r w:rsidRPr="00A771AF">
        <w:rPr>
          <w:rFonts w:eastAsia="Aptos"/>
          <w:noProof/>
          <w:lang w:val="en-ZA" w:eastAsia="en-ZA"/>
        </w:rPr>
        <w:drawing>
          <wp:inline distT="0" distB="0" distL="0" distR="0" wp14:anchorId="16A59CD3" wp14:editId="6A7DF669">
            <wp:extent cx="5019675" cy="2562225"/>
            <wp:effectExtent l="0" t="0" r="9525" b="9525"/>
            <wp:docPr id="599908584" name="Picture 599908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35423" cy="2570263"/>
                    </a:xfrm>
                    <a:prstGeom prst="rect">
                      <a:avLst/>
                    </a:prstGeom>
                    <a:noFill/>
                    <a:ln>
                      <a:noFill/>
                    </a:ln>
                  </pic:spPr>
                </pic:pic>
              </a:graphicData>
            </a:graphic>
          </wp:inline>
        </w:drawing>
      </w:r>
    </w:p>
    <w:p w14:paraId="0BC375C0" w14:textId="2AFF90DB" w:rsidR="0069639F" w:rsidRPr="007B4060" w:rsidRDefault="0069639F" w:rsidP="004801FE">
      <w:pPr>
        <w:pStyle w:val="Caption"/>
        <w:jc w:val="both"/>
      </w:pPr>
      <w:r>
        <w:t xml:space="preserve">Figure </w:t>
      </w:r>
      <w:r w:rsidR="009B4FC9">
        <w:t xml:space="preserve">3 </w:t>
      </w:r>
      <w:r w:rsidRPr="00ED766A">
        <w:t>South Africa’s premium margins</w:t>
      </w:r>
    </w:p>
    <w:p w14:paraId="6488FDBF" w14:textId="77777777" w:rsidR="0069639F" w:rsidRDefault="0069639F" w:rsidP="004801FE">
      <w:pPr>
        <w:jc w:val="both"/>
        <w:rPr>
          <w:rFonts w:ascii="Times New Roman" w:eastAsia="Aptos" w:hAnsi="Times New Roman"/>
          <w:sz w:val="24"/>
          <w:szCs w:val="24"/>
          <w:lang w:val="en-US"/>
        </w:rPr>
      </w:pPr>
    </w:p>
    <w:p w14:paraId="767B6EA9" w14:textId="77777777" w:rsidR="0069639F" w:rsidRDefault="0069639F" w:rsidP="004801FE">
      <w:pPr>
        <w:jc w:val="both"/>
        <w:rPr>
          <w:rFonts w:ascii="Times New Roman" w:eastAsia="Aptos" w:hAnsi="Times New Roman"/>
          <w:sz w:val="24"/>
          <w:szCs w:val="24"/>
          <w:lang w:val="en-US"/>
        </w:rPr>
      </w:pPr>
    </w:p>
    <w:p w14:paraId="78514745" w14:textId="2F83CBB1" w:rsidR="0069639F" w:rsidRDefault="009B4FC9" w:rsidP="004801FE">
      <w:pPr>
        <w:pStyle w:val="Heading3"/>
        <w:rPr>
          <w:rFonts w:eastAsia="Aptos"/>
          <w:lang w:val="en-US"/>
        </w:rPr>
      </w:pPr>
      <w:r>
        <w:rPr>
          <w:rFonts w:eastAsia="Aptos"/>
          <w:lang w:val="en-US"/>
        </w:rPr>
        <w:t xml:space="preserve">6.1.1.3 </w:t>
      </w:r>
      <w:r w:rsidR="0069639F">
        <w:rPr>
          <w:rFonts w:eastAsia="Aptos"/>
          <w:lang w:val="en-US"/>
        </w:rPr>
        <w:t xml:space="preserve">Post estimation maximum indemnity analysis </w:t>
      </w:r>
    </w:p>
    <w:p w14:paraId="61282843" w14:textId="2BC2FAB6" w:rsidR="0069639F" w:rsidRPr="00531A46" w:rsidRDefault="0069639F" w:rsidP="00407E38">
      <w:pPr>
        <w:spacing w:line="360" w:lineRule="auto"/>
        <w:jc w:val="both"/>
        <w:rPr>
          <w:rFonts w:ascii="Times New Roman" w:eastAsia="Aptos" w:hAnsi="Times New Roman"/>
          <w:sz w:val="24"/>
          <w:szCs w:val="24"/>
          <w:lang w:val="en-US"/>
        </w:rPr>
      </w:pPr>
      <w:r w:rsidRPr="00531A46">
        <w:rPr>
          <w:rFonts w:ascii="Times New Roman" w:eastAsia="Aptos" w:hAnsi="Times New Roman"/>
          <w:sz w:val="24"/>
          <w:szCs w:val="24"/>
          <w:lang w:val="en-US"/>
        </w:rPr>
        <w:t xml:space="preserve">The analysis of demand for types of insurance with changes in maximum pay-outs can be identified in margins in Figure </w:t>
      </w:r>
      <w:r w:rsidR="009B4FC9" w:rsidRPr="00531A46">
        <w:rPr>
          <w:rFonts w:ascii="Times New Roman" w:eastAsia="Aptos" w:hAnsi="Times New Roman"/>
          <w:sz w:val="24"/>
          <w:szCs w:val="24"/>
          <w:lang w:val="en-US"/>
        </w:rPr>
        <w:t>4</w:t>
      </w:r>
      <w:r w:rsidRPr="00531A46">
        <w:rPr>
          <w:rFonts w:ascii="Times New Roman" w:eastAsia="Aptos" w:hAnsi="Times New Roman"/>
          <w:sz w:val="24"/>
          <w:szCs w:val="24"/>
          <w:lang w:val="en-US"/>
        </w:rPr>
        <w:t xml:space="preserve"> below which shows changes in demand with an increase in maximum payout. The demand for health increases from around 15% probability of selection </w:t>
      </w:r>
      <w:r w:rsidRPr="00531A46">
        <w:rPr>
          <w:rFonts w:ascii="Times New Roman" w:eastAsia="Aptos" w:hAnsi="Times New Roman"/>
          <w:sz w:val="24"/>
          <w:szCs w:val="24"/>
          <w:lang w:val="en-US"/>
        </w:rPr>
        <w:lastRenderedPageBreak/>
        <w:t xml:space="preserve">at a maximum payout of R50,000 to approximately 45% probability of selection at R350 0000 which is also in line with a priory expectation in Table </w:t>
      </w:r>
      <w:r w:rsidR="009B4FC9" w:rsidRPr="00531A46">
        <w:rPr>
          <w:rFonts w:ascii="Times New Roman" w:eastAsia="Aptos" w:hAnsi="Times New Roman"/>
          <w:sz w:val="24"/>
          <w:szCs w:val="24"/>
          <w:lang w:val="en-US"/>
        </w:rPr>
        <w:t>3</w:t>
      </w:r>
      <w:r w:rsidRPr="00531A46">
        <w:rPr>
          <w:rFonts w:ascii="Times New Roman" w:eastAsia="Aptos" w:hAnsi="Times New Roman"/>
          <w:sz w:val="24"/>
          <w:szCs w:val="24"/>
          <w:lang w:val="en-US"/>
        </w:rPr>
        <w:t xml:space="preserve"> above. Whilst for property insurance and agriculture insurance the maximum payout tends to have a higher probability of selection when they are low and low as the maximum payout increases, which is against the priory expectation. </w:t>
      </w:r>
    </w:p>
    <w:p w14:paraId="5E30D591" w14:textId="77777777" w:rsidR="00315236" w:rsidRPr="00531A46" w:rsidRDefault="00315236" w:rsidP="00407E38">
      <w:pPr>
        <w:spacing w:line="360" w:lineRule="auto"/>
        <w:jc w:val="both"/>
        <w:rPr>
          <w:rFonts w:ascii="Times New Roman" w:eastAsia="Aptos" w:hAnsi="Times New Roman"/>
          <w:sz w:val="24"/>
          <w:szCs w:val="24"/>
          <w:lang w:val="en-US"/>
        </w:rPr>
      </w:pPr>
    </w:p>
    <w:p w14:paraId="2C916113" w14:textId="77777777" w:rsidR="00315236" w:rsidRPr="00531A46" w:rsidRDefault="00315236" w:rsidP="00407E38">
      <w:pPr>
        <w:spacing w:line="360" w:lineRule="auto"/>
        <w:jc w:val="both"/>
        <w:rPr>
          <w:rFonts w:ascii="Times New Roman" w:hAnsi="Times New Roman"/>
          <w:sz w:val="24"/>
          <w:szCs w:val="24"/>
        </w:rPr>
      </w:pPr>
      <w:r w:rsidRPr="00531A46">
        <w:rPr>
          <w:rFonts w:ascii="Times New Roman" w:hAnsi="Times New Roman"/>
          <w:sz w:val="24"/>
          <w:szCs w:val="24"/>
        </w:rPr>
        <w:t xml:space="preserve">The Zimbabwe model showed a significant positive effect of maximum indemnity coverage on demand (β = 5.76e-06, </w:t>
      </w:r>
      <w:r w:rsidRPr="00531A46">
        <w:rPr>
          <w:rFonts w:ascii="Times New Roman" w:hAnsi="Times New Roman"/>
          <w:i/>
          <w:iCs/>
          <w:sz w:val="24"/>
          <w:szCs w:val="24"/>
        </w:rPr>
        <w:t>p</w:t>
      </w:r>
      <w:r w:rsidRPr="00531A46">
        <w:rPr>
          <w:rFonts w:ascii="Times New Roman" w:hAnsi="Times New Roman"/>
          <w:sz w:val="24"/>
          <w:szCs w:val="24"/>
        </w:rPr>
        <w:t xml:space="preserve"> = 0.004), reinforcing the idea that higher potential payouts increase uptake. This is strongly supported by margins for the health domain, where demand increases steeply as coverage rises which suggests  households are value-sensitive and  they will probably purchase  when the benefits outweigh the cost (Clarke &amp; </w:t>
      </w:r>
      <w:proofErr w:type="spellStart"/>
      <w:r w:rsidRPr="00531A46">
        <w:rPr>
          <w:rFonts w:ascii="Times New Roman" w:hAnsi="Times New Roman"/>
          <w:sz w:val="24"/>
          <w:szCs w:val="24"/>
        </w:rPr>
        <w:t>Dercon</w:t>
      </w:r>
      <w:proofErr w:type="spellEnd"/>
      <w:r w:rsidRPr="00531A46">
        <w:rPr>
          <w:rFonts w:ascii="Times New Roman" w:hAnsi="Times New Roman"/>
          <w:sz w:val="24"/>
          <w:szCs w:val="24"/>
        </w:rPr>
        <w:t>, 2016).</w:t>
      </w:r>
    </w:p>
    <w:p w14:paraId="6045ED31" w14:textId="77777777" w:rsidR="00315236" w:rsidRPr="00531A46" w:rsidRDefault="00315236" w:rsidP="00407E38">
      <w:pPr>
        <w:spacing w:line="360" w:lineRule="auto"/>
        <w:jc w:val="both"/>
        <w:rPr>
          <w:rFonts w:ascii="Times New Roman" w:hAnsi="Times New Roman"/>
          <w:sz w:val="24"/>
          <w:szCs w:val="24"/>
        </w:rPr>
      </w:pPr>
      <w:r w:rsidRPr="00531A46">
        <w:rPr>
          <w:rFonts w:ascii="Times New Roman" w:hAnsi="Times New Roman"/>
          <w:sz w:val="24"/>
          <w:szCs w:val="24"/>
        </w:rPr>
        <w:t>Interestingly, agricultural and property domains showed flat or declining marginal responses, which may reflect perceived uncertainty in claim delivery, or a low perceived risk of total loss in those domains. This aligns with findings by Janzen and Carter (2019), who found that in East Africa, unless farmers believe payouts are timely and fair, increasing coverage does not translate to greater uptake.</w:t>
      </w:r>
    </w:p>
    <w:p w14:paraId="75A96217" w14:textId="77777777" w:rsidR="00315236" w:rsidRPr="00531A46" w:rsidRDefault="00315236" w:rsidP="00407E38">
      <w:pPr>
        <w:spacing w:line="360" w:lineRule="auto"/>
        <w:jc w:val="both"/>
        <w:rPr>
          <w:rFonts w:ascii="Times New Roman" w:hAnsi="Times New Roman"/>
          <w:sz w:val="24"/>
          <w:szCs w:val="24"/>
        </w:rPr>
      </w:pPr>
      <w:r w:rsidRPr="00531A46">
        <w:rPr>
          <w:rFonts w:ascii="Times New Roman" w:hAnsi="Times New Roman"/>
          <w:sz w:val="24"/>
          <w:szCs w:val="24"/>
        </w:rPr>
        <w:t>Another possible explanation is bounded rationality in which,  households may struggle to evaluate the utility of high indemnity levels, especially when historical claims have been rare or abstract. This suggests that risk communication and scenario-based education (e.g., simulations or testimonials) could improve the uptake of higher-cover policies.</w:t>
      </w:r>
    </w:p>
    <w:p w14:paraId="7E24FEC4" w14:textId="77777777" w:rsidR="00315236" w:rsidRPr="00531A46" w:rsidRDefault="00315236" w:rsidP="00407E38">
      <w:pPr>
        <w:spacing w:line="360" w:lineRule="auto"/>
        <w:jc w:val="both"/>
        <w:rPr>
          <w:rFonts w:ascii="Times New Roman" w:hAnsi="Times New Roman"/>
          <w:sz w:val="24"/>
          <w:szCs w:val="24"/>
        </w:rPr>
      </w:pPr>
      <w:r w:rsidRPr="00531A46">
        <w:rPr>
          <w:rFonts w:ascii="Times New Roman" w:hAnsi="Times New Roman"/>
          <w:sz w:val="24"/>
          <w:szCs w:val="24"/>
        </w:rPr>
        <w:t>Overall, the results emphasize that in Zimbabwe, coverage generosity is a critical incentive, especially for health insurance, but must be accompanied by trust-building efforts for non-health domains.</w:t>
      </w:r>
    </w:p>
    <w:p w14:paraId="08AA7350" w14:textId="77777777" w:rsidR="00315236" w:rsidRPr="0030066F" w:rsidRDefault="00315236" w:rsidP="004801FE">
      <w:pPr>
        <w:jc w:val="both"/>
        <w:rPr>
          <w:rFonts w:ascii="Times New Roman" w:eastAsia="Aptos" w:hAnsi="Times New Roman"/>
          <w:sz w:val="24"/>
          <w:szCs w:val="24"/>
          <w:lang w:val="en-US"/>
        </w:rPr>
      </w:pPr>
    </w:p>
    <w:p w14:paraId="5C9D7877" w14:textId="77777777" w:rsidR="0069639F" w:rsidRDefault="0069639F" w:rsidP="004801FE">
      <w:pPr>
        <w:rPr>
          <w:rFonts w:eastAsia="Aptos"/>
          <w:lang w:val="en-US"/>
        </w:rPr>
      </w:pPr>
    </w:p>
    <w:p w14:paraId="20235D2D" w14:textId="77777777" w:rsidR="0069639F" w:rsidRDefault="0069639F" w:rsidP="004801FE">
      <w:pPr>
        <w:rPr>
          <w:rFonts w:eastAsia="Aptos"/>
          <w:lang w:val="en-US"/>
        </w:rPr>
      </w:pPr>
    </w:p>
    <w:p w14:paraId="07BA4910" w14:textId="77777777" w:rsidR="0069639F" w:rsidRDefault="0069639F" w:rsidP="004801FE">
      <w:pPr>
        <w:keepNext/>
      </w:pPr>
      <w:r w:rsidRPr="004C00BF">
        <w:rPr>
          <w:rFonts w:eastAsia="Aptos"/>
          <w:noProof/>
          <w:lang w:val="en-ZA" w:eastAsia="en-ZA"/>
        </w:rPr>
        <w:lastRenderedPageBreak/>
        <w:drawing>
          <wp:inline distT="0" distB="0" distL="0" distR="0" wp14:anchorId="7D62F6FA" wp14:editId="58A9D70B">
            <wp:extent cx="5029200" cy="3400425"/>
            <wp:effectExtent l="0" t="0" r="0" b="9525"/>
            <wp:docPr id="82737631" name="Picture 827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0" cy="3400425"/>
                    </a:xfrm>
                    <a:prstGeom prst="rect">
                      <a:avLst/>
                    </a:prstGeom>
                    <a:noFill/>
                    <a:ln>
                      <a:noFill/>
                    </a:ln>
                  </pic:spPr>
                </pic:pic>
              </a:graphicData>
            </a:graphic>
          </wp:inline>
        </w:drawing>
      </w:r>
    </w:p>
    <w:p w14:paraId="1091A9C1" w14:textId="4B5D6045" w:rsidR="0069639F" w:rsidRDefault="0069639F" w:rsidP="004801FE">
      <w:pPr>
        <w:pStyle w:val="Caption"/>
      </w:pPr>
      <w:bookmarkStart w:id="26" w:name="_Toc187315262"/>
      <w:r>
        <w:t>Figure 4</w:t>
      </w:r>
      <w:r w:rsidRPr="00480A15">
        <w:t xml:space="preserve"> Zimbabwe’s Maximum payout</w:t>
      </w:r>
      <w:bookmarkEnd w:id="26"/>
    </w:p>
    <w:p w14:paraId="3F2A1AC5" w14:textId="3486EE9D" w:rsidR="0069639F" w:rsidRPr="007B4060" w:rsidRDefault="009B4FC9" w:rsidP="004801FE">
      <w:pPr>
        <w:rPr>
          <w:lang w:val="en-US"/>
        </w:rPr>
      </w:pPr>
      <w:r>
        <w:rPr>
          <w:lang w:val="en-US"/>
        </w:rPr>
        <w:t>Source:</w:t>
      </w:r>
      <w:r w:rsidR="0069639F">
        <w:rPr>
          <w:lang w:val="en-US"/>
        </w:rPr>
        <w:t xml:space="preserve"> Author Compilation </w:t>
      </w:r>
    </w:p>
    <w:p w14:paraId="4D51C03F" w14:textId="77777777" w:rsidR="0069639F" w:rsidRDefault="0069639F" w:rsidP="004801FE">
      <w:pPr>
        <w:jc w:val="both"/>
        <w:rPr>
          <w:rFonts w:ascii="Times New Roman" w:eastAsia="Aptos" w:hAnsi="Times New Roman"/>
          <w:b/>
          <w:bCs/>
          <w:sz w:val="24"/>
          <w:szCs w:val="24"/>
          <w:lang w:val="en-US"/>
          <w14:ligatures w14:val="standardContextual"/>
        </w:rPr>
      </w:pPr>
    </w:p>
    <w:p w14:paraId="12470692" w14:textId="4257920E" w:rsidR="0069639F" w:rsidRPr="00531A46" w:rsidRDefault="0069639F" w:rsidP="00407E38">
      <w:pPr>
        <w:spacing w:line="360" w:lineRule="auto"/>
        <w:jc w:val="both"/>
        <w:rPr>
          <w:rFonts w:ascii="Times New Roman" w:eastAsia="Aptos" w:hAnsi="Times New Roman"/>
          <w:sz w:val="24"/>
          <w:szCs w:val="24"/>
          <w:lang w:val="en-ZA"/>
        </w:rPr>
      </w:pPr>
      <w:r w:rsidRPr="00531A46">
        <w:rPr>
          <w:rFonts w:ascii="Times New Roman" w:eastAsia="Aptos" w:hAnsi="Times New Roman"/>
          <w:sz w:val="24"/>
          <w:szCs w:val="24"/>
          <w:lang w:val="en-US"/>
          <w14:ligatures w14:val="standardContextual"/>
        </w:rPr>
        <w:t>Whilst the analysis for South Africa show</w:t>
      </w:r>
      <w:r w:rsidRPr="00531A46">
        <w:rPr>
          <w:rFonts w:ascii="Times New Roman" w:eastAsia="Aptos" w:hAnsi="Times New Roman"/>
          <w:b/>
          <w:bCs/>
          <w:sz w:val="24"/>
          <w:szCs w:val="24"/>
          <w:lang w:val="en-US"/>
          <w14:ligatures w14:val="standardContextual"/>
        </w:rPr>
        <w:t xml:space="preserve"> </w:t>
      </w:r>
      <w:r w:rsidRPr="00531A46">
        <w:rPr>
          <w:rFonts w:ascii="Times New Roman" w:eastAsia="Aptos" w:hAnsi="Times New Roman"/>
          <w:sz w:val="24"/>
          <w:szCs w:val="24"/>
          <w:lang w:val="en-ZA"/>
        </w:rPr>
        <w:t>show that the margins of the demand for the three types of insurance from R50 000-R350 000 maximum pay out. The margin results of the study are shown in Figure 7.4 below the results of the study show that for health the higher the insurance maximum pay-out the higher the probability of selection from 22% to 45% at 50 000 and 350 000 respectively. Whilst the behaviour of property and agriculture is not in light with the priory expectations the higher the maximum pay-out the lower the demand.</w:t>
      </w:r>
    </w:p>
    <w:p w14:paraId="44906033" w14:textId="77777777" w:rsidR="00315236" w:rsidRPr="00531A46" w:rsidRDefault="00315236" w:rsidP="00407E38">
      <w:pPr>
        <w:spacing w:line="360" w:lineRule="auto"/>
        <w:jc w:val="both"/>
        <w:rPr>
          <w:rFonts w:ascii="Times New Roman" w:hAnsi="Times New Roman"/>
          <w:sz w:val="24"/>
          <w:szCs w:val="24"/>
        </w:rPr>
      </w:pPr>
      <w:r w:rsidRPr="00531A46">
        <w:rPr>
          <w:rFonts w:ascii="Times New Roman" w:hAnsi="Times New Roman"/>
          <w:sz w:val="24"/>
          <w:szCs w:val="24"/>
        </w:rPr>
        <w:t xml:space="preserve">In South Africa, the maximum indemnity variable was not statistically significant in the model (β = 2.64e-06, </w:t>
      </w:r>
      <w:r w:rsidRPr="00531A46">
        <w:rPr>
          <w:rFonts w:ascii="Times New Roman" w:hAnsi="Times New Roman"/>
          <w:i/>
          <w:iCs/>
          <w:sz w:val="24"/>
          <w:szCs w:val="24"/>
        </w:rPr>
        <w:t>p</w:t>
      </w:r>
      <w:r w:rsidRPr="00531A46">
        <w:rPr>
          <w:rFonts w:ascii="Times New Roman" w:hAnsi="Times New Roman"/>
          <w:sz w:val="24"/>
          <w:szCs w:val="24"/>
        </w:rPr>
        <w:t xml:space="preserve"> = 0.320), and the margins plots confirm this, showing only modest or flat increases in insurance uptake across domains. This suggests that coverage amount alone is not a decisive factor for South African consumers.</w:t>
      </w:r>
    </w:p>
    <w:p w14:paraId="71C75047" w14:textId="77777777" w:rsidR="00315236" w:rsidRPr="00531A46" w:rsidRDefault="00315236" w:rsidP="00407E38">
      <w:pPr>
        <w:spacing w:line="360" w:lineRule="auto"/>
        <w:jc w:val="both"/>
        <w:rPr>
          <w:rFonts w:ascii="Times New Roman" w:hAnsi="Times New Roman"/>
          <w:sz w:val="24"/>
          <w:szCs w:val="24"/>
        </w:rPr>
      </w:pPr>
      <w:r w:rsidRPr="00531A46">
        <w:rPr>
          <w:rFonts w:ascii="Times New Roman" w:hAnsi="Times New Roman"/>
          <w:sz w:val="24"/>
          <w:szCs w:val="24"/>
        </w:rPr>
        <w:t>This result may reflect the relative financial resilience of the South African population, who may not rely on insurance solely for catastrophic relief. Studies have shown that where formal credit markets and public safety nets are more developed, the appeal of large payouts diminishes unless paired with other benefits like value-added services or loyalty schemes (Karlan et al., 2014; Mapfumo et al., 2021).</w:t>
      </w:r>
    </w:p>
    <w:p w14:paraId="065FA623" w14:textId="77777777" w:rsidR="00315236" w:rsidRPr="00531A46" w:rsidRDefault="00315236" w:rsidP="00407E38">
      <w:pPr>
        <w:spacing w:line="360" w:lineRule="auto"/>
        <w:jc w:val="both"/>
        <w:rPr>
          <w:rFonts w:ascii="Times New Roman" w:hAnsi="Times New Roman"/>
          <w:sz w:val="24"/>
          <w:szCs w:val="24"/>
        </w:rPr>
      </w:pPr>
      <w:r w:rsidRPr="00531A46">
        <w:rPr>
          <w:rFonts w:ascii="Times New Roman" w:hAnsi="Times New Roman"/>
          <w:sz w:val="24"/>
          <w:szCs w:val="24"/>
        </w:rPr>
        <w:t xml:space="preserve">Additionally, the modest positive trend for health domain uptake with higher coverage in the margins indicates that people still recognize value in large payouts for high-frequency risks, </w:t>
      </w:r>
      <w:r w:rsidRPr="00531A46">
        <w:rPr>
          <w:rFonts w:ascii="Times New Roman" w:hAnsi="Times New Roman"/>
          <w:sz w:val="24"/>
          <w:szCs w:val="24"/>
        </w:rPr>
        <w:lastRenderedPageBreak/>
        <w:t>but the flat trends in agriculture and property may point to limited trust or perceived need, especially if past hazard exposure has been low or manageable.</w:t>
      </w:r>
    </w:p>
    <w:p w14:paraId="1E754763" w14:textId="77777777" w:rsidR="00315236" w:rsidRPr="00531A46" w:rsidRDefault="00315236" w:rsidP="00407E38">
      <w:pPr>
        <w:spacing w:line="360" w:lineRule="auto"/>
        <w:jc w:val="both"/>
        <w:rPr>
          <w:rFonts w:ascii="Times New Roman" w:hAnsi="Times New Roman"/>
          <w:sz w:val="24"/>
          <w:szCs w:val="24"/>
        </w:rPr>
      </w:pPr>
      <w:r w:rsidRPr="00531A46">
        <w:rPr>
          <w:rFonts w:ascii="Times New Roman" w:hAnsi="Times New Roman"/>
          <w:sz w:val="24"/>
          <w:szCs w:val="24"/>
        </w:rPr>
        <w:t xml:space="preserve">This implies that in South Africa, product design should emphasize flexibility, provider credibility, and add-on services rather than just increasing coverage levels. Policymakers should also explore </w:t>
      </w:r>
      <w:proofErr w:type="spellStart"/>
      <w:r w:rsidRPr="00531A46">
        <w:rPr>
          <w:rFonts w:ascii="Times New Roman" w:hAnsi="Times New Roman"/>
          <w:sz w:val="24"/>
          <w:szCs w:val="24"/>
        </w:rPr>
        <w:t>behavioral</w:t>
      </w:r>
      <w:proofErr w:type="spellEnd"/>
      <w:r w:rsidRPr="00531A46">
        <w:rPr>
          <w:rFonts w:ascii="Times New Roman" w:hAnsi="Times New Roman"/>
          <w:sz w:val="24"/>
          <w:szCs w:val="24"/>
        </w:rPr>
        <w:t xml:space="preserve"> nudges, such as framing or peer comparisons, to make indemnity levels feel more relevant and desirable (Tversky &amp; Kahneman, 1991).</w:t>
      </w:r>
    </w:p>
    <w:p w14:paraId="56C7A84C" w14:textId="77777777" w:rsidR="00315236" w:rsidRPr="00531A46" w:rsidRDefault="00315236" w:rsidP="00531A46">
      <w:pPr>
        <w:jc w:val="both"/>
        <w:rPr>
          <w:rFonts w:ascii="Times New Roman" w:eastAsia="Aptos" w:hAnsi="Times New Roman"/>
          <w:b/>
          <w:bCs/>
          <w:sz w:val="24"/>
          <w:szCs w:val="24"/>
          <w:lang w:val="en-US"/>
          <w14:ligatures w14:val="standardContextual"/>
        </w:rPr>
      </w:pPr>
    </w:p>
    <w:p w14:paraId="49D3D433" w14:textId="77777777" w:rsidR="0069639F" w:rsidRDefault="0069639F" w:rsidP="004801FE">
      <w:pPr>
        <w:jc w:val="both"/>
        <w:rPr>
          <w:rFonts w:ascii="Times New Roman" w:eastAsia="Aptos" w:hAnsi="Times New Roman"/>
          <w:b/>
          <w:sz w:val="24"/>
          <w:szCs w:val="24"/>
          <w:u w:val="single"/>
          <w:lang w:val="en-ZA"/>
        </w:rPr>
      </w:pPr>
    </w:p>
    <w:p w14:paraId="5E80751A" w14:textId="77777777" w:rsidR="0069639F" w:rsidRDefault="0069639F" w:rsidP="004801FE">
      <w:pPr>
        <w:keepNext/>
        <w:jc w:val="both"/>
      </w:pPr>
      <w:r w:rsidRPr="00A771AF">
        <w:rPr>
          <w:rFonts w:eastAsia="Aptos"/>
          <w:noProof/>
          <w:lang w:val="en-ZA" w:eastAsia="en-ZA"/>
        </w:rPr>
        <w:drawing>
          <wp:inline distT="0" distB="0" distL="0" distR="0" wp14:anchorId="06ABB583" wp14:editId="045F2761">
            <wp:extent cx="5295265" cy="3248025"/>
            <wp:effectExtent l="0" t="0" r="635" b="9525"/>
            <wp:docPr id="928005283" name="Picture 928005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21694" cy="3264236"/>
                    </a:xfrm>
                    <a:prstGeom prst="rect">
                      <a:avLst/>
                    </a:prstGeom>
                    <a:noFill/>
                    <a:ln>
                      <a:noFill/>
                    </a:ln>
                  </pic:spPr>
                </pic:pic>
              </a:graphicData>
            </a:graphic>
          </wp:inline>
        </w:drawing>
      </w:r>
    </w:p>
    <w:p w14:paraId="011958B7" w14:textId="0860F3D2" w:rsidR="0069639F" w:rsidRDefault="0069639F" w:rsidP="004801FE">
      <w:pPr>
        <w:pStyle w:val="Caption"/>
        <w:jc w:val="both"/>
      </w:pPr>
      <w:r>
        <w:t xml:space="preserve">Figure </w:t>
      </w:r>
      <w:r w:rsidR="009B4FC9">
        <w:t>5</w:t>
      </w:r>
      <w:r>
        <w:t xml:space="preserve"> </w:t>
      </w:r>
      <w:r w:rsidRPr="005D0A89">
        <w:t xml:space="preserve"> Maximum payout predictive margin</w:t>
      </w:r>
    </w:p>
    <w:p w14:paraId="446D1808" w14:textId="77777777" w:rsidR="0069639F" w:rsidRPr="007B4060" w:rsidRDefault="0069639F" w:rsidP="004801FE">
      <w:pPr>
        <w:rPr>
          <w:lang w:val="en-US"/>
        </w:rPr>
      </w:pPr>
      <w:r>
        <w:rPr>
          <w:lang w:val="en-US"/>
        </w:rPr>
        <w:t xml:space="preserve">Source: Author Compilation b </w:t>
      </w:r>
    </w:p>
    <w:p w14:paraId="283FC38D" w14:textId="77777777" w:rsidR="0069639F" w:rsidRPr="00D3550B" w:rsidRDefault="0069639F" w:rsidP="004801FE">
      <w:pPr>
        <w:pStyle w:val="Heading2"/>
        <w:rPr>
          <w:rFonts w:eastAsia="Aptos"/>
          <w:lang w:val="en-ZA"/>
        </w:rPr>
      </w:pPr>
    </w:p>
    <w:p w14:paraId="313DB298" w14:textId="58019B22" w:rsidR="0069639F" w:rsidRDefault="0069639F" w:rsidP="004801FE">
      <w:pPr>
        <w:pStyle w:val="Heading3"/>
        <w:numPr>
          <w:ilvl w:val="0"/>
          <w:numId w:val="2"/>
        </w:numPr>
      </w:pPr>
      <w:r>
        <w:t xml:space="preserve">Discussion </w:t>
      </w:r>
    </w:p>
    <w:p w14:paraId="1805A8E2" w14:textId="77777777" w:rsidR="00AC49E0" w:rsidRDefault="00AC49E0" w:rsidP="00AC49E0"/>
    <w:p w14:paraId="10C33C26" w14:textId="09A0A1BD" w:rsidR="00AC49E0" w:rsidRPr="00407E38" w:rsidRDefault="00AC49E0"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The conditional logit results for both countries reveal distinct patterns in how citizens perceive and value insurance attributes. The results for Zimbabwe shown </w:t>
      </w:r>
      <w:r w:rsidR="005750DE" w:rsidRPr="00407E38">
        <w:rPr>
          <w:rFonts w:ascii="Times New Roman" w:hAnsi="Times New Roman"/>
          <w:sz w:val="24"/>
          <w:szCs w:val="24"/>
        </w:rPr>
        <w:t>in Table</w:t>
      </w:r>
      <w:r w:rsidRPr="00407E38">
        <w:rPr>
          <w:rFonts w:ascii="Times New Roman" w:hAnsi="Times New Roman"/>
          <w:sz w:val="24"/>
          <w:szCs w:val="24"/>
        </w:rPr>
        <w:t xml:space="preserve"> 4 above reveal that the significant predictors of insurance demand include premium level, maximum indemnity (Maxi), transparency, payout time, and domain of coverage. Specifically, premium has a negative and statistically significant coefficient (β = -0.005, p &lt; 0.01). The results of the study further reveal that higher premiums reduce the likelihood of selecting an insurance product which is consistent with classic price sensitivity in (McIntosh et al., 2013; Cole et al., 2014). In contrast, maximum cover is positively associated with demand (β = 5.76e-06, p = 0.004), suggesting households value products offering greater financial protection. Transparency (β = </w:t>
      </w:r>
      <w:r w:rsidRPr="00407E38">
        <w:rPr>
          <w:rFonts w:ascii="Times New Roman" w:hAnsi="Times New Roman"/>
          <w:sz w:val="24"/>
          <w:szCs w:val="24"/>
        </w:rPr>
        <w:lastRenderedPageBreak/>
        <w:t>0.206, p = 0.015) significantly increases uptake, echoing evidence that trust and clarity in product terms enhance insurance participation (</w:t>
      </w:r>
      <w:proofErr w:type="spellStart"/>
      <w:r w:rsidRPr="00407E38">
        <w:rPr>
          <w:rFonts w:ascii="Times New Roman" w:hAnsi="Times New Roman"/>
          <w:sz w:val="24"/>
          <w:szCs w:val="24"/>
        </w:rPr>
        <w:t>Dercon</w:t>
      </w:r>
      <w:proofErr w:type="spellEnd"/>
      <w:r w:rsidRPr="00407E38">
        <w:rPr>
          <w:rFonts w:ascii="Times New Roman" w:hAnsi="Times New Roman"/>
          <w:sz w:val="24"/>
          <w:szCs w:val="24"/>
        </w:rPr>
        <w:t xml:space="preserve"> et al., 2014).</w:t>
      </w:r>
    </w:p>
    <w:p w14:paraId="5AE9B8A5" w14:textId="77777777" w:rsidR="00AC49E0" w:rsidRPr="00407E38" w:rsidRDefault="00AC49E0" w:rsidP="00407E38">
      <w:pPr>
        <w:spacing w:line="360" w:lineRule="auto"/>
        <w:jc w:val="both"/>
        <w:rPr>
          <w:rFonts w:ascii="Times New Roman" w:hAnsi="Times New Roman"/>
          <w:sz w:val="24"/>
          <w:szCs w:val="24"/>
        </w:rPr>
      </w:pPr>
    </w:p>
    <w:p w14:paraId="2CE73CBF" w14:textId="4B7E866E" w:rsidR="00AC49E0" w:rsidRPr="00407E38" w:rsidRDefault="00AC49E0"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Whilst the results of South African model presented in Table 5 above similarly identifies significant attributes from provider type and payout delay. Premium has a negative but statistically insignificant effect (β = -0.003, p = 0.134), implying a relatively muted price sensitivity compared to Zimbabwe. Government (β = 0.295, p = 0.017) and NGO providers (β = 0.370, p = 0.061) positively affect insurance uptake which can be explained by the role of institutional trust and credibility of NGOs (Karlan et al., 2016). It is important to note that NGOs are more connected with the community since they are part of the first responders, and they provide educational services to reduce risk. It is also important to note that some of the assistance provided in partnership arrangements between government and NGOs were </w:t>
      </w:r>
      <w:r w:rsidR="005750DE" w:rsidRPr="00407E38">
        <w:rPr>
          <w:rFonts w:ascii="Times New Roman" w:hAnsi="Times New Roman"/>
          <w:sz w:val="24"/>
          <w:szCs w:val="24"/>
        </w:rPr>
        <w:t>executed by</w:t>
      </w:r>
      <w:r w:rsidRPr="00407E38">
        <w:rPr>
          <w:rFonts w:ascii="Times New Roman" w:hAnsi="Times New Roman"/>
          <w:sz w:val="24"/>
          <w:szCs w:val="24"/>
        </w:rPr>
        <w:t xml:space="preserve"> NGOs leading to higher trust in </w:t>
      </w:r>
      <w:r w:rsidR="005750DE" w:rsidRPr="00407E38">
        <w:rPr>
          <w:rFonts w:ascii="Times New Roman" w:hAnsi="Times New Roman"/>
          <w:sz w:val="24"/>
          <w:szCs w:val="24"/>
        </w:rPr>
        <w:t>NGOs.</w:t>
      </w:r>
      <w:r w:rsidRPr="00407E38">
        <w:rPr>
          <w:rFonts w:ascii="Times New Roman" w:hAnsi="Times New Roman"/>
          <w:sz w:val="24"/>
          <w:szCs w:val="24"/>
        </w:rPr>
        <w:t xml:space="preserve"> The strong significance of the alternative-specific constant (ASC = -13.725, p &lt; 0.001) implies a baseline reluctance to adopt insurance absent favourable features.</w:t>
      </w:r>
    </w:p>
    <w:p w14:paraId="315AA5F9" w14:textId="77777777" w:rsidR="00AC49E0" w:rsidRPr="00407E38" w:rsidRDefault="00AC49E0" w:rsidP="00407E38">
      <w:pPr>
        <w:spacing w:line="360" w:lineRule="auto"/>
        <w:jc w:val="both"/>
        <w:rPr>
          <w:rFonts w:ascii="Times New Roman" w:hAnsi="Times New Roman"/>
          <w:sz w:val="24"/>
          <w:szCs w:val="24"/>
        </w:rPr>
      </w:pPr>
    </w:p>
    <w:p w14:paraId="3E12350B" w14:textId="77777777" w:rsidR="00AC49E0" w:rsidRPr="00407E38" w:rsidRDefault="00AC49E0" w:rsidP="00407E38">
      <w:pPr>
        <w:spacing w:line="360" w:lineRule="auto"/>
        <w:jc w:val="both"/>
        <w:rPr>
          <w:rFonts w:ascii="Times New Roman" w:hAnsi="Times New Roman"/>
          <w:sz w:val="24"/>
          <w:szCs w:val="24"/>
        </w:rPr>
      </w:pPr>
      <w:r w:rsidRPr="00407E38">
        <w:rPr>
          <w:rFonts w:ascii="Times New Roman" w:hAnsi="Times New Roman"/>
          <w:sz w:val="24"/>
          <w:szCs w:val="24"/>
        </w:rPr>
        <w:t>Domain preferences diverge between countries. In Zimbabwe, agriculture is significantly preferred over health (base category), while property is marginally significant and negatively associated (β = -0.355, p = 0.057). In contrast, South Africans do not show significant preferences across domains, though both agriculture and property have negative coefficients. This may reflect Zimbabwean respondents’ higher exposure to agricultural risks and more immediate interest in farming-related coverage.</w:t>
      </w:r>
    </w:p>
    <w:p w14:paraId="4C256107" w14:textId="6D5D0CBE" w:rsidR="00AC49E0" w:rsidRPr="00407E38" w:rsidRDefault="00AC49E0"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Whilst the analysis of premium margins shown on Figures 1 and 2 (premium margins) show clear differences in how insurance premiums interact with domain preferences. The results in Zimbabwe show </w:t>
      </w:r>
      <w:r w:rsidR="005750DE" w:rsidRPr="00407E38">
        <w:rPr>
          <w:rFonts w:ascii="Times New Roman" w:hAnsi="Times New Roman"/>
          <w:sz w:val="24"/>
          <w:szCs w:val="24"/>
        </w:rPr>
        <w:t>that,</w:t>
      </w:r>
      <w:r w:rsidRPr="00407E38">
        <w:rPr>
          <w:rFonts w:ascii="Times New Roman" w:hAnsi="Times New Roman"/>
          <w:sz w:val="24"/>
          <w:szCs w:val="24"/>
        </w:rPr>
        <w:t xml:space="preserve"> the probability of selecting health insurance sharply declines as premiums increase, starting at approximately 0.6 and dropping to below 0.2. Agriculture demand increases steadily with premium, suggesting that higher-priced agricultural coverage may be associated with better coverage or perceived reliability. Property-related demand also rises modestly with premium. This inverted trend for health coverage may indicate that it is perceived as less essential or less effective in managing disaster risks compared to agriculture, where insurance is directly tied to economic survival (Hazell &amp; </w:t>
      </w:r>
      <w:proofErr w:type="spellStart"/>
      <w:r w:rsidRPr="00407E38">
        <w:rPr>
          <w:rFonts w:ascii="Times New Roman" w:hAnsi="Times New Roman"/>
          <w:sz w:val="24"/>
          <w:szCs w:val="24"/>
        </w:rPr>
        <w:t>Pomareda</w:t>
      </w:r>
      <w:proofErr w:type="spellEnd"/>
      <w:r w:rsidRPr="00407E38">
        <w:rPr>
          <w:rFonts w:ascii="Times New Roman" w:hAnsi="Times New Roman"/>
          <w:sz w:val="24"/>
          <w:szCs w:val="24"/>
        </w:rPr>
        <w:t>, 2012</w:t>
      </w:r>
      <w:r w:rsidR="005750DE" w:rsidRPr="00407E38">
        <w:rPr>
          <w:rFonts w:ascii="Times New Roman" w:hAnsi="Times New Roman"/>
          <w:sz w:val="24"/>
          <w:szCs w:val="24"/>
        </w:rPr>
        <w:t>). Whilst</w:t>
      </w:r>
      <w:r w:rsidRPr="00407E38">
        <w:rPr>
          <w:rFonts w:ascii="Times New Roman" w:hAnsi="Times New Roman"/>
          <w:sz w:val="24"/>
          <w:szCs w:val="24"/>
        </w:rPr>
        <w:t xml:space="preserve"> in contrast the results in South Africa reveal that premium increases affect all domains more moderately. Health demand again declines with premium but at a slower rate. Agriculture and property preferences both exhibit upward trends, with agriculture’s predictive margin rising </w:t>
      </w:r>
      <w:r w:rsidRPr="00407E38">
        <w:rPr>
          <w:rFonts w:ascii="Times New Roman" w:hAnsi="Times New Roman"/>
          <w:sz w:val="24"/>
          <w:szCs w:val="24"/>
        </w:rPr>
        <w:lastRenderedPageBreak/>
        <w:t>from below 0.2 to over 0.5. These patterns may reflect higher baseline income and financial literacy levels in South Africa, where individuals are more responsive to the value offered by insurance than to price alone (</w:t>
      </w:r>
      <w:proofErr w:type="spellStart"/>
      <w:r w:rsidRPr="00407E38">
        <w:rPr>
          <w:rFonts w:ascii="Times New Roman" w:hAnsi="Times New Roman"/>
          <w:sz w:val="24"/>
          <w:szCs w:val="24"/>
        </w:rPr>
        <w:t>Giné</w:t>
      </w:r>
      <w:proofErr w:type="spellEnd"/>
      <w:r w:rsidRPr="00407E38">
        <w:rPr>
          <w:rFonts w:ascii="Times New Roman" w:hAnsi="Times New Roman"/>
          <w:sz w:val="24"/>
          <w:szCs w:val="24"/>
        </w:rPr>
        <w:t xml:space="preserve"> &amp; Yang, 2009; Cole et al., 2013).</w:t>
      </w:r>
    </w:p>
    <w:p w14:paraId="12CBFF33" w14:textId="77777777" w:rsidR="00AC49E0" w:rsidRPr="00407E38" w:rsidRDefault="00AC49E0" w:rsidP="00407E38">
      <w:pPr>
        <w:spacing w:line="360" w:lineRule="auto"/>
        <w:jc w:val="both"/>
        <w:rPr>
          <w:rFonts w:ascii="Times New Roman" w:hAnsi="Times New Roman"/>
          <w:sz w:val="24"/>
          <w:szCs w:val="24"/>
        </w:rPr>
      </w:pPr>
    </w:p>
    <w:p w14:paraId="510839EF" w14:textId="77777777" w:rsidR="00AC49E0" w:rsidRPr="00407E38" w:rsidRDefault="00AC49E0"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This divergence suggests that while price remains a barrier in both countries, product value perception—particularly for agriculture—plays a greater role in South Africa. The trend supports findings by Clarke and </w:t>
      </w:r>
      <w:proofErr w:type="spellStart"/>
      <w:r w:rsidRPr="00407E38">
        <w:rPr>
          <w:rFonts w:ascii="Times New Roman" w:hAnsi="Times New Roman"/>
          <w:sz w:val="24"/>
          <w:szCs w:val="24"/>
        </w:rPr>
        <w:t>Dercon</w:t>
      </w:r>
      <w:proofErr w:type="spellEnd"/>
      <w:r w:rsidRPr="00407E38">
        <w:rPr>
          <w:rFonts w:ascii="Times New Roman" w:hAnsi="Times New Roman"/>
          <w:sz w:val="24"/>
          <w:szCs w:val="24"/>
        </w:rPr>
        <w:t xml:space="preserve"> (2016), who highlight the importance of aligning premium cost with meaningful, visible benefits in low- and middle-income contexts.</w:t>
      </w:r>
    </w:p>
    <w:p w14:paraId="70402FE8" w14:textId="06B3A4B0" w:rsidR="00AC49E0" w:rsidRPr="00407E38" w:rsidRDefault="00AC49E0"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 The results of the premium margins provide partial information of the analysis, and the study further looks at the margins of the maximum coverage (indemnity) shown in Figures 3 and 4. The results in Zimbabwe reveal that, the probability of selecting health insurance increases significantly with coverage, rising from around 0.2 to nearly 0.5, while property and agriculture show declining trends. This highlights a unique contrast: while premium sensitivity for health insurance is high, demand rebounds strongly when generous coverage is offered. It indicates that Zimbabweans may only consider health insurance worthwhile if it offers substantial financial protection—consistent with previous studies showing high thresholds of perceived benefit required to justify insurance purchase (Takahashi et al., 2016</w:t>
      </w:r>
      <w:r w:rsidR="005750DE" w:rsidRPr="00407E38">
        <w:rPr>
          <w:rFonts w:ascii="Times New Roman" w:hAnsi="Times New Roman"/>
          <w:sz w:val="24"/>
          <w:szCs w:val="24"/>
        </w:rPr>
        <w:t>). Whilst</w:t>
      </w:r>
      <w:r w:rsidRPr="00407E38">
        <w:rPr>
          <w:rFonts w:ascii="Times New Roman" w:hAnsi="Times New Roman"/>
          <w:sz w:val="24"/>
          <w:szCs w:val="24"/>
        </w:rPr>
        <w:t xml:space="preserve"> in South Africa, all domain margins respond more positively to increased coverage. Health demand rises steadily and surpasses other domains at higher coverage levels, reaching over 0.5. Property shows a mild decline, and agriculture is relatively flat, suggesting less sensitivity to maximum cover. This suggests that South Africans place high value on extensive protection in health, which may reflect more mature health infrastructure and higher expectations from formal insurance (Osei-Asare &amp; </w:t>
      </w:r>
      <w:proofErr w:type="spellStart"/>
      <w:r w:rsidRPr="00407E38">
        <w:rPr>
          <w:rFonts w:ascii="Times New Roman" w:hAnsi="Times New Roman"/>
          <w:sz w:val="24"/>
          <w:szCs w:val="24"/>
        </w:rPr>
        <w:t>Premand</w:t>
      </w:r>
      <w:proofErr w:type="spellEnd"/>
      <w:r w:rsidRPr="00407E38">
        <w:rPr>
          <w:rFonts w:ascii="Times New Roman" w:hAnsi="Times New Roman"/>
          <w:sz w:val="24"/>
          <w:szCs w:val="24"/>
        </w:rPr>
        <w:t>, 2020).</w:t>
      </w:r>
    </w:p>
    <w:p w14:paraId="189BAE79" w14:textId="77777777" w:rsidR="00AC49E0" w:rsidRPr="00407E38" w:rsidRDefault="00AC49E0" w:rsidP="00407E38">
      <w:pPr>
        <w:spacing w:line="360" w:lineRule="auto"/>
        <w:jc w:val="both"/>
        <w:rPr>
          <w:rFonts w:ascii="Times New Roman" w:hAnsi="Times New Roman"/>
          <w:sz w:val="24"/>
          <w:szCs w:val="24"/>
        </w:rPr>
      </w:pPr>
    </w:p>
    <w:p w14:paraId="697AC98B" w14:textId="77777777" w:rsidR="00AC49E0" w:rsidRPr="00407E38" w:rsidRDefault="00AC49E0" w:rsidP="00407E38">
      <w:pPr>
        <w:spacing w:line="360" w:lineRule="auto"/>
        <w:jc w:val="both"/>
        <w:rPr>
          <w:rFonts w:ascii="Times New Roman" w:hAnsi="Times New Roman"/>
          <w:sz w:val="24"/>
          <w:szCs w:val="24"/>
        </w:rPr>
      </w:pPr>
      <w:r w:rsidRPr="00407E38">
        <w:rPr>
          <w:rFonts w:ascii="Times New Roman" w:hAnsi="Times New Roman"/>
          <w:sz w:val="24"/>
          <w:szCs w:val="24"/>
        </w:rPr>
        <w:t>The margin results from both countries reinforce the finding that maximum coverage can significantly influence uptake, especially when premiums are high. This supports literature arguing that demand can be improved not by lowering premiums alone, but by increasing perceived value through generous and prompt indemnity (Janzen et al., 2016; Heltberg et al., 2015).</w:t>
      </w:r>
    </w:p>
    <w:p w14:paraId="1C10B977" w14:textId="77777777" w:rsidR="00AC49E0" w:rsidRPr="00407E38" w:rsidRDefault="00AC49E0" w:rsidP="00407E38">
      <w:pPr>
        <w:spacing w:line="360" w:lineRule="auto"/>
        <w:jc w:val="both"/>
        <w:rPr>
          <w:rFonts w:ascii="Times New Roman" w:hAnsi="Times New Roman"/>
          <w:sz w:val="24"/>
          <w:szCs w:val="24"/>
        </w:rPr>
      </w:pPr>
    </w:p>
    <w:p w14:paraId="2692D9DA" w14:textId="67B5F93C" w:rsidR="00AC49E0" w:rsidRPr="00407E38" w:rsidRDefault="00531A46" w:rsidP="00407E38">
      <w:pPr>
        <w:pStyle w:val="Heading2"/>
        <w:spacing w:line="360" w:lineRule="auto"/>
        <w:rPr>
          <w:rFonts w:ascii="Times New Roman" w:hAnsi="Times New Roman" w:cs="Times New Roman"/>
          <w:sz w:val="24"/>
          <w:szCs w:val="24"/>
        </w:rPr>
      </w:pPr>
      <w:r w:rsidRPr="00407E38">
        <w:rPr>
          <w:rFonts w:ascii="Times New Roman" w:hAnsi="Times New Roman" w:cs="Times New Roman"/>
          <w:sz w:val="24"/>
          <w:szCs w:val="24"/>
        </w:rPr>
        <w:t>8.</w:t>
      </w:r>
      <w:r w:rsidR="00AC49E0" w:rsidRPr="00407E38">
        <w:rPr>
          <w:rFonts w:ascii="Times New Roman" w:hAnsi="Times New Roman" w:cs="Times New Roman"/>
          <w:sz w:val="24"/>
          <w:szCs w:val="24"/>
        </w:rPr>
        <w:t>. Implications for Policy and Design</w:t>
      </w:r>
    </w:p>
    <w:p w14:paraId="6ABC3970" w14:textId="77777777" w:rsidR="00AC49E0" w:rsidRPr="00407E38" w:rsidRDefault="00AC49E0" w:rsidP="00407E38">
      <w:pPr>
        <w:spacing w:line="360" w:lineRule="auto"/>
        <w:jc w:val="both"/>
        <w:rPr>
          <w:rFonts w:ascii="Times New Roman" w:hAnsi="Times New Roman"/>
          <w:sz w:val="24"/>
          <w:szCs w:val="24"/>
        </w:rPr>
      </w:pPr>
      <w:r w:rsidRPr="00407E38">
        <w:rPr>
          <w:rFonts w:ascii="Times New Roman" w:hAnsi="Times New Roman"/>
          <w:sz w:val="24"/>
          <w:szCs w:val="24"/>
        </w:rPr>
        <w:t xml:space="preserve">These findings yield several policy insights which include the need for subsidies and tiered pricing in Zimbabwe since premium sensitivity is high, especially for health insurance. </w:t>
      </w:r>
      <w:r w:rsidRPr="00407E38">
        <w:rPr>
          <w:rFonts w:ascii="Times New Roman" w:hAnsi="Times New Roman"/>
          <w:sz w:val="24"/>
          <w:szCs w:val="24"/>
        </w:rPr>
        <w:lastRenderedPageBreak/>
        <w:t>Offering subsidized or tiered pricing for vulnerable groups could improve uptake. Given the strong demand for agricultural insurance even at higher premiums, there is potential to develop more market-based products in this domain.  The results of the study also show the need for product tailoring and marketing in South Africa, which are NGO and government backed to significantly raise demand. Thus, public-private partnerships can be instrumental. Insurance campaigns should emphasize transparent terms, payout speed, and maximum coverage benefits to shift focus from price to value. The results of the study also show the need for differentiated strategies across domains because of the clear differences in how domains are valued suggest that a one-size-fits-all approach may be inefficient. For example, promoting health insurance in Zimbabwe may require stronger incentives and trust-building, while agricultural insurance could be bundled with other farming inputs. From the behavioural interventions there is need for development of trust because Low institutional trust can complexity reduce demand, as noted in other studies (Takahashi et al., 2019). Simplifying policies, increasing financial literacy, and leveraging trusted providers could enhance willingness to insure.</w:t>
      </w:r>
    </w:p>
    <w:p w14:paraId="14F86460" w14:textId="77777777" w:rsidR="00531A46" w:rsidRPr="00407E38" w:rsidRDefault="00531A46" w:rsidP="00407E38">
      <w:pPr>
        <w:spacing w:line="360" w:lineRule="auto"/>
        <w:jc w:val="both"/>
        <w:rPr>
          <w:rFonts w:ascii="Times New Roman" w:hAnsi="Times New Roman"/>
          <w:sz w:val="24"/>
          <w:szCs w:val="24"/>
        </w:rPr>
      </w:pPr>
    </w:p>
    <w:p w14:paraId="51F47533" w14:textId="4F62DF18" w:rsidR="00AC49E0" w:rsidRPr="00407E38" w:rsidRDefault="00531A46" w:rsidP="00407E38">
      <w:pPr>
        <w:pStyle w:val="Heading2"/>
        <w:spacing w:line="360" w:lineRule="auto"/>
        <w:rPr>
          <w:rFonts w:ascii="Times New Roman" w:hAnsi="Times New Roman" w:cs="Times New Roman"/>
          <w:sz w:val="24"/>
          <w:szCs w:val="24"/>
        </w:rPr>
      </w:pPr>
      <w:r w:rsidRPr="00407E38">
        <w:rPr>
          <w:rFonts w:ascii="Times New Roman" w:hAnsi="Times New Roman" w:cs="Times New Roman"/>
          <w:sz w:val="24"/>
          <w:szCs w:val="24"/>
        </w:rPr>
        <w:t>9</w:t>
      </w:r>
      <w:r w:rsidR="00AC49E0" w:rsidRPr="00407E38">
        <w:rPr>
          <w:rFonts w:ascii="Times New Roman" w:hAnsi="Times New Roman" w:cs="Times New Roman"/>
          <w:sz w:val="24"/>
          <w:szCs w:val="24"/>
        </w:rPr>
        <w:t>. Limitations and Future Research</w:t>
      </w:r>
    </w:p>
    <w:p w14:paraId="2A40F481" w14:textId="77777777" w:rsidR="00AC49E0" w:rsidRPr="00407E38" w:rsidRDefault="00AC49E0" w:rsidP="00407E38">
      <w:pPr>
        <w:spacing w:line="360" w:lineRule="auto"/>
        <w:jc w:val="both"/>
        <w:rPr>
          <w:rFonts w:ascii="Times New Roman" w:hAnsi="Times New Roman"/>
          <w:sz w:val="24"/>
          <w:szCs w:val="24"/>
        </w:rPr>
      </w:pPr>
      <w:r w:rsidRPr="00407E38">
        <w:rPr>
          <w:rFonts w:ascii="Times New Roman" w:hAnsi="Times New Roman"/>
          <w:sz w:val="24"/>
          <w:szCs w:val="24"/>
        </w:rPr>
        <w:t>While the choice experiment approach captures stated preferences robustly, future research could complement it with revealed preference data or panel studies post-policy rollout. Additionally, qualitative research could explore the psychological and cultural drivers behind domain preferences and trust in providers.</w:t>
      </w:r>
    </w:p>
    <w:p w14:paraId="47E3FF3A" w14:textId="77777777" w:rsidR="00AC49E0" w:rsidRPr="00407E38" w:rsidRDefault="00AC49E0" w:rsidP="00407E38">
      <w:pPr>
        <w:spacing w:line="360" w:lineRule="auto"/>
        <w:rPr>
          <w:rFonts w:ascii="Times New Roman" w:hAnsi="Times New Roman"/>
          <w:sz w:val="24"/>
          <w:szCs w:val="24"/>
        </w:rPr>
      </w:pPr>
    </w:p>
    <w:p w14:paraId="659282AC" w14:textId="19A9F454" w:rsidR="00BB1763" w:rsidRPr="00407E38" w:rsidRDefault="005E12C2" w:rsidP="00407E38">
      <w:pPr>
        <w:pStyle w:val="Heading3"/>
        <w:spacing w:line="360" w:lineRule="auto"/>
        <w:rPr>
          <w:rFonts w:ascii="Times New Roman" w:hAnsi="Times New Roman" w:cs="Times New Roman"/>
          <w:sz w:val="24"/>
          <w:szCs w:val="24"/>
        </w:rPr>
      </w:pPr>
      <w:bookmarkStart w:id="27" w:name="_Hlk200711923"/>
      <w:r w:rsidRPr="00407E38">
        <w:rPr>
          <w:rFonts w:ascii="Times New Roman" w:hAnsi="Times New Roman" w:cs="Times New Roman"/>
          <w:sz w:val="24"/>
          <w:szCs w:val="24"/>
        </w:rPr>
        <w:t xml:space="preserve">Reference list </w:t>
      </w:r>
    </w:p>
    <w:bookmarkEnd w:id="27"/>
    <w:p w14:paraId="7EBFBAAD" w14:textId="77777777" w:rsidR="005750DE" w:rsidRPr="00407E38" w:rsidRDefault="005750DE" w:rsidP="00407E38">
      <w:pPr>
        <w:numPr>
          <w:ilvl w:val="0"/>
          <w:numId w:val="8"/>
        </w:numPr>
        <w:spacing w:after="160" w:line="360" w:lineRule="auto"/>
        <w:rPr>
          <w:rFonts w:ascii="Times New Roman" w:hAnsi="Times New Roman"/>
          <w:sz w:val="24"/>
          <w:szCs w:val="24"/>
        </w:rPr>
      </w:pPr>
      <w:r w:rsidRPr="00407E38">
        <w:rPr>
          <w:rFonts w:ascii="Times New Roman" w:hAnsi="Times New Roman"/>
          <w:sz w:val="24"/>
          <w:szCs w:val="24"/>
        </w:rPr>
        <w:t xml:space="preserve">Akter, S., Brouwer, R., van Beukering, P. J. H., French, L., Silver, E., Choudhury, S., &amp; Aziz, S. (2009). Exploring the feasibility of private micro flood insurance provision in Bangladesh. </w:t>
      </w:r>
      <w:r w:rsidRPr="00407E38">
        <w:rPr>
          <w:rFonts w:ascii="Times New Roman" w:eastAsiaTheme="majorEastAsia" w:hAnsi="Times New Roman"/>
          <w:i/>
          <w:iCs/>
          <w:sz w:val="24"/>
          <w:szCs w:val="24"/>
        </w:rPr>
        <w:t>Disasters, 35</w:t>
      </w:r>
      <w:r w:rsidRPr="00407E38">
        <w:rPr>
          <w:rFonts w:ascii="Times New Roman" w:hAnsi="Times New Roman"/>
          <w:sz w:val="24"/>
          <w:szCs w:val="24"/>
        </w:rPr>
        <w:t xml:space="preserve">(2), 287–307. </w:t>
      </w:r>
      <w:hyperlink r:id="rId10" w:history="1">
        <w:r w:rsidRPr="00407E38">
          <w:rPr>
            <w:rStyle w:val="Hyperlink"/>
            <w:rFonts w:ascii="Times New Roman" w:eastAsiaTheme="majorEastAsia" w:hAnsi="Times New Roman"/>
            <w:sz w:val="24"/>
            <w:szCs w:val="24"/>
          </w:rPr>
          <w:t>https://doi.org/10.1111/j.1467-7717.2010.01158.x</w:t>
        </w:r>
      </w:hyperlink>
    </w:p>
    <w:p w14:paraId="1C6986B2" w14:textId="77777777" w:rsidR="005750DE" w:rsidRPr="00407E38" w:rsidRDefault="005750DE" w:rsidP="00407E38">
      <w:pPr>
        <w:numPr>
          <w:ilvl w:val="0"/>
          <w:numId w:val="8"/>
        </w:numPr>
        <w:spacing w:after="160" w:line="360" w:lineRule="auto"/>
        <w:rPr>
          <w:rFonts w:ascii="Times New Roman" w:hAnsi="Times New Roman"/>
          <w:sz w:val="24"/>
          <w:szCs w:val="24"/>
        </w:rPr>
      </w:pPr>
      <w:proofErr w:type="spellStart"/>
      <w:r w:rsidRPr="00407E38">
        <w:rPr>
          <w:rFonts w:ascii="Times New Roman" w:hAnsi="Times New Roman"/>
          <w:sz w:val="24"/>
          <w:szCs w:val="24"/>
        </w:rPr>
        <w:t>Botzen</w:t>
      </w:r>
      <w:proofErr w:type="spellEnd"/>
      <w:r w:rsidRPr="00407E38">
        <w:rPr>
          <w:rFonts w:ascii="Times New Roman" w:hAnsi="Times New Roman"/>
          <w:sz w:val="24"/>
          <w:szCs w:val="24"/>
        </w:rPr>
        <w:t xml:space="preserve">, W. J. W., &amp; Van den Bergh, J. C. J. M. (2012). Risk attitudes to low-probability climate change risks: WTP for flood insurance. </w:t>
      </w:r>
      <w:r w:rsidRPr="00407E38">
        <w:rPr>
          <w:rFonts w:ascii="Times New Roman" w:eastAsiaTheme="majorEastAsia" w:hAnsi="Times New Roman"/>
          <w:i/>
          <w:iCs/>
          <w:sz w:val="24"/>
          <w:szCs w:val="24"/>
        </w:rPr>
        <w:t xml:space="preserve">Journal of Economic </w:t>
      </w:r>
      <w:proofErr w:type="spellStart"/>
      <w:r w:rsidRPr="00407E38">
        <w:rPr>
          <w:rFonts w:ascii="Times New Roman" w:eastAsiaTheme="majorEastAsia" w:hAnsi="Times New Roman"/>
          <w:i/>
          <w:iCs/>
          <w:sz w:val="24"/>
          <w:szCs w:val="24"/>
        </w:rPr>
        <w:t>Behavior</w:t>
      </w:r>
      <w:proofErr w:type="spellEnd"/>
      <w:r w:rsidRPr="00407E38">
        <w:rPr>
          <w:rFonts w:ascii="Times New Roman" w:eastAsiaTheme="majorEastAsia" w:hAnsi="Times New Roman"/>
          <w:i/>
          <w:iCs/>
          <w:sz w:val="24"/>
          <w:szCs w:val="24"/>
        </w:rPr>
        <w:t xml:space="preserve"> &amp; Organization, 82</w:t>
      </w:r>
      <w:r w:rsidRPr="00407E38">
        <w:rPr>
          <w:rFonts w:ascii="Times New Roman" w:hAnsi="Times New Roman"/>
          <w:sz w:val="24"/>
          <w:szCs w:val="24"/>
        </w:rPr>
        <w:t xml:space="preserve">(1), 151–166. </w:t>
      </w:r>
      <w:hyperlink r:id="rId11" w:history="1">
        <w:r w:rsidRPr="00407E38">
          <w:rPr>
            <w:rStyle w:val="Hyperlink"/>
            <w:rFonts w:ascii="Times New Roman" w:eastAsiaTheme="majorEastAsia" w:hAnsi="Times New Roman"/>
            <w:sz w:val="24"/>
            <w:szCs w:val="24"/>
          </w:rPr>
          <w:t>https://doi.org/10.1016/j.jebo.2012.01.005</w:t>
        </w:r>
      </w:hyperlink>
    </w:p>
    <w:p w14:paraId="17611A48" w14:textId="77777777" w:rsidR="005750DE" w:rsidRPr="00407E38" w:rsidRDefault="005750DE" w:rsidP="00407E38">
      <w:pPr>
        <w:numPr>
          <w:ilvl w:val="0"/>
          <w:numId w:val="8"/>
        </w:numPr>
        <w:spacing w:after="160" w:line="360" w:lineRule="auto"/>
        <w:rPr>
          <w:rFonts w:ascii="Times New Roman" w:hAnsi="Times New Roman"/>
          <w:sz w:val="24"/>
          <w:szCs w:val="24"/>
        </w:rPr>
      </w:pPr>
      <w:r w:rsidRPr="00407E38">
        <w:rPr>
          <w:rFonts w:ascii="Times New Roman" w:hAnsi="Times New Roman"/>
          <w:sz w:val="24"/>
          <w:szCs w:val="24"/>
        </w:rPr>
        <w:t xml:space="preserve">Brody, S. D., Blessing, R., Sebastian, A., &amp; Bedient, P. B. (2017). Examining the impact of land use/land cover characteristics on flood losses. </w:t>
      </w:r>
      <w:r w:rsidRPr="00407E38">
        <w:rPr>
          <w:rFonts w:ascii="Times New Roman" w:eastAsiaTheme="majorEastAsia" w:hAnsi="Times New Roman"/>
          <w:i/>
          <w:iCs/>
          <w:sz w:val="24"/>
          <w:szCs w:val="24"/>
        </w:rPr>
        <w:t xml:space="preserve">Journal of </w:t>
      </w:r>
      <w:r w:rsidRPr="00407E38">
        <w:rPr>
          <w:rFonts w:ascii="Times New Roman" w:eastAsiaTheme="majorEastAsia" w:hAnsi="Times New Roman"/>
          <w:i/>
          <w:iCs/>
          <w:sz w:val="24"/>
          <w:szCs w:val="24"/>
        </w:rPr>
        <w:lastRenderedPageBreak/>
        <w:t>Environmental Planning and Management, 60</w:t>
      </w:r>
      <w:r w:rsidRPr="00407E38">
        <w:rPr>
          <w:rFonts w:ascii="Times New Roman" w:hAnsi="Times New Roman"/>
          <w:sz w:val="24"/>
          <w:szCs w:val="24"/>
        </w:rPr>
        <w:t xml:space="preserve">(3), 447–465. </w:t>
      </w:r>
      <w:hyperlink r:id="rId12" w:history="1">
        <w:r w:rsidRPr="00407E38">
          <w:rPr>
            <w:rStyle w:val="Hyperlink"/>
            <w:rFonts w:ascii="Times New Roman" w:eastAsiaTheme="majorEastAsia" w:hAnsi="Times New Roman"/>
            <w:sz w:val="24"/>
            <w:szCs w:val="24"/>
          </w:rPr>
          <w:t>https://doi.org/10.1080/09640568.2016.1162706</w:t>
        </w:r>
      </w:hyperlink>
    </w:p>
    <w:p w14:paraId="0339F7CE" w14:textId="77777777" w:rsidR="005750DE" w:rsidRPr="00407E38" w:rsidRDefault="005750DE" w:rsidP="00407E38">
      <w:pPr>
        <w:numPr>
          <w:ilvl w:val="0"/>
          <w:numId w:val="8"/>
        </w:numPr>
        <w:spacing w:after="160" w:line="360" w:lineRule="auto"/>
        <w:rPr>
          <w:rFonts w:ascii="Times New Roman" w:hAnsi="Times New Roman"/>
          <w:sz w:val="24"/>
          <w:szCs w:val="24"/>
        </w:rPr>
      </w:pPr>
      <w:r w:rsidRPr="00407E38">
        <w:rPr>
          <w:rFonts w:ascii="Times New Roman" w:hAnsi="Times New Roman"/>
          <w:sz w:val="24"/>
          <w:szCs w:val="24"/>
        </w:rPr>
        <w:t xml:space="preserve">Brouwer, R., Akter, S., Brander, L. M., &amp; Haque, E. (2014). Socioeconomic vulnerability and adaptation to environmental risk: A case study of climate change and flooding in Bangladesh. </w:t>
      </w:r>
      <w:r w:rsidRPr="00407E38">
        <w:rPr>
          <w:rFonts w:ascii="Times New Roman" w:eastAsiaTheme="majorEastAsia" w:hAnsi="Times New Roman"/>
          <w:i/>
          <w:iCs/>
          <w:sz w:val="24"/>
          <w:szCs w:val="24"/>
        </w:rPr>
        <w:t>Risk Analysis, 34</w:t>
      </w:r>
      <w:r w:rsidRPr="00407E38">
        <w:rPr>
          <w:rFonts w:ascii="Times New Roman" w:hAnsi="Times New Roman"/>
          <w:sz w:val="24"/>
          <w:szCs w:val="24"/>
        </w:rPr>
        <w:t xml:space="preserve">(1), 98–113. </w:t>
      </w:r>
      <w:hyperlink r:id="rId13" w:history="1">
        <w:r w:rsidRPr="00407E38">
          <w:rPr>
            <w:rStyle w:val="Hyperlink"/>
            <w:rFonts w:ascii="Times New Roman" w:eastAsiaTheme="majorEastAsia" w:hAnsi="Times New Roman"/>
            <w:sz w:val="24"/>
            <w:szCs w:val="24"/>
          </w:rPr>
          <w:t>https://doi.org/10.1111/risa.12099</w:t>
        </w:r>
      </w:hyperlink>
    </w:p>
    <w:p w14:paraId="61E43D6D" w14:textId="77777777" w:rsidR="005750DE" w:rsidRPr="00407E38" w:rsidRDefault="005750DE" w:rsidP="00407E38">
      <w:pPr>
        <w:numPr>
          <w:ilvl w:val="0"/>
          <w:numId w:val="8"/>
        </w:numPr>
        <w:spacing w:after="160" w:line="360" w:lineRule="auto"/>
        <w:rPr>
          <w:rFonts w:ascii="Times New Roman" w:hAnsi="Times New Roman"/>
          <w:sz w:val="24"/>
          <w:szCs w:val="24"/>
        </w:rPr>
      </w:pPr>
      <w:proofErr w:type="spellStart"/>
      <w:r w:rsidRPr="00407E38">
        <w:rPr>
          <w:rFonts w:ascii="Times New Roman" w:hAnsi="Times New Roman"/>
          <w:sz w:val="24"/>
          <w:szCs w:val="24"/>
        </w:rPr>
        <w:t>Charness</w:t>
      </w:r>
      <w:proofErr w:type="spellEnd"/>
      <w:r w:rsidRPr="00407E38">
        <w:rPr>
          <w:rFonts w:ascii="Times New Roman" w:hAnsi="Times New Roman"/>
          <w:sz w:val="24"/>
          <w:szCs w:val="24"/>
        </w:rPr>
        <w:t xml:space="preserve">, G., Gneezy, U., &amp; </w:t>
      </w:r>
      <w:proofErr w:type="spellStart"/>
      <w:r w:rsidRPr="00407E38">
        <w:rPr>
          <w:rFonts w:ascii="Times New Roman" w:hAnsi="Times New Roman"/>
          <w:sz w:val="24"/>
          <w:szCs w:val="24"/>
        </w:rPr>
        <w:t>Imas</w:t>
      </w:r>
      <w:proofErr w:type="spellEnd"/>
      <w:r w:rsidRPr="00407E38">
        <w:rPr>
          <w:rFonts w:ascii="Times New Roman" w:hAnsi="Times New Roman"/>
          <w:sz w:val="24"/>
          <w:szCs w:val="24"/>
        </w:rPr>
        <w:t xml:space="preserve">, A. (2013). Experimental methods: Eliciting risk preferences. </w:t>
      </w:r>
      <w:r w:rsidRPr="00407E38">
        <w:rPr>
          <w:rFonts w:ascii="Times New Roman" w:eastAsiaTheme="majorEastAsia" w:hAnsi="Times New Roman"/>
          <w:i/>
          <w:iCs/>
          <w:sz w:val="24"/>
          <w:szCs w:val="24"/>
        </w:rPr>
        <w:t xml:space="preserve">Journal of Economic </w:t>
      </w:r>
      <w:proofErr w:type="spellStart"/>
      <w:r w:rsidRPr="00407E38">
        <w:rPr>
          <w:rFonts w:ascii="Times New Roman" w:eastAsiaTheme="majorEastAsia" w:hAnsi="Times New Roman"/>
          <w:i/>
          <w:iCs/>
          <w:sz w:val="24"/>
          <w:szCs w:val="24"/>
        </w:rPr>
        <w:t>Behavior</w:t>
      </w:r>
      <w:proofErr w:type="spellEnd"/>
      <w:r w:rsidRPr="00407E38">
        <w:rPr>
          <w:rFonts w:ascii="Times New Roman" w:eastAsiaTheme="majorEastAsia" w:hAnsi="Times New Roman"/>
          <w:i/>
          <w:iCs/>
          <w:sz w:val="24"/>
          <w:szCs w:val="24"/>
        </w:rPr>
        <w:t xml:space="preserve"> &amp; Organization, 87</w:t>
      </w:r>
      <w:r w:rsidRPr="00407E38">
        <w:rPr>
          <w:rFonts w:ascii="Times New Roman" w:hAnsi="Times New Roman"/>
          <w:sz w:val="24"/>
          <w:szCs w:val="24"/>
        </w:rPr>
        <w:t xml:space="preserve">, 43–51. </w:t>
      </w:r>
      <w:hyperlink r:id="rId14" w:history="1">
        <w:r w:rsidRPr="00407E38">
          <w:rPr>
            <w:rStyle w:val="Hyperlink"/>
            <w:rFonts w:ascii="Times New Roman" w:eastAsiaTheme="majorEastAsia" w:hAnsi="Times New Roman"/>
            <w:sz w:val="24"/>
            <w:szCs w:val="24"/>
          </w:rPr>
          <w:t>https://doi.org/10.1016/j.jebo.2012.12.023</w:t>
        </w:r>
      </w:hyperlink>
    </w:p>
    <w:p w14:paraId="0C156328" w14:textId="77777777" w:rsidR="005750DE" w:rsidRPr="00407E38" w:rsidRDefault="005750DE" w:rsidP="00407E38">
      <w:pPr>
        <w:numPr>
          <w:ilvl w:val="0"/>
          <w:numId w:val="8"/>
        </w:numPr>
        <w:spacing w:after="160" w:line="360" w:lineRule="auto"/>
        <w:rPr>
          <w:rFonts w:ascii="Times New Roman" w:hAnsi="Times New Roman"/>
          <w:sz w:val="24"/>
          <w:szCs w:val="24"/>
        </w:rPr>
      </w:pPr>
      <w:r w:rsidRPr="00407E38">
        <w:rPr>
          <w:rFonts w:ascii="Times New Roman" w:hAnsi="Times New Roman"/>
          <w:sz w:val="24"/>
          <w:szCs w:val="24"/>
        </w:rPr>
        <w:t xml:space="preserve">Grothmann, T., &amp; Reusswig, F. (2006). People at risk of flooding: Why some residents take precautionary action while others do not. </w:t>
      </w:r>
      <w:r w:rsidRPr="00407E38">
        <w:rPr>
          <w:rFonts w:ascii="Times New Roman" w:eastAsiaTheme="majorEastAsia" w:hAnsi="Times New Roman"/>
          <w:i/>
          <w:iCs/>
          <w:sz w:val="24"/>
          <w:szCs w:val="24"/>
        </w:rPr>
        <w:t>Natural Hazards, 38</w:t>
      </w:r>
      <w:r w:rsidRPr="00407E38">
        <w:rPr>
          <w:rFonts w:ascii="Times New Roman" w:hAnsi="Times New Roman"/>
          <w:sz w:val="24"/>
          <w:szCs w:val="24"/>
        </w:rPr>
        <w:t xml:space="preserve">(1–2), 101–120. </w:t>
      </w:r>
      <w:hyperlink r:id="rId15" w:history="1">
        <w:r w:rsidRPr="00407E38">
          <w:rPr>
            <w:rStyle w:val="Hyperlink"/>
            <w:rFonts w:ascii="Times New Roman" w:eastAsiaTheme="majorEastAsia" w:hAnsi="Times New Roman"/>
            <w:sz w:val="24"/>
            <w:szCs w:val="24"/>
          </w:rPr>
          <w:t>https://doi.org/10.1007/s11069-005-8604-6</w:t>
        </w:r>
      </w:hyperlink>
    </w:p>
    <w:p w14:paraId="2B89B6DF" w14:textId="77777777" w:rsidR="005750DE" w:rsidRPr="00407E38" w:rsidRDefault="005750DE" w:rsidP="00407E38">
      <w:pPr>
        <w:numPr>
          <w:ilvl w:val="0"/>
          <w:numId w:val="8"/>
        </w:numPr>
        <w:spacing w:after="160" w:line="360" w:lineRule="auto"/>
        <w:rPr>
          <w:rFonts w:ascii="Times New Roman" w:hAnsi="Times New Roman"/>
          <w:sz w:val="24"/>
          <w:szCs w:val="24"/>
        </w:rPr>
      </w:pPr>
      <w:r w:rsidRPr="00407E38">
        <w:rPr>
          <w:rFonts w:ascii="Times New Roman" w:hAnsi="Times New Roman"/>
          <w:sz w:val="24"/>
          <w:szCs w:val="24"/>
        </w:rPr>
        <w:t xml:space="preserve">Hudson, D., Houssou, N., &amp; Gebregziabher, G. (2017). Demand for weather index insurance: A field experiment in Ethiopia. </w:t>
      </w:r>
      <w:r w:rsidRPr="00407E38">
        <w:rPr>
          <w:rFonts w:ascii="Times New Roman" w:eastAsiaTheme="majorEastAsia" w:hAnsi="Times New Roman"/>
          <w:i/>
          <w:iCs/>
          <w:sz w:val="24"/>
          <w:szCs w:val="24"/>
        </w:rPr>
        <w:t>Agricultural Economics, 48</w:t>
      </w:r>
      <w:r w:rsidRPr="00407E38">
        <w:rPr>
          <w:rFonts w:ascii="Times New Roman" w:hAnsi="Times New Roman"/>
          <w:sz w:val="24"/>
          <w:szCs w:val="24"/>
        </w:rPr>
        <w:t xml:space="preserve">(3), 291–303. </w:t>
      </w:r>
      <w:hyperlink r:id="rId16" w:history="1">
        <w:r w:rsidRPr="00407E38">
          <w:rPr>
            <w:rStyle w:val="Hyperlink"/>
            <w:rFonts w:ascii="Times New Roman" w:eastAsiaTheme="majorEastAsia" w:hAnsi="Times New Roman"/>
            <w:sz w:val="24"/>
            <w:szCs w:val="24"/>
          </w:rPr>
          <w:t>https://doi.org/10.1111/agec.12331</w:t>
        </w:r>
      </w:hyperlink>
    </w:p>
    <w:p w14:paraId="5D394B79" w14:textId="77777777" w:rsidR="005750DE" w:rsidRPr="00407E38" w:rsidRDefault="005750DE" w:rsidP="00407E38">
      <w:pPr>
        <w:numPr>
          <w:ilvl w:val="0"/>
          <w:numId w:val="8"/>
        </w:numPr>
        <w:spacing w:after="160" w:line="360" w:lineRule="auto"/>
        <w:rPr>
          <w:rFonts w:ascii="Times New Roman" w:hAnsi="Times New Roman"/>
          <w:sz w:val="24"/>
          <w:szCs w:val="24"/>
        </w:rPr>
      </w:pPr>
      <w:r w:rsidRPr="00407E38">
        <w:rPr>
          <w:rFonts w:ascii="Times New Roman" w:hAnsi="Times New Roman"/>
          <w:sz w:val="24"/>
          <w:szCs w:val="24"/>
        </w:rPr>
        <w:t xml:space="preserve">IPCC. (2021). </w:t>
      </w:r>
      <w:r w:rsidRPr="00407E38">
        <w:rPr>
          <w:rFonts w:ascii="Times New Roman" w:eastAsiaTheme="majorEastAsia" w:hAnsi="Times New Roman"/>
          <w:i/>
          <w:iCs/>
          <w:sz w:val="24"/>
          <w:szCs w:val="24"/>
        </w:rPr>
        <w:t>Climate Change 2021: The Physical Science Basis</w:t>
      </w:r>
      <w:r w:rsidRPr="00407E38">
        <w:rPr>
          <w:rFonts w:ascii="Times New Roman" w:hAnsi="Times New Roman"/>
          <w:sz w:val="24"/>
          <w:szCs w:val="24"/>
        </w:rPr>
        <w:t xml:space="preserve">. Intergovernmental Panel on Climate Change. </w:t>
      </w:r>
      <w:hyperlink r:id="rId17" w:history="1">
        <w:r w:rsidRPr="00407E38">
          <w:rPr>
            <w:rStyle w:val="Hyperlink"/>
            <w:rFonts w:ascii="Times New Roman" w:eastAsiaTheme="majorEastAsia" w:hAnsi="Times New Roman"/>
            <w:sz w:val="24"/>
            <w:szCs w:val="24"/>
          </w:rPr>
          <w:t>https://www.ipcc.ch/report/ar6/wg1/</w:t>
        </w:r>
      </w:hyperlink>
    </w:p>
    <w:p w14:paraId="7A113F37" w14:textId="77777777" w:rsidR="005750DE" w:rsidRPr="00407E38" w:rsidRDefault="005750DE" w:rsidP="00407E38">
      <w:pPr>
        <w:numPr>
          <w:ilvl w:val="0"/>
          <w:numId w:val="8"/>
        </w:numPr>
        <w:spacing w:after="160" w:line="360" w:lineRule="auto"/>
        <w:rPr>
          <w:rFonts w:ascii="Times New Roman" w:hAnsi="Times New Roman"/>
          <w:sz w:val="24"/>
          <w:szCs w:val="24"/>
        </w:rPr>
      </w:pPr>
      <w:proofErr w:type="spellStart"/>
      <w:r w:rsidRPr="00407E38">
        <w:rPr>
          <w:rFonts w:ascii="Times New Roman" w:hAnsi="Times New Roman"/>
          <w:sz w:val="24"/>
          <w:szCs w:val="24"/>
        </w:rPr>
        <w:t>Kunreuther</w:t>
      </w:r>
      <w:proofErr w:type="spellEnd"/>
      <w:r w:rsidRPr="00407E38">
        <w:rPr>
          <w:rFonts w:ascii="Times New Roman" w:hAnsi="Times New Roman"/>
          <w:sz w:val="24"/>
          <w:szCs w:val="24"/>
        </w:rPr>
        <w:t xml:space="preserve">, H., &amp; Pauly, M. (2006). Rules rather than discretion: Lessons from Hurricane Katrina. </w:t>
      </w:r>
      <w:r w:rsidRPr="00407E38">
        <w:rPr>
          <w:rFonts w:ascii="Times New Roman" w:eastAsiaTheme="majorEastAsia" w:hAnsi="Times New Roman"/>
          <w:i/>
          <w:iCs/>
          <w:sz w:val="24"/>
          <w:szCs w:val="24"/>
        </w:rPr>
        <w:t>Journal of Risk and Uncertainty, 33</w:t>
      </w:r>
      <w:r w:rsidRPr="00407E38">
        <w:rPr>
          <w:rFonts w:ascii="Times New Roman" w:hAnsi="Times New Roman"/>
          <w:sz w:val="24"/>
          <w:szCs w:val="24"/>
        </w:rPr>
        <w:t xml:space="preserve">(1), 101–116. </w:t>
      </w:r>
      <w:hyperlink r:id="rId18" w:history="1">
        <w:r w:rsidRPr="00407E38">
          <w:rPr>
            <w:rStyle w:val="Hyperlink"/>
            <w:rFonts w:ascii="Times New Roman" w:eastAsiaTheme="majorEastAsia" w:hAnsi="Times New Roman"/>
            <w:sz w:val="24"/>
            <w:szCs w:val="24"/>
          </w:rPr>
          <w:t>https://doi.org/10.1007/s11166-006-0173-z</w:t>
        </w:r>
      </w:hyperlink>
    </w:p>
    <w:p w14:paraId="02B30E28" w14:textId="77777777" w:rsidR="005750DE" w:rsidRPr="00407E38" w:rsidRDefault="005750DE" w:rsidP="00407E38">
      <w:pPr>
        <w:numPr>
          <w:ilvl w:val="0"/>
          <w:numId w:val="8"/>
        </w:numPr>
        <w:spacing w:after="160" w:line="360" w:lineRule="auto"/>
        <w:rPr>
          <w:rFonts w:ascii="Times New Roman" w:hAnsi="Times New Roman"/>
          <w:sz w:val="24"/>
          <w:szCs w:val="24"/>
        </w:rPr>
      </w:pPr>
      <w:r w:rsidRPr="00407E38">
        <w:rPr>
          <w:rFonts w:ascii="Times New Roman" w:hAnsi="Times New Roman"/>
          <w:sz w:val="24"/>
          <w:szCs w:val="24"/>
        </w:rPr>
        <w:t xml:space="preserve">Liu, E. M., &amp; Huang, J. (2019). Risk preferences and demand for insurance in developing countries: Evidence from China. </w:t>
      </w:r>
      <w:r w:rsidRPr="00407E38">
        <w:rPr>
          <w:rFonts w:ascii="Times New Roman" w:eastAsiaTheme="majorEastAsia" w:hAnsi="Times New Roman"/>
          <w:i/>
          <w:iCs/>
          <w:sz w:val="24"/>
          <w:szCs w:val="24"/>
        </w:rPr>
        <w:t>American Economic Journal: Applied Economics, 11</w:t>
      </w:r>
      <w:r w:rsidRPr="00407E38">
        <w:rPr>
          <w:rFonts w:ascii="Times New Roman" w:hAnsi="Times New Roman"/>
          <w:sz w:val="24"/>
          <w:szCs w:val="24"/>
        </w:rPr>
        <w:t xml:space="preserve">(2), 68–102. </w:t>
      </w:r>
      <w:hyperlink r:id="rId19" w:history="1">
        <w:r w:rsidRPr="00407E38">
          <w:rPr>
            <w:rStyle w:val="Hyperlink"/>
            <w:rFonts w:ascii="Times New Roman" w:eastAsiaTheme="majorEastAsia" w:hAnsi="Times New Roman"/>
            <w:sz w:val="24"/>
            <w:szCs w:val="24"/>
          </w:rPr>
          <w:t>https://doi.org/10.1257/app.20160401</w:t>
        </w:r>
      </w:hyperlink>
    </w:p>
    <w:p w14:paraId="2A32BAAC" w14:textId="77777777" w:rsidR="005750DE" w:rsidRPr="00407E38" w:rsidRDefault="005750DE" w:rsidP="00407E38">
      <w:pPr>
        <w:numPr>
          <w:ilvl w:val="0"/>
          <w:numId w:val="8"/>
        </w:numPr>
        <w:spacing w:after="160" w:line="360" w:lineRule="auto"/>
        <w:rPr>
          <w:rFonts w:ascii="Times New Roman" w:hAnsi="Times New Roman"/>
          <w:sz w:val="24"/>
          <w:szCs w:val="24"/>
        </w:rPr>
      </w:pPr>
      <w:r w:rsidRPr="00407E38">
        <w:rPr>
          <w:rFonts w:ascii="Times New Roman" w:hAnsi="Times New Roman"/>
          <w:sz w:val="24"/>
          <w:szCs w:val="24"/>
        </w:rPr>
        <w:t xml:space="preserve">Maddux, J. E., &amp; Rogers, R. W. (1983). Protection motivation theory and self-efficacy: A revised theory of fear appeals and attitude change. </w:t>
      </w:r>
      <w:r w:rsidRPr="00407E38">
        <w:rPr>
          <w:rFonts w:ascii="Times New Roman" w:eastAsiaTheme="majorEastAsia" w:hAnsi="Times New Roman"/>
          <w:i/>
          <w:iCs/>
          <w:sz w:val="24"/>
          <w:szCs w:val="24"/>
        </w:rPr>
        <w:t>Journal of Experimental Social Psychology, 19</w:t>
      </w:r>
      <w:r w:rsidRPr="00407E38">
        <w:rPr>
          <w:rFonts w:ascii="Times New Roman" w:hAnsi="Times New Roman"/>
          <w:sz w:val="24"/>
          <w:szCs w:val="24"/>
        </w:rPr>
        <w:t xml:space="preserve">(5), 469–479. </w:t>
      </w:r>
      <w:hyperlink r:id="rId20" w:history="1">
        <w:r w:rsidRPr="00407E38">
          <w:rPr>
            <w:rStyle w:val="Hyperlink"/>
            <w:rFonts w:ascii="Times New Roman" w:eastAsiaTheme="majorEastAsia" w:hAnsi="Times New Roman"/>
            <w:sz w:val="24"/>
            <w:szCs w:val="24"/>
          </w:rPr>
          <w:t>https://doi.org/10.1016/0022-1031(83)90023-9</w:t>
        </w:r>
      </w:hyperlink>
    </w:p>
    <w:p w14:paraId="77301D6B" w14:textId="77777777" w:rsidR="005750DE" w:rsidRPr="00407E38" w:rsidRDefault="005750DE" w:rsidP="00407E38">
      <w:pPr>
        <w:numPr>
          <w:ilvl w:val="0"/>
          <w:numId w:val="8"/>
        </w:numPr>
        <w:spacing w:after="160" w:line="360" w:lineRule="auto"/>
        <w:rPr>
          <w:rFonts w:ascii="Times New Roman" w:hAnsi="Times New Roman"/>
          <w:sz w:val="24"/>
          <w:szCs w:val="24"/>
        </w:rPr>
      </w:pPr>
      <w:proofErr w:type="spellStart"/>
      <w:r w:rsidRPr="00407E38">
        <w:rPr>
          <w:rFonts w:ascii="Times New Roman" w:hAnsi="Times New Roman"/>
          <w:sz w:val="24"/>
          <w:szCs w:val="24"/>
        </w:rPr>
        <w:t>Mahaprashasta</w:t>
      </w:r>
      <w:proofErr w:type="spellEnd"/>
      <w:r w:rsidRPr="00407E38">
        <w:rPr>
          <w:rFonts w:ascii="Times New Roman" w:hAnsi="Times New Roman"/>
          <w:sz w:val="24"/>
          <w:szCs w:val="24"/>
        </w:rPr>
        <w:t xml:space="preserve">, A., Das, U. K., &amp; Shah, M. (2021). Risk preferences after natural disasters. </w:t>
      </w:r>
      <w:r w:rsidRPr="00407E38">
        <w:rPr>
          <w:rFonts w:ascii="Times New Roman" w:eastAsiaTheme="majorEastAsia" w:hAnsi="Times New Roman"/>
          <w:i/>
          <w:iCs/>
          <w:sz w:val="24"/>
          <w:szCs w:val="24"/>
        </w:rPr>
        <w:t>Review of Development Economics, 25</w:t>
      </w:r>
      <w:r w:rsidRPr="00407E38">
        <w:rPr>
          <w:rFonts w:ascii="Times New Roman" w:hAnsi="Times New Roman"/>
          <w:sz w:val="24"/>
          <w:szCs w:val="24"/>
        </w:rPr>
        <w:t xml:space="preserve">(4), 1856–1876. </w:t>
      </w:r>
      <w:hyperlink r:id="rId21" w:history="1">
        <w:r w:rsidRPr="00407E38">
          <w:rPr>
            <w:rStyle w:val="Hyperlink"/>
            <w:rFonts w:ascii="Times New Roman" w:eastAsiaTheme="majorEastAsia" w:hAnsi="Times New Roman"/>
            <w:sz w:val="24"/>
            <w:szCs w:val="24"/>
          </w:rPr>
          <w:t>https://doi.org/10.1111/rode.12797</w:t>
        </w:r>
      </w:hyperlink>
    </w:p>
    <w:p w14:paraId="0BE586EA" w14:textId="77777777" w:rsidR="005750DE" w:rsidRPr="00407E38" w:rsidRDefault="005750DE" w:rsidP="00407E38">
      <w:pPr>
        <w:numPr>
          <w:ilvl w:val="0"/>
          <w:numId w:val="8"/>
        </w:numPr>
        <w:spacing w:after="160" w:line="360" w:lineRule="auto"/>
        <w:rPr>
          <w:rFonts w:ascii="Times New Roman" w:hAnsi="Times New Roman"/>
          <w:sz w:val="24"/>
          <w:szCs w:val="24"/>
        </w:rPr>
      </w:pPr>
      <w:r w:rsidRPr="00407E38">
        <w:rPr>
          <w:rFonts w:ascii="Times New Roman" w:hAnsi="Times New Roman"/>
          <w:sz w:val="24"/>
          <w:szCs w:val="24"/>
        </w:rPr>
        <w:lastRenderedPageBreak/>
        <w:t xml:space="preserve">Mangham, L. J., Hanson, K., &amp; McPake, B. (2009). How to do (or not to do)... Designing a discrete choice experiment for application in a low-income country. </w:t>
      </w:r>
      <w:r w:rsidRPr="00407E38">
        <w:rPr>
          <w:rFonts w:ascii="Times New Roman" w:eastAsiaTheme="majorEastAsia" w:hAnsi="Times New Roman"/>
          <w:i/>
          <w:iCs/>
          <w:sz w:val="24"/>
          <w:szCs w:val="24"/>
        </w:rPr>
        <w:t>Health Policy and Planning, 24</w:t>
      </w:r>
      <w:r w:rsidRPr="00407E38">
        <w:rPr>
          <w:rFonts w:ascii="Times New Roman" w:hAnsi="Times New Roman"/>
          <w:sz w:val="24"/>
          <w:szCs w:val="24"/>
        </w:rPr>
        <w:t xml:space="preserve">(2), 151–158. </w:t>
      </w:r>
      <w:hyperlink r:id="rId22" w:history="1">
        <w:r w:rsidRPr="00407E38">
          <w:rPr>
            <w:rStyle w:val="Hyperlink"/>
            <w:rFonts w:ascii="Times New Roman" w:eastAsiaTheme="majorEastAsia" w:hAnsi="Times New Roman"/>
            <w:sz w:val="24"/>
            <w:szCs w:val="24"/>
          </w:rPr>
          <w:t>https://doi.org/10.1093/heapol/czn047</w:t>
        </w:r>
      </w:hyperlink>
    </w:p>
    <w:p w14:paraId="7F7567FD" w14:textId="77777777" w:rsidR="005750DE" w:rsidRPr="00407E38" w:rsidRDefault="005750DE" w:rsidP="00407E38">
      <w:pPr>
        <w:numPr>
          <w:ilvl w:val="0"/>
          <w:numId w:val="8"/>
        </w:numPr>
        <w:spacing w:after="160" w:line="360" w:lineRule="auto"/>
        <w:rPr>
          <w:rFonts w:ascii="Times New Roman" w:hAnsi="Times New Roman"/>
          <w:sz w:val="24"/>
          <w:szCs w:val="24"/>
        </w:rPr>
      </w:pPr>
      <w:r w:rsidRPr="00407E38">
        <w:rPr>
          <w:rFonts w:ascii="Times New Roman" w:hAnsi="Times New Roman"/>
          <w:sz w:val="24"/>
          <w:szCs w:val="24"/>
        </w:rPr>
        <w:t xml:space="preserve">McFadden, D. (1974). Conditional logit analysis of qualitative choice </w:t>
      </w:r>
      <w:proofErr w:type="spellStart"/>
      <w:r w:rsidRPr="00407E38">
        <w:rPr>
          <w:rFonts w:ascii="Times New Roman" w:hAnsi="Times New Roman"/>
          <w:sz w:val="24"/>
          <w:szCs w:val="24"/>
        </w:rPr>
        <w:t>behavior</w:t>
      </w:r>
      <w:proofErr w:type="spellEnd"/>
      <w:r w:rsidRPr="00407E38">
        <w:rPr>
          <w:rFonts w:ascii="Times New Roman" w:hAnsi="Times New Roman"/>
          <w:sz w:val="24"/>
          <w:szCs w:val="24"/>
        </w:rPr>
        <w:t xml:space="preserve">. In P. </w:t>
      </w:r>
      <w:proofErr w:type="spellStart"/>
      <w:r w:rsidRPr="00407E38">
        <w:rPr>
          <w:rFonts w:ascii="Times New Roman" w:hAnsi="Times New Roman"/>
          <w:sz w:val="24"/>
          <w:szCs w:val="24"/>
        </w:rPr>
        <w:t>Zarembka</w:t>
      </w:r>
      <w:proofErr w:type="spellEnd"/>
      <w:r w:rsidRPr="00407E38">
        <w:rPr>
          <w:rFonts w:ascii="Times New Roman" w:hAnsi="Times New Roman"/>
          <w:sz w:val="24"/>
          <w:szCs w:val="24"/>
        </w:rPr>
        <w:t xml:space="preserve"> (Ed.), </w:t>
      </w:r>
      <w:r w:rsidRPr="00407E38">
        <w:rPr>
          <w:rFonts w:ascii="Times New Roman" w:eastAsiaTheme="majorEastAsia" w:hAnsi="Times New Roman"/>
          <w:i/>
          <w:iCs/>
          <w:sz w:val="24"/>
          <w:szCs w:val="24"/>
        </w:rPr>
        <w:t>Frontiers in Econometrics</w:t>
      </w:r>
      <w:r w:rsidRPr="00407E38">
        <w:rPr>
          <w:rFonts w:ascii="Times New Roman" w:hAnsi="Times New Roman"/>
          <w:sz w:val="24"/>
          <w:szCs w:val="24"/>
        </w:rPr>
        <w:t xml:space="preserve"> (pp. 105–142). Academic Press.</w:t>
      </w:r>
    </w:p>
    <w:p w14:paraId="562362D3" w14:textId="77777777" w:rsidR="005750DE" w:rsidRPr="00407E38" w:rsidRDefault="005750DE" w:rsidP="00407E38">
      <w:pPr>
        <w:numPr>
          <w:ilvl w:val="0"/>
          <w:numId w:val="8"/>
        </w:numPr>
        <w:spacing w:after="160" w:line="360" w:lineRule="auto"/>
        <w:rPr>
          <w:rFonts w:ascii="Times New Roman" w:hAnsi="Times New Roman"/>
          <w:sz w:val="24"/>
          <w:szCs w:val="24"/>
        </w:rPr>
      </w:pPr>
      <w:r w:rsidRPr="00407E38">
        <w:rPr>
          <w:rFonts w:ascii="Times New Roman" w:hAnsi="Times New Roman"/>
          <w:sz w:val="24"/>
          <w:szCs w:val="24"/>
        </w:rPr>
        <w:t xml:space="preserve">Michel-Kerjan, E., &amp; </w:t>
      </w:r>
      <w:proofErr w:type="spellStart"/>
      <w:r w:rsidRPr="00407E38">
        <w:rPr>
          <w:rFonts w:ascii="Times New Roman" w:hAnsi="Times New Roman"/>
          <w:sz w:val="24"/>
          <w:szCs w:val="24"/>
        </w:rPr>
        <w:t>Kunreuther</w:t>
      </w:r>
      <w:proofErr w:type="spellEnd"/>
      <w:r w:rsidRPr="00407E38">
        <w:rPr>
          <w:rFonts w:ascii="Times New Roman" w:hAnsi="Times New Roman"/>
          <w:sz w:val="24"/>
          <w:szCs w:val="24"/>
        </w:rPr>
        <w:t xml:space="preserve">, H. (2011). Redesigning flood insurance. </w:t>
      </w:r>
      <w:r w:rsidRPr="00407E38">
        <w:rPr>
          <w:rFonts w:ascii="Times New Roman" w:eastAsiaTheme="majorEastAsia" w:hAnsi="Times New Roman"/>
          <w:i/>
          <w:iCs/>
          <w:sz w:val="24"/>
          <w:szCs w:val="24"/>
        </w:rPr>
        <w:t>Science, 333</w:t>
      </w:r>
      <w:r w:rsidRPr="00407E38">
        <w:rPr>
          <w:rFonts w:ascii="Times New Roman" w:hAnsi="Times New Roman"/>
          <w:sz w:val="24"/>
          <w:szCs w:val="24"/>
        </w:rPr>
        <w:t xml:space="preserve">(6041), 408–409. </w:t>
      </w:r>
      <w:hyperlink r:id="rId23" w:history="1">
        <w:r w:rsidRPr="00407E38">
          <w:rPr>
            <w:rStyle w:val="Hyperlink"/>
            <w:rFonts w:ascii="Times New Roman" w:eastAsiaTheme="majorEastAsia" w:hAnsi="Times New Roman"/>
            <w:sz w:val="24"/>
            <w:szCs w:val="24"/>
          </w:rPr>
          <w:t>https://doi.org/10.1126/science.1202616</w:t>
        </w:r>
      </w:hyperlink>
    </w:p>
    <w:p w14:paraId="269313B1" w14:textId="77777777" w:rsidR="005750DE" w:rsidRPr="00407E38" w:rsidRDefault="005750DE" w:rsidP="00407E38">
      <w:pPr>
        <w:numPr>
          <w:ilvl w:val="0"/>
          <w:numId w:val="8"/>
        </w:numPr>
        <w:spacing w:after="160" w:line="360" w:lineRule="auto"/>
        <w:rPr>
          <w:rFonts w:ascii="Times New Roman" w:hAnsi="Times New Roman"/>
          <w:sz w:val="24"/>
          <w:szCs w:val="24"/>
        </w:rPr>
      </w:pPr>
      <w:proofErr w:type="spellStart"/>
      <w:r w:rsidRPr="00407E38">
        <w:rPr>
          <w:rFonts w:ascii="Times New Roman" w:hAnsi="Times New Roman"/>
          <w:sz w:val="24"/>
          <w:szCs w:val="24"/>
        </w:rPr>
        <w:t>Oduniyi</w:t>
      </w:r>
      <w:proofErr w:type="spellEnd"/>
      <w:r w:rsidRPr="00407E38">
        <w:rPr>
          <w:rFonts w:ascii="Times New Roman" w:hAnsi="Times New Roman"/>
          <w:sz w:val="24"/>
          <w:szCs w:val="24"/>
        </w:rPr>
        <w:t xml:space="preserve">, O. S., Antwi, M. A., &amp; </w:t>
      </w:r>
      <w:proofErr w:type="spellStart"/>
      <w:r w:rsidRPr="00407E38">
        <w:rPr>
          <w:rFonts w:ascii="Times New Roman" w:hAnsi="Times New Roman"/>
          <w:sz w:val="24"/>
          <w:szCs w:val="24"/>
        </w:rPr>
        <w:t>Tekana</w:t>
      </w:r>
      <w:proofErr w:type="spellEnd"/>
      <w:r w:rsidRPr="00407E38">
        <w:rPr>
          <w:rFonts w:ascii="Times New Roman" w:hAnsi="Times New Roman"/>
          <w:sz w:val="24"/>
          <w:szCs w:val="24"/>
        </w:rPr>
        <w:t xml:space="preserve">, S. S. (2020). Factors affecting the willingness-to-pay for cattle insurance among smallholder cattle farmers in Gauteng Province, South Africa. </w:t>
      </w:r>
      <w:r w:rsidRPr="00407E38">
        <w:rPr>
          <w:rFonts w:ascii="Times New Roman" w:eastAsiaTheme="majorEastAsia" w:hAnsi="Times New Roman"/>
          <w:i/>
          <w:iCs/>
          <w:sz w:val="24"/>
          <w:szCs w:val="24"/>
        </w:rPr>
        <w:t>South African Journal of Economic and Management Sciences, 23</w:t>
      </w:r>
      <w:r w:rsidRPr="00407E38">
        <w:rPr>
          <w:rFonts w:ascii="Times New Roman" w:hAnsi="Times New Roman"/>
          <w:sz w:val="24"/>
          <w:szCs w:val="24"/>
        </w:rPr>
        <w:t xml:space="preserve">(1), 1–8. </w:t>
      </w:r>
      <w:hyperlink r:id="rId24" w:history="1">
        <w:r w:rsidRPr="00407E38">
          <w:rPr>
            <w:rStyle w:val="Hyperlink"/>
            <w:rFonts w:ascii="Times New Roman" w:eastAsiaTheme="majorEastAsia" w:hAnsi="Times New Roman"/>
            <w:sz w:val="24"/>
            <w:szCs w:val="24"/>
          </w:rPr>
          <w:t>https://doi.org/10.4102/sajems.v23i1.3057</w:t>
        </w:r>
      </w:hyperlink>
    </w:p>
    <w:p w14:paraId="73673B60" w14:textId="77777777" w:rsidR="005750DE" w:rsidRPr="00407E38" w:rsidRDefault="005750DE" w:rsidP="00407E38">
      <w:pPr>
        <w:numPr>
          <w:ilvl w:val="0"/>
          <w:numId w:val="8"/>
        </w:numPr>
        <w:spacing w:after="160" w:line="360" w:lineRule="auto"/>
        <w:rPr>
          <w:rFonts w:ascii="Times New Roman" w:hAnsi="Times New Roman"/>
          <w:sz w:val="24"/>
          <w:szCs w:val="24"/>
        </w:rPr>
      </w:pPr>
      <w:r w:rsidRPr="00407E38">
        <w:rPr>
          <w:rFonts w:ascii="Times New Roman" w:hAnsi="Times New Roman"/>
          <w:sz w:val="24"/>
          <w:szCs w:val="24"/>
        </w:rPr>
        <w:t xml:space="preserve">Reynaud, A., &amp; Nguyen, M. (2018). Is there a demand for flood insurance in Vietnam? Results from a choice experiment. </w:t>
      </w:r>
      <w:r w:rsidRPr="00407E38">
        <w:rPr>
          <w:rFonts w:ascii="Times New Roman" w:eastAsiaTheme="majorEastAsia" w:hAnsi="Times New Roman"/>
          <w:i/>
          <w:iCs/>
          <w:sz w:val="24"/>
          <w:szCs w:val="24"/>
        </w:rPr>
        <w:t>Environmental Economics and Policy Studies, 20</w:t>
      </w:r>
      <w:r w:rsidRPr="00407E38">
        <w:rPr>
          <w:rFonts w:ascii="Times New Roman" w:hAnsi="Times New Roman"/>
          <w:sz w:val="24"/>
          <w:szCs w:val="24"/>
        </w:rPr>
        <w:t xml:space="preserve">(3), 593–618. </w:t>
      </w:r>
      <w:hyperlink r:id="rId25" w:history="1">
        <w:r w:rsidRPr="00407E38">
          <w:rPr>
            <w:rStyle w:val="Hyperlink"/>
            <w:rFonts w:ascii="Times New Roman" w:eastAsiaTheme="majorEastAsia" w:hAnsi="Times New Roman"/>
            <w:sz w:val="24"/>
            <w:szCs w:val="24"/>
          </w:rPr>
          <w:t>https://doi.org/10.1007/s10018-017-0193-2</w:t>
        </w:r>
      </w:hyperlink>
    </w:p>
    <w:p w14:paraId="5A5DB60E" w14:textId="77777777" w:rsidR="005750DE" w:rsidRPr="00407E38" w:rsidRDefault="005750DE" w:rsidP="00407E38">
      <w:pPr>
        <w:numPr>
          <w:ilvl w:val="0"/>
          <w:numId w:val="8"/>
        </w:numPr>
        <w:spacing w:after="160" w:line="360" w:lineRule="auto"/>
        <w:rPr>
          <w:rFonts w:ascii="Times New Roman" w:hAnsi="Times New Roman"/>
          <w:sz w:val="24"/>
          <w:szCs w:val="24"/>
        </w:rPr>
      </w:pPr>
      <w:r w:rsidRPr="00407E38">
        <w:rPr>
          <w:rFonts w:ascii="Times New Roman" w:hAnsi="Times New Roman"/>
          <w:sz w:val="24"/>
          <w:szCs w:val="24"/>
        </w:rPr>
        <w:t xml:space="preserve">Reynaud, A., Nguyen, M., &amp; Aubert, M. (2013). The influence of risk perception on insurance demand: Empirical evidence from a flood-prone region. </w:t>
      </w:r>
      <w:r w:rsidRPr="00407E38">
        <w:rPr>
          <w:rFonts w:ascii="Times New Roman" w:eastAsiaTheme="majorEastAsia" w:hAnsi="Times New Roman"/>
          <w:i/>
          <w:iCs/>
          <w:sz w:val="24"/>
          <w:szCs w:val="24"/>
        </w:rPr>
        <w:t>International Journal of Disaster Risk Reduction, 3</w:t>
      </w:r>
      <w:r w:rsidRPr="00407E38">
        <w:rPr>
          <w:rFonts w:ascii="Times New Roman" w:hAnsi="Times New Roman"/>
          <w:sz w:val="24"/>
          <w:szCs w:val="24"/>
        </w:rPr>
        <w:t xml:space="preserve">, 84–95. </w:t>
      </w:r>
      <w:hyperlink r:id="rId26" w:history="1">
        <w:r w:rsidRPr="00407E38">
          <w:rPr>
            <w:rStyle w:val="Hyperlink"/>
            <w:rFonts w:ascii="Times New Roman" w:eastAsiaTheme="majorEastAsia" w:hAnsi="Times New Roman"/>
            <w:sz w:val="24"/>
            <w:szCs w:val="24"/>
          </w:rPr>
          <w:t>https://doi.org/10.1016/j.ijdrr.2013.07.001</w:t>
        </w:r>
      </w:hyperlink>
    </w:p>
    <w:p w14:paraId="581E0B61" w14:textId="77777777" w:rsidR="005750DE" w:rsidRPr="00407E38" w:rsidRDefault="005750DE" w:rsidP="00407E38">
      <w:pPr>
        <w:numPr>
          <w:ilvl w:val="0"/>
          <w:numId w:val="8"/>
        </w:numPr>
        <w:spacing w:after="160" w:line="360" w:lineRule="auto"/>
        <w:rPr>
          <w:rFonts w:ascii="Times New Roman" w:hAnsi="Times New Roman"/>
          <w:sz w:val="24"/>
          <w:szCs w:val="24"/>
        </w:rPr>
      </w:pPr>
      <w:r w:rsidRPr="00407E38">
        <w:rPr>
          <w:rFonts w:ascii="Times New Roman" w:hAnsi="Times New Roman"/>
          <w:sz w:val="24"/>
          <w:szCs w:val="24"/>
        </w:rPr>
        <w:t xml:space="preserve">Rogers, R. W. (1975). A protection motivation theory of fear appeals and attitude change. </w:t>
      </w:r>
      <w:r w:rsidRPr="00407E38">
        <w:rPr>
          <w:rFonts w:ascii="Times New Roman" w:eastAsiaTheme="majorEastAsia" w:hAnsi="Times New Roman"/>
          <w:i/>
          <w:iCs/>
          <w:sz w:val="24"/>
          <w:szCs w:val="24"/>
        </w:rPr>
        <w:t>The Journal of Psychology, 91</w:t>
      </w:r>
      <w:r w:rsidRPr="00407E38">
        <w:rPr>
          <w:rFonts w:ascii="Times New Roman" w:hAnsi="Times New Roman"/>
          <w:sz w:val="24"/>
          <w:szCs w:val="24"/>
        </w:rPr>
        <w:t xml:space="preserve">(1), 93–114. </w:t>
      </w:r>
      <w:hyperlink r:id="rId27" w:history="1">
        <w:r w:rsidRPr="00407E38">
          <w:rPr>
            <w:rStyle w:val="Hyperlink"/>
            <w:rFonts w:ascii="Times New Roman" w:eastAsiaTheme="majorEastAsia" w:hAnsi="Times New Roman"/>
            <w:sz w:val="24"/>
            <w:szCs w:val="24"/>
          </w:rPr>
          <w:t>https://doi.org/10.1080/00223980.1975.9915803</w:t>
        </w:r>
      </w:hyperlink>
    </w:p>
    <w:p w14:paraId="13A76F58" w14:textId="77777777" w:rsidR="005750DE" w:rsidRPr="00407E38" w:rsidRDefault="005750DE" w:rsidP="00407E38">
      <w:pPr>
        <w:numPr>
          <w:ilvl w:val="0"/>
          <w:numId w:val="8"/>
        </w:numPr>
        <w:spacing w:after="160" w:line="360" w:lineRule="auto"/>
        <w:rPr>
          <w:rFonts w:ascii="Times New Roman" w:hAnsi="Times New Roman"/>
          <w:sz w:val="24"/>
          <w:szCs w:val="24"/>
        </w:rPr>
      </w:pPr>
      <w:r w:rsidRPr="00407E38">
        <w:rPr>
          <w:rFonts w:ascii="Times New Roman" w:hAnsi="Times New Roman"/>
          <w:sz w:val="24"/>
          <w:szCs w:val="24"/>
        </w:rPr>
        <w:t xml:space="preserve">Seifert, I., </w:t>
      </w:r>
      <w:proofErr w:type="spellStart"/>
      <w:r w:rsidRPr="00407E38">
        <w:rPr>
          <w:rFonts w:ascii="Times New Roman" w:hAnsi="Times New Roman"/>
          <w:sz w:val="24"/>
          <w:szCs w:val="24"/>
        </w:rPr>
        <w:t>Botzen</w:t>
      </w:r>
      <w:proofErr w:type="spellEnd"/>
      <w:r w:rsidRPr="00407E38">
        <w:rPr>
          <w:rFonts w:ascii="Times New Roman" w:hAnsi="Times New Roman"/>
          <w:sz w:val="24"/>
          <w:szCs w:val="24"/>
        </w:rPr>
        <w:t xml:space="preserve">, W. J. W., &amp; Kreibich, H. (2013). Awareness, precaution and insurance against flood risks: A survey among private households in Germany. </w:t>
      </w:r>
      <w:r w:rsidRPr="00407E38">
        <w:rPr>
          <w:rFonts w:ascii="Times New Roman" w:eastAsiaTheme="majorEastAsia" w:hAnsi="Times New Roman"/>
          <w:i/>
          <w:iCs/>
          <w:sz w:val="24"/>
          <w:szCs w:val="24"/>
        </w:rPr>
        <w:t>Risk Analysis, 33</w:t>
      </w:r>
      <w:r w:rsidRPr="00407E38">
        <w:rPr>
          <w:rFonts w:ascii="Times New Roman" w:hAnsi="Times New Roman"/>
          <w:sz w:val="24"/>
          <w:szCs w:val="24"/>
        </w:rPr>
        <w:t xml:space="preserve">(2), 313–323. </w:t>
      </w:r>
      <w:hyperlink r:id="rId28" w:history="1">
        <w:r w:rsidRPr="00407E38">
          <w:rPr>
            <w:rStyle w:val="Hyperlink"/>
            <w:rFonts w:ascii="Times New Roman" w:eastAsiaTheme="majorEastAsia" w:hAnsi="Times New Roman"/>
            <w:sz w:val="24"/>
            <w:szCs w:val="24"/>
          </w:rPr>
          <w:t>https://doi.org/10.1111/j.1539-6924.2012.01839.x</w:t>
        </w:r>
      </w:hyperlink>
    </w:p>
    <w:p w14:paraId="1967340D" w14:textId="77777777" w:rsidR="005750DE" w:rsidRPr="00407E38" w:rsidRDefault="005750DE" w:rsidP="00407E38">
      <w:pPr>
        <w:numPr>
          <w:ilvl w:val="0"/>
          <w:numId w:val="8"/>
        </w:numPr>
        <w:spacing w:after="160" w:line="360" w:lineRule="auto"/>
        <w:rPr>
          <w:rFonts w:ascii="Times New Roman" w:hAnsi="Times New Roman"/>
          <w:sz w:val="24"/>
          <w:szCs w:val="24"/>
        </w:rPr>
      </w:pPr>
      <w:r w:rsidRPr="00407E38">
        <w:rPr>
          <w:rFonts w:ascii="Times New Roman" w:hAnsi="Times New Roman"/>
          <w:sz w:val="24"/>
          <w:szCs w:val="24"/>
        </w:rPr>
        <w:t xml:space="preserve">Tanner, J. F., Day, E., &amp; Crask, M. R. (1989). Protection motivation theory: An extension of fear appeals theory in communication. </w:t>
      </w:r>
      <w:r w:rsidRPr="00407E38">
        <w:rPr>
          <w:rFonts w:ascii="Times New Roman" w:eastAsiaTheme="majorEastAsia" w:hAnsi="Times New Roman"/>
          <w:i/>
          <w:iCs/>
          <w:sz w:val="24"/>
          <w:szCs w:val="24"/>
        </w:rPr>
        <w:t>Journal of Business Research, 19</w:t>
      </w:r>
      <w:r w:rsidRPr="00407E38">
        <w:rPr>
          <w:rFonts w:ascii="Times New Roman" w:hAnsi="Times New Roman"/>
          <w:sz w:val="24"/>
          <w:szCs w:val="24"/>
        </w:rPr>
        <w:t xml:space="preserve">(4), 267–276. </w:t>
      </w:r>
      <w:hyperlink r:id="rId29" w:history="1">
        <w:r w:rsidRPr="00407E38">
          <w:rPr>
            <w:rStyle w:val="Hyperlink"/>
            <w:rFonts w:ascii="Times New Roman" w:eastAsiaTheme="majorEastAsia" w:hAnsi="Times New Roman"/>
            <w:sz w:val="24"/>
            <w:szCs w:val="24"/>
          </w:rPr>
          <w:t>https://doi.org/10.1016/0148-2963(89)90006-9</w:t>
        </w:r>
      </w:hyperlink>
    </w:p>
    <w:p w14:paraId="2744893A" w14:textId="77777777" w:rsidR="005750DE" w:rsidRPr="00407E38" w:rsidRDefault="005750DE" w:rsidP="00407E38">
      <w:pPr>
        <w:numPr>
          <w:ilvl w:val="0"/>
          <w:numId w:val="8"/>
        </w:numPr>
        <w:spacing w:after="160" w:line="360" w:lineRule="auto"/>
        <w:rPr>
          <w:rFonts w:ascii="Times New Roman" w:hAnsi="Times New Roman"/>
          <w:sz w:val="24"/>
          <w:szCs w:val="24"/>
        </w:rPr>
      </w:pPr>
      <w:r w:rsidRPr="00407E38">
        <w:rPr>
          <w:rFonts w:ascii="Times New Roman" w:hAnsi="Times New Roman"/>
          <w:sz w:val="24"/>
          <w:szCs w:val="24"/>
        </w:rPr>
        <w:t>Terris-</w:t>
      </w:r>
      <w:proofErr w:type="spellStart"/>
      <w:r w:rsidRPr="00407E38">
        <w:rPr>
          <w:rFonts w:ascii="Times New Roman" w:hAnsi="Times New Roman"/>
          <w:sz w:val="24"/>
          <w:szCs w:val="24"/>
        </w:rPr>
        <w:t>Prestholt</w:t>
      </w:r>
      <w:proofErr w:type="spellEnd"/>
      <w:r w:rsidRPr="00407E38">
        <w:rPr>
          <w:rFonts w:ascii="Times New Roman" w:hAnsi="Times New Roman"/>
          <w:sz w:val="24"/>
          <w:szCs w:val="24"/>
        </w:rPr>
        <w:t xml:space="preserve">, F., Hanson, K., &amp; Mills, A. (2019). Discrete choice experiments in low- and middle-income countries: A review of the literature. </w:t>
      </w:r>
      <w:r w:rsidRPr="00407E38">
        <w:rPr>
          <w:rFonts w:ascii="Times New Roman" w:eastAsiaTheme="majorEastAsia" w:hAnsi="Times New Roman"/>
          <w:i/>
          <w:iCs/>
          <w:sz w:val="24"/>
          <w:szCs w:val="24"/>
        </w:rPr>
        <w:t>Health Economics, 28</w:t>
      </w:r>
      <w:r w:rsidRPr="00407E38">
        <w:rPr>
          <w:rFonts w:ascii="Times New Roman" w:hAnsi="Times New Roman"/>
          <w:sz w:val="24"/>
          <w:szCs w:val="24"/>
        </w:rPr>
        <w:t xml:space="preserve">(2), 255–272. </w:t>
      </w:r>
      <w:hyperlink r:id="rId30" w:history="1">
        <w:r w:rsidRPr="00407E38">
          <w:rPr>
            <w:rStyle w:val="Hyperlink"/>
            <w:rFonts w:ascii="Times New Roman" w:eastAsiaTheme="majorEastAsia" w:hAnsi="Times New Roman"/>
            <w:sz w:val="24"/>
            <w:szCs w:val="24"/>
          </w:rPr>
          <w:t>https://doi.org/10.1002/hec.3833</w:t>
        </w:r>
      </w:hyperlink>
    </w:p>
    <w:p w14:paraId="0B5139E2" w14:textId="77777777" w:rsidR="005750DE" w:rsidRPr="00407E38" w:rsidRDefault="005750DE" w:rsidP="00407E38">
      <w:pPr>
        <w:numPr>
          <w:ilvl w:val="0"/>
          <w:numId w:val="8"/>
        </w:numPr>
        <w:spacing w:after="160" w:line="360" w:lineRule="auto"/>
        <w:rPr>
          <w:rFonts w:ascii="Times New Roman" w:hAnsi="Times New Roman"/>
          <w:sz w:val="24"/>
          <w:szCs w:val="24"/>
        </w:rPr>
      </w:pPr>
      <w:r w:rsidRPr="00407E38">
        <w:rPr>
          <w:rFonts w:ascii="Times New Roman" w:hAnsi="Times New Roman"/>
          <w:sz w:val="24"/>
          <w:szCs w:val="24"/>
        </w:rPr>
        <w:lastRenderedPageBreak/>
        <w:t xml:space="preserve">Tversky, A., &amp; Kahneman, D. (1992). Advances in prospect theory: Cumulative representation of uncertainty. </w:t>
      </w:r>
      <w:r w:rsidRPr="00407E38">
        <w:rPr>
          <w:rFonts w:ascii="Times New Roman" w:eastAsiaTheme="majorEastAsia" w:hAnsi="Times New Roman"/>
          <w:i/>
          <w:iCs/>
          <w:sz w:val="24"/>
          <w:szCs w:val="24"/>
        </w:rPr>
        <w:t>Journal of Risk and Uncertainty, 5</w:t>
      </w:r>
      <w:r w:rsidRPr="00407E38">
        <w:rPr>
          <w:rFonts w:ascii="Times New Roman" w:hAnsi="Times New Roman"/>
          <w:sz w:val="24"/>
          <w:szCs w:val="24"/>
        </w:rPr>
        <w:t xml:space="preserve">(4), 297–323. </w:t>
      </w:r>
      <w:hyperlink r:id="rId31" w:history="1">
        <w:r w:rsidRPr="00407E38">
          <w:rPr>
            <w:rStyle w:val="Hyperlink"/>
            <w:rFonts w:ascii="Times New Roman" w:eastAsiaTheme="majorEastAsia" w:hAnsi="Times New Roman"/>
            <w:sz w:val="24"/>
            <w:szCs w:val="24"/>
          </w:rPr>
          <w:t>https://doi.org/10.1007/BF00122574</w:t>
        </w:r>
      </w:hyperlink>
    </w:p>
    <w:p w14:paraId="46265557" w14:textId="77777777" w:rsidR="005750DE" w:rsidRPr="00407E38" w:rsidRDefault="005750DE" w:rsidP="00407E38">
      <w:pPr>
        <w:numPr>
          <w:ilvl w:val="0"/>
          <w:numId w:val="8"/>
        </w:numPr>
        <w:spacing w:after="160" w:line="360" w:lineRule="auto"/>
        <w:rPr>
          <w:rFonts w:ascii="Times New Roman" w:hAnsi="Times New Roman"/>
          <w:sz w:val="24"/>
          <w:szCs w:val="24"/>
        </w:rPr>
      </w:pPr>
      <w:r w:rsidRPr="00407E38">
        <w:rPr>
          <w:rFonts w:ascii="Times New Roman" w:hAnsi="Times New Roman"/>
          <w:sz w:val="24"/>
          <w:szCs w:val="24"/>
        </w:rPr>
        <w:t xml:space="preserve">UNDRR. (2020). </w:t>
      </w:r>
      <w:r w:rsidRPr="00407E38">
        <w:rPr>
          <w:rFonts w:ascii="Times New Roman" w:eastAsiaTheme="majorEastAsia" w:hAnsi="Times New Roman"/>
          <w:i/>
          <w:iCs/>
          <w:sz w:val="24"/>
          <w:szCs w:val="24"/>
        </w:rPr>
        <w:t>The human cost of disasters: An overview of the last 20 years (2000–2019)</w:t>
      </w:r>
      <w:r w:rsidRPr="00407E38">
        <w:rPr>
          <w:rFonts w:ascii="Times New Roman" w:hAnsi="Times New Roman"/>
          <w:sz w:val="24"/>
          <w:szCs w:val="24"/>
        </w:rPr>
        <w:t xml:space="preserve">. </w:t>
      </w:r>
      <w:hyperlink r:id="rId32" w:history="1">
        <w:r w:rsidRPr="00407E38">
          <w:rPr>
            <w:rStyle w:val="Hyperlink"/>
            <w:rFonts w:ascii="Times New Roman" w:eastAsiaTheme="majorEastAsia" w:hAnsi="Times New Roman"/>
            <w:sz w:val="24"/>
            <w:szCs w:val="24"/>
          </w:rPr>
          <w:t>https://www.undrr.org/</w:t>
        </w:r>
      </w:hyperlink>
    </w:p>
    <w:p w14:paraId="47A4B3F6" w14:textId="77777777" w:rsidR="005750DE" w:rsidRPr="00407E38" w:rsidRDefault="005750DE" w:rsidP="00407E38">
      <w:pPr>
        <w:numPr>
          <w:ilvl w:val="0"/>
          <w:numId w:val="8"/>
        </w:numPr>
        <w:spacing w:after="160" w:line="360" w:lineRule="auto"/>
        <w:rPr>
          <w:rFonts w:ascii="Times New Roman" w:hAnsi="Times New Roman"/>
          <w:sz w:val="24"/>
          <w:szCs w:val="24"/>
        </w:rPr>
      </w:pPr>
      <w:r w:rsidRPr="00407E38">
        <w:rPr>
          <w:rFonts w:ascii="Times New Roman" w:hAnsi="Times New Roman"/>
          <w:sz w:val="24"/>
          <w:szCs w:val="24"/>
        </w:rPr>
        <w:t xml:space="preserve">UNISDR. (2015). </w:t>
      </w:r>
      <w:r w:rsidRPr="00407E38">
        <w:rPr>
          <w:rFonts w:ascii="Times New Roman" w:eastAsiaTheme="majorEastAsia" w:hAnsi="Times New Roman"/>
          <w:i/>
          <w:iCs/>
          <w:sz w:val="24"/>
          <w:szCs w:val="24"/>
        </w:rPr>
        <w:t>Sendai Framework for Disaster Risk Reduction 2015–2030</w:t>
      </w:r>
      <w:r w:rsidRPr="00407E38">
        <w:rPr>
          <w:rFonts w:ascii="Times New Roman" w:hAnsi="Times New Roman"/>
          <w:sz w:val="24"/>
          <w:szCs w:val="24"/>
        </w:rPr>
        <w:t xml:space="preserve">. </w:t>
      </w:r>
      <w:hyperlink r:id="rId33" w:history="1">
        <w:r w:rsidRPr="00407E38">
          <w:rPr>
            <w:rStyle w:val="Hyperlink"/>
            <w:rFonts w:ascii="Times New Roman" w:eastAsiaTheme="majorEastAsia" w:hAnsi="Times New Roman"/>
            <w:sz w:val="24"/>
            <w:szCs w:val="24"/>
          </w:rPr>
          <w:t>https://www.undrr.org/publication/sendai-framework-disaster-risk-reduction-2015-2030</w:t>
        </w:r>
      </w:hyperlink>
    </w:p>
    <w:p w14:paraId="1498B78A" w14:textId="77777777" w:rsidR="005750DE" w:rsidRPr="00407E38" w:rsidRDefault="005750DE" w:rsidP="00407E38">
      <w:pPr>
        <w:numPr>
          <w:ilvl w:val="0"/>
          <w:numId w:val="8"/>
        </w:numPr>
        <w:spacing w:after="160" w:line="360" w:lineRule="auto"/>
        <w:rPr>
          <w:rFonts w:ascii="Times New Roman" w:hAnsi="Times New Roman"/>
          <w:sz w:val="24"/>
          <w:szCs w:val="24"/>
        </w:rPr>
      </w:pPr>
      <w:r w:rsidRPr="00407E38">
        <w:rPr>
          <w:rFonts w:ascii="Times New Roman" w:hAnsi="Times New Roman"/>
          <w:sz w:val="24"/>
          <w:szCs w:val="24"/>
        </w:rPr>
        <w:t xml:space="preserve">Vega, A., &amp; Alpizar, F. (2011). Choice experiments in environmental economics: A review. </w:t>
      </w:r>
      <w:r w:rsidRPr="00407E38">
        <w:rPr>
          <w:rFonts w:ascii="Times New Roman" w:eastAsiaTheme="majorEastAsia" w:hAnsi="Times New Roman"/>
          <w:i/>
          <w:iCs/>
          <w:sz w:val="24"/>
          <w:szCs w:val="24"/>
        </w:rPr>
        <w:t>Journal of Forest Economics, 17</w:t>
      </w:r>
      <w:r w:rsidRPr="00407E38">
        <w:rPr>
          <w:rFonts w:ascii="Times New Roman" w:hAnsi="Times New Roman"/>
          <w:sz w:val="24"/>
          <w:szCs w:val="24"/>
        </w:rPr>
        <w:t xml:space="preserve">(3), 285–307. </w:t>
      </w:r>
      <w:hyperlink r:id="rId34" w:history="1">
        <w:r w:rsidRPr="00407E38">
          <w:rPr>
            <w:rStyle w:val="Hyperlink"/>
            <w:rFonts w:ascii="Times New Roman" w:eastAsiaTheme="majorEastAsia" w:hAnsi="Times New Roman"/>
            <w:sz w:val="24"/>
            <w:szCs w:val="24"/>
          </w:rPr>
          <w:t>https://doi.org/10.1016/j.jfe.2011.01.003</w:t>
        </w:r>
      </w:hyperlink>
    </w:p>
    <w:p w14:paraId="41C5F470" w14:textId="77777777" w:rsidR="005750DE" w:rsidRPr="00407E38" w:rsidRDefault="005750DE" w:rsidP="00407E38">
      <w:pPr>
        <w:numPr>
          <w:ilvl w:val="0"/>
          <w:numId w:val="8"/>
        </w:numPr>
        <w:spacing w:after="160" w:line="360" w:lineRule="auto"/>
        <w:rPr>
          <w:rFonts w:ascii="Times New Roman" w:hAnsi="Times New Roman"/>
          <w:sz w:val="24"/>
          <w:szCs w:val="24"/>
        </w:rPr>
      </w:pPr>
      <w:r w:rsidRPr="00407E38">
        <w:rPr>
          <w:rFonts w:ascii="Times New Roman" w:hAnsi="Times New Roman"/>
          <w:sz w:val="24"/>
          <w:szCs w:val="24"/>
        </w:rPr>
        <w:t xml:space="preserve">Vikram, K., Choudhury, T., &amp; Singh, A. (2018). Understanding demand for weather-based crop insurance in India. </w:t>
      </w:r>
      <w:r w:rsidRPr="00407E38">
        <w:rPr>
          <w:rFonts w:ascii="Times New Roman" w:eastAsiaTheme="majorEastAsia" w:hAnsi="Times New Roman"/>
          <w:i/>
          <w:iCs/>
          <w:sz w:val="24"/>
          <w:szCs w:val="24"/>
        </w:rPr>
        <w:t>World Development, 103</w:t>
      </w:r>
      <w:r w:rsidRPr="00407E38">
        <w:rPr>
          <w:rFonts w:ascii="Times New Roman" w:hAnsi="Times New Roman"/>
          <w:sz w:val="24"/>
          <w:szCs w:val="24"/>
        </w:rPr>
        <w:t xml:space="preserve">, 33–44. </w:t>
      </w:r>
      <w:hyperlink r:id="rId35" w:history="1">
        <w:r w:rsidRPr="00407E38">
          <w:rPr>
            <w:rStyle w:val="Hyperlink"/>
            <w:rFonts w:ascii="Times New Roman" w:eastAsiaTheme="majorEastAsia" w:hAnsi="Times New Roman"/>
            <w:sz w:val="24"/>
            <w:szCs w:val="24"/>
          </w:rPr>
          <w:t>https://doi.org/10.1016/j.worlddev.2017.10.019</w:t>
        </w:r>
      </w:hyperlink>
    </w:p>
    <w:p w14:paraId="623F3537" w14:textId="77777777" w:rsidR="005750DE" w:rsidRPr="00407E38" w:rsidRDefault="005750DE" w:rsidP="00407E38">
      <w:pPr>
        <w:numPr>
          <w:ilvl w:val="0"/>
          <w:numId w:val="8"/>
        </w:numPr>
        <w:spacing w:after="160" w:line="360" w:lineRule="auto"/>
        <w:rPr>
          <w:rFonts w:ascii="Times New Roman" w:hAnsi="Times New Roman"/>
          <w:sz w:val="24"/>
          <w:szCs w:val="24"/>
        </w:rPr>
      </w:pPr>
      <w:r w:rsidRPr="00407E38">
        <w:rPr>
          <w:rFonts w:ascii="Times New Roman" w:hAnsi="Times New Roman"/>
          <w:sz w:val="24"/>
          <w:szCs w:val="24"/>
        </w:rPr>
        <w:t xml:space="preserve">Wagner, G. (2019). Economic </w:t>
      </w:r>
      <w:proofErr w:type="spellStart"/>
      <w:r w:rsidRPr="00407E38">
        <w:rPr>
          <w:rFonts w:ascii="Times New Roman" w:hAnsi="Times New Roman"/>
          <w:sz w:val="24"/>
          <w:szCs w:val="24"/>
        </w:rPr>
        <w:t>behavior</w:t>
      </w:r>
      <w:proofErr w:type="spellEnd"/>
      <w:r w:rsidRPr="00407E38">
        <w:rPr>
          <w:rFonts w:ascii="Times New Roman" w:hAnsi="Times New Roman"/>
          <w:sz w:val="24"/>
          <w:szCs w:val="24"/>
        </w:rPr>
        <w:t xml:space="preserve"> and insurance decisions under risk and uncertainty. </w:t>
      </w:r>
      <w:r w:rsidRPr="00407E38">
        <w:rPr>
          <w:rFonts w:ascii="Times New Roman" w:eastAsiaTheme="majorEastAsia" w:hAnsi="Times New Roman"/>
          <w:i/>
          <w:iCs/>
          <w:sz w:val="24"/>
          <w:szCs w:val="24"/>
        </w:rPr>
        <w:t>Geneva Papers on Risk and Insurance – Issues and Practice, 44</w:t>
      </w:r>
      <w:r w:rsidRPr="00407E38">
        <w:rPr>
          <w:rFonts w:ascii="Times New Roman" w:hAnsi="Times New Roman"/>
          <w:sz w:val="24"/>
          <w:szCs w:val="24"/>
        </w:rPr>
        <w:t xml:space="preserve">(1), 78–98. </w:t>
      </w:r>
      <w:hyperlink r:id="rId36" w:history="1">
        <w:r w:rsidRPr="00407E38">
          <w:rPr>
            <w:rStyle w:val="Hyperlink"/>
            <w:rFonts w:ascii="Times New Roman" w:eastAsiaTheme="majorEastAsia" w:hAnsi="Times New Roman"/>
            <w:sz w:val="24"/>
            <w:szCs w:val="24"/>
          </w:rPr>
          <w:t>https://doi.org/10.1057/s41288-018-0097-8</w:t>
        </w:r>
      </w:hyperlink>
    </w:p>
    <w:p w14:paraId="2DE97897" w14:textId="77777777" w:rsidR="005750DE" w:rsidRPr="00407E38" w:rsidRDefault="005750DE" w:rsidP="00407E38">
      <w:pPr>
        <w:numPr>
          <w:ilvl w:val="0"/>
          <w:numId w:val="8"/>
        </w:numPr>
        <w:spacing w:after="160" w:line="360" w:lineRule="auto"/>
        <w:rPr>
          <w:rFonts w:ascii="Times New Roman" w:hAnsi="Times New Roman"/>
          <w:sz w:val="24"/>
          <w:szCs w:val="24"/>
        </w:rPr>
      </w:pPr>
      <w:r w:rsidRPr="00407E38">
        <w:rPr>
          <w:rFonts w:ascii="Times New Roman" w:hAnsi="Times New Roman"/>
          <w:sz w:val="24"/>
          <w:szCs w:val="24"/>
        </w:rPr>
        <w:t xml:space="preserve">Zhang, L., &amp; Qian, Y. (2018). Earthquake insurance demand in China: Evidence from the Wenchuan earthquake. </w:t>
      </w:r>
      <w:r w:rsidRPr="00407E38">
        <w:rPr>
          <w:rFonts w:ascii="Times New Roman" w:eastAsiaTheme="majorEastAsia" w:hAnsi="Times New Roman"/>
          <w:i/>
          <w:iCs/>
          <w:sz w:val="24"/>
          <w:szCs w:val="24"/>
        </w:rPr>
        <w:t>Natural Hazards, 93</w:t>
      </w:r>
      <w:r w:rsidRPr="00407E38">
        <w:rPr>
          <w:rFonts w:ascii="Times New Roman" w:hAnsi="Times New Roman"/>
          <w:sz w:val="24"/>
          <w:szCs w:val="24"/>
        </w:rPr>
        <w:t xml:space="preserve">(2), 723–741. </w:t>
      </w:r>
      <w:hyperlink r:id="rId37" w:history="1">
        <w:r w:rsidRPr="00407E38">
          <w:rPr>
            <w:rStyle w:val="Hyperlink"/>
            <w:rFonts w:ascii="Times New Roman" w:eastAsiaTheme="majorEastAsia" w:hAnsi="Times New Roman"/>
            <w:sz w:val="24"/>
            <w:szCs w:val="24"/>
          </w:rPr>
          <w:t>https://doi.org/10.1007/s11069-018-3322-z</w:t>
        </w:r>
      </w:hyperlink>
    </w:p>
    <w:p w14:paraId="7AFFA1A4" w14:textId="77777777" w:rsidR="00315236" w:rsidRPr="00407E38" w:rsidRDefault="00315236" w:rsidP="00407E38">
      <w:pPr>
        <w:spacing w:after="160" w:line="360" w:lineRule="auto"/>
        <w:rPr>
          <w:rFonts w:ascii="Times New Roman" w:hAnsi="Times New Roman"/>
          <w:sz w:val="24"/>
          <w:szCs w:val="24"/>
        </w:rPr>
      </w:pPr>
    </w:p>
    <w:p w14:paraId="055D8871" w14:textId="77777777" w:rsidR="00AC49E0" w:rsidRDefault="00AC49E0" w:rsidP="005E12C2"/>
    <w:sectPr w:rsidR="00AC4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E25BB"/>
    <w:multiLevelType w:val="multilevel"/>
    <w:tmpl w:val="5DE6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D6985"/>
    <w:multiLevelType w:val="multilevel"/>
    <w:tmpl w:val="DCF65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A10CA6"/>
    <w:multiLevelType w:val="multilevel"/>
    <w:tmpl w:val="E02C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70CBE"/>
    <w:multiLevelType w:val="hybridMultilevel"/>
    <w:tmpl w:val="C12A1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6F14A02"/>
    <w:multiLevelType w:val="multilevel"/>
    <w:tmpl w:val="5DF6360E"/>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3C879C4"/>
    <w:multiLevelType w:val="multilevel"/>
    <w:tmpl w:val="2E6401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93A2FE3"/>
    <w:multiLevelType w:val="multilevel"/>
    <w:tmpl w:val="94AE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C96CD5"/>
    <w:multiLevelType w:val="multilevel"/>
    <w:tmpl w:val="D6B8E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8644138">
    <w:abstractNumId w:val="4"/>
  </w:num>
  <w:num w:numId="2" w16cid:durableId="9924908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7024822">
    <w:abstractNumId w:val="7"/>
  </w:num>
  <w:num w:numId="4" w16cid:durableId="685444703">
    <w:abstractNumId w:val="6"/>
  </w:num>
  <w:num w:numId="5" w16cid:durableId="115492003">
    <w:abstractNumId w:val="5"/>
  </w:num>
  <w:num w:numId="6" w16cid:durableId="1453555332">
    <w:abstractNumId w:val="0"/>
  </w:num>
  <w:num w:numId="7" w16cid:durableId="987784459">
    <w:abstractNumId w:val="2"/>
  </w:num>
  <w:num w:numId="8" w16cid:durableId="705106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B1"/>
    <w:rsid w:val="00004CE5"/>
    <w:rsid w:val="00005CCE"/>
    <w:rsid w:val="00076CE8"/>
    <w:rsid w:val="000B7B6F"/>
    <w:rsid w:val="00120053"/>
    <w:rsid w:val="001248D1"/>
    <w:rsid w:val="00174964"/>
    <w:rsid w:val="001A096C"/>
    <w:rsid w:val="001B382F"/>
    <w:rsid w:val="002252DF"/>
    <w:rsid w:val="0025074A"/>
    <w:rsid w:val="00257011"/>
    <w:rsid w:val="00274B3A"/>
    <w:rsid w:val="002A4DA2"/>
    <w:rsid w:val="002C1033"/>
    <w:rsid w:val="002E22C5"/>
    <w:rsid w:val="00315236"/>
    <w:rsid w:val="00383C8E"/>
    <w:rsid w:val="003A3D1F"/>
    <w:rsid w:val="003A5946"/>
    <w:rsid w:val="003A5DBC"/>
    <w:rsid w:val="003B043A"/>
    <w:rsid w:val="003C04F2"/>
    <w:rsid w:val="003D7368"/>
    <w:rsid w:val="003F29CE"/>
    <w:rsid w:val="00407E38"/>
    <w:rsid w:val="004801FE"/>
    <w:rsid w:val="00484BE6"/>
    <w:rsid w:val="004879ED"/>
    <w:rsid w:val="004B1239"/>
    <w:rsid w:val="004F74DB"/>
    <w:rsid w:val="00530BEC"/>
    <w:rsid w:val="00531A46"/>
    <w:rsid w:val="00531C5E"/>
    <w:rsid w:val="00551BDE"/>
    <w:rsid w:val="0056394F"/>
    <w:rsid w:val="005750DE"/>
    <w:rsid w:val="00582F2E"/>
    <w:rsid w:val="005D381B"/>
    <w:rsid w:val="005E12C2"/>
    <w:rsid w:val="005E1E21"/>
    <w:rsid w:val="0061744E"/>
    <w:rsid w:val="00634399"/>
    <w:rsid w:val="00637E5C"/>
    <w:rsid w:val="00641CFF"/>
    <w:rsid w:val="00692591"/>
    <w:rsid w:val="00695FFB"/>
    <w:rsid w:val="0069639F"/>
    <w:rsid w:val="006E2282"/>
    <w:rsid w:val="00701905"/>
    <w:rsid w:val="00761BB1"/>
    <w:rsid w:val="00792313"/>
    <w:rsid w:val="00796DE6"/>
    <w:rsid w:val="007A0A25"/>
    <w:rsid w:val="007A44F5"/>
    <w:rsid w:val="007A587C"/>
    <w:rsid w:val="007B077D"/>
    <w:rsid w:val="007E7809"/>
    <w:rsid w:val="007F055B"/>
    <w:rsid w:val="007F52F5"/>
    <w:rsid w:val="008672B5"/>
    <w:rsid w:val="00887B51"/>
    <w:rsid w:val="008A41AA"/>
    <w:rsid w:val="008B2636"/>
    <w:rsid w:val="008D72D5"/>
    <w:rsid w:val="008E646C"/>
    <w:rsid w:val="0096077E"/>
    <w:rsid w:val="009806C9"/>
    <w:rsid w:val="009A5469"/>
    <w:rsid w:val="009B4FC9"/>
    <w:rsid w:val="00A1084C"/>
    <w:rsid w:val="00A47536"/>
    <w:rsid w:val="00A53C6E"/>
    <w:rsid w:val="00A80E3D"/>
    <w:rsid w:val="00A86521"/>
    <w:rsid w:val="00A936A1"/>
    <w:rsid w:val="00AA5D35"/>
    <w:rsid w:val="00AB12F6"/>
    <w:rsid w:val="00AB668D"/>
    <w:rsid w:val="00AC49E0"/>
    <w:rsid w:val="00AD1FB1"/>
    <w:rsid w:val="00B34B1D"/>
    <w:rsid w:val="00B46E15"/>
    <w:rsid w:val="00B51D44"/>
    <w:rsid w:val="00B63B9F"/>
    <w:rsid w:val="00B81D2D"/>
    <w:rsid w:val="00B85E34"/>
    <w:rsid w:val="00BA567B"/>
    <w:rsid w:val="00BB1763"/>
    <w:rsid w:val="00BC68E5"/>
    <w:rsid w:val="00C06FFD"/>
    <w:rsid w:val="00C10D83"/>
    <w:rsid w:val="00C26AD5"/>
    <w:rsid w:val="00C37689"/>
    <w:rsid w:val="00C773CD"/>
    <w:rsid w:val="00CB419D"/>
    <w:rsid w:val="00CF5AFE"/>
    <w:rsid w:val="00D3479C"/>
    <w:rsid w:val="00D4114E"/>
    <w:rsid w:val="00D43C70"/>
    <w:rsid w:val="00D51DED"/>
    <w:rsid w:val="00D82684"/>
    <w:rsid w:val="00DD5AF6"/>
    <w:rsid w:val="00E2442B"/>
    <w:rsid w:val="00ED3087"/>
    <w:rsid w:val="00ED4CF1"/>
    <w:rsid w:val="00ED5B06"/>
    <w:rsid w:val="00EE0E23"/>
    <w:rsid w:val="00EE1770"/>
    <w:rsid w:val="00F200EF"/>
    <w:rsid w:val="00F4592F"/>
    <w:rsid w:val="00F751CB"/>
    <w:rsid w:val="00FD0E27"/>
    <w:rsid w:val="00FF3B8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37DEC"/>
  <w15:chartTrackingRefBased/>
  <w15:docId w15:val="{BA916B64-C8FB-4011-B26E-B1718798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FB1"/>
    <w:pPr>
      <w:spacing w:after="0" w:line="240" w:lineRule="auto"/>
    </w:pPr>
    <w:rPr>
      <w:rFonts w:ascii="Arial" w:eastAsia="Times New Roman" w:hAnsi="Arial" w:cs="Times New Roman"/>
      <w:kern w:val="0"/>
      <w:sz w:val="20"/>
      <w:szCs w:val="20"/>
      <w:lang w:val="en-GB"/>
      <w14:ligatures w14:val="none"/>
    </w:rPr>
  </w:style>
  <w:style w:type="paragraph" w:styleId="Heading1">
    <w:name w:val="heading 1"/>
    <w:basedOn w:val="Normal"/>
    <w:next w:val="Normal"/>
    <w:link w:val="Heading1Char"/>
    <w:uiPriority w:val="9"/>
    <w:qFormat/>
    <w:rsid w:val="00AD1F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1F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D1F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1F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1F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1F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F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F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F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F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D1F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D1F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1F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1F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1F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F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F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FB1"/>
    <w:rPr>
      <w:rFonts w:eastAsiaTheme="majorEastAsia" w:cstheme="majorBidi"/>
      <w:color w:val="272727" w:themeColor="text1" w:themeTint="D8"/>
    </w:rPr>
  </w:style>
  <w:style w:type="paragraph" w:styleId="Title">
    <w:name w:val="Title"/>
    <w:basedOn w:val="Normal"/>
    <w:next w:val="Normal"/>
    <w:link w:val="TitleChar"/>
    <w:uiPriority w:val="10"/>
    <w:qFormat/>
    <w:rsid w:val="00AD1F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F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F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F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FB1"/>
    <w:pPr>
      <w:spacing w:before="160"/>
      <w:jc w:val="center"/>
    </w:pPr>
    <w:rPr>
      <w:i/>
      <w:iCs/>
      <w:color w:val="404040" w:themeColor="text1" w:themeTint="BF"/>
    </w:rPr>
  </w:style>
  <w:style w:type="character" w:customStyle="1" w:styleId="QuoteChar">
    <w:name w:val="Quote Char"/>
    <w:basedOn w:val="DefaultParagraphFont"/>
    <w:link w:val="Quote"/>
    <w:uiPriority w:val="29"/>
    <w:rsid w:val="00AD1FB1"/>
    <w:rPr>
      <w:i/>
      <w:iCs/>
      <w:color w:val="404040" w:themeColor="text1" w:themeTint="BF"/>
    </w:rPr>
  </w:style>
  <w:style w:type="paragraph" w:styleId="ListParagraph">
    <w:name w:val="List Paragraph"/>
    <w:basedOn w:val="Normal"/>
    <w:uiPriority w:val="34"/>
    <w:qFormat/>
    <w:rsid w:val="00AD1FB1"/>
    <w:pPr>
      <w:ind w:left="720"/>
      <w:contextualSpacing/>
    </w:pPr>
  </w:style>
  <w:style w:type="character" w:styleId="IntenseEmphasis">
    <w:name w:val="Intense Emphasis"/>
    <w:basedOn w:val="DefaultParagraphFont"/>
    <w:uiPriority w:val="21"/>
    <w:qFormat/>
    <w:rsid w:val="00AD1FB1"/>
    <w:rPr>
      <w:i/>
      <w:iCs/>
      <w:color w:val="0F4761" w:themeColor="accent1" w:themeShade="BF"/>
    </w:rPr>
  </w:style>
  <w:style w:type="paragraph" w:styleId="IntenseQuote">
    <w:name w:val="Intense Quote"/>
    <w:basedOn w:val="Normal"/>
    <w:next w:val="Normal"/>
    <w:link w:val="IntenseQuoteChar"/>
    <w:uiPriority w:val="30"/>
    <w:qFormat/>
    <w:rsid w:val="00AD1F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1FB1"/>
    <w:rPr>
      <w:i/>
      <w:iCs/>
      <w:color w:val="0F4761" w:themeColor="accent1" w:themeShade="BF"/>
    </w:rPr>
  </w:style>
  <w:style w:type="character" w:styleId="IntenseReference">
    <w:name w:val="Intense Reference"/>
    <w:basedOn w:val="DefaultParagraphFont"/>
    <w:uiPriority w:val="32"/>
    <w:qFormat/>
    <w:rsid w:val="00AD1FB1"/>
    <w:rPr>
      <w:b/>
      <w:bCs/>
      <w:smallCaps/>
      <w:color w:val="0F4761" w:themeColor="accent1" w:themeShade="BF"/>
      <w:spacing w:val="5"/>
    </w:rPr>
  </w:style>
  <w:style w:type="paragraph" w:styleId="Caption">
    <w:name w:val="caption"/>
    <w:basedOn w:val="Normal"/>
    <w:next w:val="Normal"/>
    <w:uiPriority w:val="35"/>
    <w:unhideWhenUsed/>
    <w:qFormat/>
    <w:rsid w:val="00AD1FB1"/>
    <w:pPr>
      <w:widowControl w:val="0"/>
      <w:autoSpaceDE w:val="0"/>
      <w:autoSpaceDN w:val="0"/>
      <w:spacing w:after="200"/>
    </w:pPr>
    <w:rPr>
      <w:rFonts w:ascii="Garamond" w:eastAsia="Garamond" w:hAnsi="Garamond" w:cs="Garamond"/>
      <w:i/>
      <w:iCs/>
      <w:color w:val="0E2841" w:themeColor="text2"/>
      <w:sz w:val="18"/>
      <w:szCs w:val="18"/>
      <w:lang w:val="en-US"/>
    </w:rPr>
  </w:style>
  <w:style w:type="table" w:customStyle="1" w:styleId="PlainTable31">
    <w:name w:val="Plain Table 31"/>
    <w:basedOn w:val="TableNormal"/>
    <w:next w:val="PlainTable3"/>
    <w:uiPriority w:val="43"/>
    <w:rsid w:val="00AD1FB1"/>
    <w:pPr>
      <w:spacing w:after="0" w:line="240" w:lineRule="auto"/>
    </w:pPr>
    <w:rPr>
      <w:rFonts w:ascii="Aptos" w:eastAsia="Aptos" w:hAnsi="Aptos"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3">
    <w:name w:val="Plain Table 3"/>
    <w:basedOn w:val="TableNormal"/>
    <w:uiPriority w:val="43"/>
    <w:rsid w:val="00AD1FB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AD1FB1"/>
    <w:pPr>
      <w:spacing w:after="0" w:line="240" w:lineRule="auto"/>
    </w:pPr>
    <w:rPr>
      <w:rFonts w:ascii="Aptos" w:eastAsia="Aptos" w:hAnsi="Aptos"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AD1FB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next w:val="PlainTable1"/>
    <w:uiPriority w:val="41"/>
    <w:rsid w:val="00AD1FB1"/>
    <w:pPr>
      <w:spacing w:after="0" w:line="240" w:lineRule="auto"/>
    </w:pPr>
    <w:rPr>
      <w:rFonts w:ascii="Aptos" w:eastAsia="Aptos" w:hAnsi="Aptos"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AD1F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D3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1033"/>
    <w:rPr>
      <w:color w:val="467886" w:themeColor="hyperlink"/>
      <w:u w:val="single"/>
    </w:rPr>
  </w:style>
  <w:style w:type="character" w:styleId="UnresolvedMention">
    <w:name w:val="Unresolved Mention"/>
    <w:basedOn w:val="DefaultParagraphFont"/>
    <w:uiPriority w:val="99"/>
    <w:semiHidden/>
    <w:unhideWhenUsed/>
    <w:rsid w:val="002C1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400">
      <w:bodyDiv w:val="1"/>
      <w:marLeft w:val="0"/>
      <w:marRight w:val="0"/>
      <w:marTop w:val="0"/>
      <w:marBottom w:val="0"/>
      <w:divBdr>
        <w:top w:val="none" w:sz="0" w:space="0" w:color="auto"/>
        <w:left w:val="none" w:sz="0" w:space="0" w:color="auto"/>
        <w:bottom w:val="none" w:sz="0" w:space="0" w:color="auto"/>
        <w:right w:val="none" w:sz="0" w:space="0" w:color="auto"/>
      </w:divBdr>
    </w:div>
    <w:div w:id="155851122">
      <w:bodyDiv w:val="1"/>
      <w:marLeft w:val="0"/>
      <w:marRight w:val="0"/>
      <w:marTop w:val="0"/>
      <w:marBottom w:val="0"/>
      <w:divBdr>
        <w:top w:val="none" w:sz="0" w:space="0" w:color="auto"/>
        <w:left w:val="none" w:sz="0" w:space="0" w:color="auto"/>
        <w:bottom w:val="none" w:sz="0" w:space="0" w:color="auto"/>
        <w:right w:val="none" w:sz="0" w:space="0" w:color="auto"/>
      </w:divBdr>
    </w:div>
    <w:div w:id="177165286">
      <w:bodyDiv w:val="1"/>
      <w:marLeft w:val="0"/>
      <w:marRight w:val="0"/>
      <w:marTop w:val="0"/>
      <w:marBottom w:val="0"/>
      <w:divBdr>
        <w:top w:val="none" w:sz="0" w:space="0" w:color="auto"/>
        <w:left w:val="none" w:sz="0" w:space="0" w:color="auto"/>
        <w:bottom w:val="none" w:sz="0" w:space="0" w:color="auto"/>
        <w:right w:val="none" w:sz="0" w:space="0" w:color="auto"/>
      </w:divBdr>
    </w:div>
    <w:div w:id="231353757">
      <w:bodyDiv w:val="1"/>
      <w:marLeft w:val="0"/>
      <w:marRight w:val="0"/>
      <w:marTop w:val="0"/>
      <w:marBottom w:val="0"/>
      <w:divBdr>
        <w:top w:val="none" w:sz="0" w:space="0" w:color="auto"/>
        <w:left w:val="none" w:sz="0" w:space="0" w:color="auto"/>
        <w:bottom w:val="none" w:sz="0" w:space="0" w:color="auto"/>
        <w:right w:val="none" w:sz="0" w:space="0" w:color="auto"/>
      </w:divBdr>
    </w:div>
    <w:div w:id="236482761">
      <w:bodyDiv w:val="1"/>
      <w:marLeft w:val="0"/>
      <w:marRight w:val="0"/>
      <w:marTop w:val="0"/>
      <w:marBottom w:val="0"/>
      <w:divBdr>
        <w:top w:val="none" w:sz="0" w:space="0" w:color="auto"/>
        <w:left w:val="none" w:sz="0" w:space="0" w:color="auto"/>
        <w:bottom w:val="none" w:sz="0" w:space="0" w:color="auto"/>
        <w:right w:val="none" w:sz="0" w:space="0" w:color="auto"/>
      </w:divBdr>
    </w:div>
    <w:div w:id="264582551">
      <w:bodyDiv w:val="1"/>
      <w:marLeft w:val="0"/>
      <w:marRight w:val="0"/>
      <w:marTop w:val="0"/>
      <w:marBottom w:val="0"/>
      <w:divBdr>
        <w:top w:val="none" w:sz="0" w:space="0" w:color="auto"/>
        <w:left w:val="none" w:sz="0" w:space="0" w:color="auto"/>
        <w:bottom w:val="none" w:sz="0" w:space="0" w:color="auto"/>
        <w:right w:val="none" w:sz="0" w:space="0" w:color="auto"/>
      </w:divBdr>
    </w:div>
    <w:div w:id="317077797">
      <w:bodyDiv w:val="1"/>
      <w:marLeft w:val="0"/>
      <w:marRight w:val="0"/>
      <w:marTop w:val="0"/>
      <w:marBottom w:val="0"/>
      <w:divBdr>
        <w:top w:val="none" w:sz="0" w:space="0" w:color="auto"/>
        <w:left w:val="none" w:sz="0" w:space="0" w:color="auto"/>
        <w:bottom w:val="none" w:sz="0" w:space="0" w:color="auto"/>
        <w:right w:val="none" w:sz="0" w:space="0" w:color="auto"/>
      </w:divBdr>
    </w:div>
    <w:div w:id="331492657">
      <w:bodyDiv w:val="1"/>
      <w:marLeft w:val="0"/>
      <w:marRight w:val="0"/>
      <w:marTop w:val="0"/>
      <w:marBottom w:val="0"/>
      <w:divBdr>
        <w:top w:val="none" w:sz="0" w:space="0" w:color="auto"/>
        <w:left w:val="none" w:sz="0" w:space="0" w:color="auto"/>
        <w:bottom w:val="none" w:sz="0" w:space="0" w:color="auto"/>
        <w:right w:val="none" w:sz="0" w:space="0" w:color="auto"/>
      </w:divBdr>
    </w:div>
    <w:div w:id="396323853">
      <w:bodyDiv w:val="1"/>
      <w:marLeft w:val="0"/>
      <w:marRight w:val="0"/>
      <w:marTop w:val="0"/>
      <w:marBottom w:val="0"/>
      <w:divBdr>
        <w:top w:val="none" w:sz="0" w:space="0" w:color="auto"/>
        <w:left w:val="none" w:sz="0" w:space="0" w:color="auto"/>
        <w:bottom w:val="none" w:sz="0" w:space="0" w:color="auto"/>
        <w:right w:val="none" w:sz="0" w:space="0" w:color="auto"/>
      </w:divBdr>
    </w:div>
    <w:div w:id="450514247">
      <w:bodyDiv w:val="1"/>
      <w:marLeft w:val="0"/>
      <w:marRight w:val="0"/>
      <w:marTop w:val="0"/>
      <w:marBottom w:val="0"/>
      <w:divBdr>
        <w:top w:val="none" w:sz="0" w:space="0" w:color="auto"/>
        <w:left w:val="none" w:sz="0" w:space="0" w:color="auto"/>
        <w:bottom w:val="none" w:sz="0" w:space="0" w:color="auto"/>
        <w:right w:val="none" w:sz="0" w:space="0" w:color="auto"/>
      </w:divBdr>
    </w:div>
    <w:div w:id="720833475">
      <w:bodyDiv w:val="1"/>
      <w:marLeft w:val="0"/>
      <w:marRight w:val="0"/>
      <w:marTop w:val="0"/>
      <w:marBottom w:val="0"/>
      <w:divBdr>
        <w:top w:val="none" w:sz="0" w:space="0" w:color="auto"/>
        <w:left w:val="none" w:sz="0" w:space="0" w:color="auto"/>
        <w:bottom w:val="none" w:sz="0" w:space="0" w:color="auto"/>
        <w:right w:val="none" w:sz="0" w:space="0" w:color="auto"/>
      </w:divBdr>
    </w:div>
    <w:div w:id="880627953">
      <w:bodyDiv w:val="1"/>
      <w:marLeft w:val="0"/>
      <w:marRight w:val="0"/>
      <w:marTop w:val="0"/>
      <w:marBottom w:val="0"/>
      <w:divBdr>
        <w:top w:val="none" w:sz="0" w:space="0" w:color="auto"/>
        <w:left w:val="none" w:sz="0" w:space="0" w:color="auto"/>
        <w:bottom w:val="none" w:sz="0" w:space="0" w:color="auto"/>
        <w:right w:val="none" w:sz="0" w:space="0" w:color="auto"/>
      </w:divBdr>
    </w:div>
    <w:div w:id="1293823484">
      <w:bodyDiv w:val="1"/>
      <w:marLeft w:val="0"/>
      <w:marRight w:val="0"/>
      <w:marTop w:val="0"/>
      <w:marBottom w:val="0"/>
      <w:divBdr>
        <w:top w:val="none" w:sz="0" w:space="0" w:color="auto"/>
        <w:left w:val="none" w:sz="0" w:space="0" w:color="auto"/>
        <w:bottom w:val="none" w:sz="0" w:space="0" w:color="auto"/>
        <w:right w:val="none" w:sz="0" w:space="0" w:color="auto"/>
      </w:divBdr>
    </w:div>
    <w:div w:id="1298923617">
      <w:bodyDiv w:val="1"/>
      <w:marLeft w:val="0"/>
      <w:marRight w:val="0"/>
      <w:marTop w:val="0"/>
      <w:marBottom w:val="0"/>
      <w:divBdr>
        <w:top w:val="none" w:sz="0" w:space="0" w:color="auto"/>
        <w:left w:val="none" w:sz="0" w:space="0" w:color="auto"/>
        <w:bottom w:val="none" w:sz="0" w:space="0" w:color="auto"/>
        <w:right w:val="none" w:sz="0" w:space="0" w:color="auto"/>
      </w:divBdr>
    </w:div>
    <w:div w:id="1375883726">
      <w:bodyDiv w:val="1"/>
      <w:marLeft w:val="0"/>
      <w:marRight w:val="0"/>
      <w:marTop w:val="0"/>
      <w:marBottom w:val="0"/>
      <w:divBdr>
        <w:top w:val="none" w:sz="0" w:space="0" w:color="auto"/>
        <w:left w:val="none" w:sz="0" w:space="0" w:color="auto"/>
        <w:bottom w:val="none" w:sz="0" w:space="0" w:color="auto"/>
        <w:right w:val="none" w:sz="0" w:space="0" w:color="auto"/>
      </w:divBdr>
    </w:div>
    <w:div w:id="1490437043">
      <w:bodyDiv w:val="1"/>
      <w:marLeft w:val="0"/>
      <w:marRight w:val="0"/>
      <w:marTop w:val="0"/>
      <w:marBottom w:val="0"/>
      <w:divBdr>
        <w:top w:val="none" w:sz="0" w:space="0" w:color="auto"/>
        <w:left w:val="none" w:sz="0" w:space="0" w:color="auto"/>
        <w:bottom w:val="none" w:sz="0" w:space="0" w:color="auto"/>
        <w:right w:val="none" w:sz="0" w:space="0" w:color="auto"/>
      </w:divBdr>
    </w:div>
    <w:div w:id="1606615529">
      <w:bodyDiv w:val="1"/>
      <w:marLeft w:val="0"/>
      <w:marRight w:val="0"/>
      <w:marTop w:val="0"/>
      <w:marBottom w:val="0"/>
      <w:divBdr>
        <w:top w:val="none" w:sz="0" w:space="0" w:color="auto"/>
        <w:left w:val="none" w:sz="0" w:space="0" w:color="auto"/>
        <w:bottom w:val="none" w:sz="0" w:space="0" w:color="auto"/>
        <w:right w:val="none" w:sz="0" w:space="0" w:color="auto"/>
      </w:divBdr>
    </w:div>
    <w:div w:id="1814906248">
      <w:bodyDiv w:val="1"/>
      <w:marLeft w:val="0"/>
      <w:marRight w:val="0"/>
      <w:marTop w:val="0"/>
      <w:marBottom w:val="0"/>
      <w:divBdr>
        <w:top w:val="none" w:sz="0" w:space="0" w:color="auto"/>
        <w:left w:val="none" w:sz="0" w:space="0" w:color="auto"/>
        <w:bottom w:val="none" w:sz="0" w:space="0" w:color="auto"/>
        <w:right w:val="none" w:sz="0" w:space="0" w:color="auto"/>
      </w:divBdr>
    </w:div>
    <w:div w:id="1920022582">
      <w:bodyDiv w:val="1"/>
      <w:marLeft w:val="0"/>
      <w:marRight w:val="0"/>
      <w:marTop w:val="0"/>
      <w:marBottom w:val="0"/>
      <w:divBdr>
        <w:top w:val="none" w:sz="0" w:space="0" w:color="auto"/>
        <w:left w:val="none" w:sz="0" w:space="0" w:color="auto"/>
        <w:bottom w:val="none" w:sz="0" w:space="0" w:color="auto"/>
        <w:right w:val="none" w:sz="0" w:space="0" w:color="auto"/>
      </w:divBdr>
    </w:div>
    <w:div w:id="1921482077">
      <w:bodyDiv w:val="1"/>
      <w:marLeft w:val="0"/>
      <w:marRight w:val="0"/>
      <w:marTop w:val="0"/>
      <w:marBottom w:val="0"/>
      <w:divBdr>
        <w:top w:val="none" w:sz="0" w:space="0" w:color="auto"/>
        <w:left w:val="none" w:sz="0" w:space="0" w:color="auto"/>
        <w:bottom w:val="none" w:sz="0" w:space="0" w:color="auto"/>
        <w:right w:val="none" w:sz="0" w:space="0" w:color="auto"/>
      </w:divBdr>
    </w:div>
    <w:div w:id="2083140717">
      <w:bodyDiv w:val="1"/>
      <w:marLeft w:val="0"/>
      <w:marRight w:val="0"/>
      <w:marTop w:val="0"/>
      <w:marBottom w:val="0"/>
      <w:divBdr>
        <w:top w:val="none" w:sz="0" w:space="0" w:color="auto"/>
        <w:left w:val="none" w:sz="0" w:space="0" w:color="auto"/>
        <w:bottom w:val="none" w:sz="0" w:space="0" w:color="auto"/>
        <w:right w:val="none" w:sz="0" w:space="0" w:color="auto"/>
      </w:divBdr>
    </w:div>
    <w:div w:id="21305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risa.12099" TargetMode="External"/><Relationship Id="rId18" Type="http://schemas.openxmlformats.org/officeDocument/2006/relationships/hyperlink" Target="https://doi.org/10.1007/s11166-006-0173-z" TargetMode="External"/><Relationship Id="rId26" Type="http://schemas.openxmlformats.org/officeDocument/2006/relationships/hyperlink" Target="https://doi.org/10.1016/j.ijdrr.2013.07.001" TargetMode="External"/><Relationship Id="rId39" Type="http://schemas.openxmlformats.org/officeDocument/2006/relationships/theme" Target="theme/theme1.xml"/><Relationship Id="rId21" Type="http://schemas.openxmlformats.org/officeDocument/2006/relationships/hyperlink" Target="https://doi.org/10.1111/rode.12797" TargetMode="External"/><Relationship Id="rId34" Type="http://schemas.openxmlformats.org/officeDocument/2006/relationships/hyperlink" Target="https://doi.org/10.1016/j.jfe.2011.01.003" TargetMode="External"/><Relationship Id="rId7" Type="http://schemas.openxmlformats.org/officeDocument/2006/relationships/image" Target="media/image3.emf"/><Relationship Id="rId12" Type="http://schemas.openxmlformats.org/officeDocument/2006/relationships/hyperlink" Target="https://doi.org/10.1080/09640568.2016.1162706" TargetMode="External"/><Relationship Id="rId17" Type="http://schemas.openxmlformats.org/officeDocument/2006/relationships/hyperlink" Target="https://www.ipcc.ch/report/ar6/wg1/" TargetMode="External"/><Relationship Id="rId25" Type="http://schemas.openxmlformats.org/officeDocument/2006/relationships/hyperlink" Target="https://doi.org/10.1007/s10018-017-0193-2" TargetMode="External"/><Relationship Id="rId33" Type="http://schemas.openxmlformats.org/officeDocument/2006/relationships/hyperlink" Target="https://www.undrr.org/publication/sendai-framework-disaster-risk-reduction-2015-203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11/agec.12331" TargetMode="External"/><Relationship Id="rId20" Type="http://schemas.openxmlformats.org/officeDocument/2006/relationships/hyperlink" Target="https://doi.org/10.1016/0022-1031(83)90023-9" TargetMode="External"/><Relationship Id="rId29" Type="http://schemas.openxmlformats.org/officeDocument/2006/relationships/hyperlink" Target="https://doi.org/10.1016/0148-2963(89)90006-9"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doi.org/10.1016/j.jebo.2012.01.005" TargetMode="External"/><Relationship Id="rId24" Type="http://schemas.openxmlformats.org/officeDocument/2006/relationships/hyperlink" Target="https://doi.org/10.4102/sajems.v23i1.3057" TargetMode="External"/><Relationship Id="rId32" Type="http://schemas.openxmlformats.org/officeDocument/2006/relationships/hyperlink" Target="https://www.undrr.org/" TargetMode="External"/><Relationship Id="rId37" Type="http://schemas.openxmlformats.org/officeDocument/2006/relationships/hyperlink" Target="https://doi.org/10.1007/s11069-018-3322-z" TargetMode="External"/><Relationship Id="rId5" Type="http://schemas.openxmlformats.org/officeDocument/2006/relationships/image" Target="media/image1.png"/><Relationship Id="rId15" Type="http://schemas.openxmlformats.org/officeDocument/2006/relationships/hyperlink" Target="https://doi.org/10.1007/s11069-005-8604-6" TargetMode="External"/><Relationship Id="rId23" Type="http://schemas.openxmlformats.org/officeDocument/2006/relationships/hyperlink" Target="https://doi.org/10.1126/science.1202616" TargetMode="External"/><Relationship Id="rId28" Type="http://schemas.openxmlformats.org/officeDocument/2006/relationships/hyperlink" Target="https://doi.org/10.1111/j.1539-6924.2012.01839.x" TargetMode="External"/><Relationship Id="rId36" Type="http://schemas.openxmlformats.org/officeDocument/2006/relationships/hyperlink" Target="https://doi.org/10.1057/s41288-018-0097-8" TargetMode="External"/><Relationship Id="rId10" Type="http://schemas.openxmlformats.org/officeDocument/2006/relationships/hyperlink" Target="https://doi.org/10.1111/j.1467-7717.2010.01158.x" TargetMode="External"/><Relationship Id="rId19" Type="http://schemas.openxmlformats.org/officeDocument/2006/relationships/hyperlink" Target="https://doi.org/10.1257/app.20160401" TargetMode="External"/><Relationship Id="rId31" Type="http://schemas.openxmlformats.org/officeDocument/2006/relationships/hyperlink" Target="https://doi.org/10.1007/BF00122574" TargetMode="Externa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hyperlink" Target="https://doi.org/10.1016/j.jebo.2012.12.023" TargetMode="External"/><Relationship Id="rId22" Type="http://schemas.openxmlformats.org/officeDocument/2006/relationships/hyperlink" Target="https://doi.org/10.1093/heapol/czn047" TargetMode="External"/><Relationship Id="rId27" Type="http://schemas.openxmlformats.org/officeDocument/2006/relationships/hyperlink" Target="https://doi.org/10.1080/00223980.1975.9915803" TargetMode="External"/><Relationship Id="rId30" Type="http://schemas.openxmlformats.org/officeDocument/2006/relationships/hyperlink" Target="https://doi.org/10.1002/hec.3833" TargetMode="External"/><Relationship Id="rId35" Type="http://schemas.openxmlformats.org/officeDocument/2006/relationships/hyperlink" Target="https://doi.org/10.1016/j.worlddev.2017.10.019" TargetMode="External"/><Relationship Id="rId8" Type="http://schemas.openxmlformats.org/officeDocument/2006/relationships/image" Target="media/image4.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163</TotalTime>
  <Pages>29</Pages>
  <Words>13712</Words>
  <Characters>78163</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Mushonga, Farai, (Mr) (s224617206)</dc:creator>
  <cp:keywords/>
  <dc:description/>
  <cp:lastModifiedBy>Mushonga, Farai, (Mr) (s224617206)</cp:lastModifiedBy>
  <cp:revision>13</cp:revision>
  <dcterms:created xsi:type="dcterms:W3CDTF">2025-06-07T15:24:00Z</dcterms:created>
  <dcterms:modified xsi:type="dcterms:W3CDTF">2025-06-13T11:28:00Z</dcterms:modified>
</cp:coreProperties>
</file>