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2EE" w:rsidRPr="006E4BF4" w:rsidRDefault="002762EE" w:rsidP="00363161">
      <w:pPr>
        <w:spacing w:line="360" w:lineRule="auto"/>
        <w:jc w:val="center"/>
        <w:rPr>
          <w:b/>
        </w:rPr>
      </w:pPr>
      <w:r w:rsidRPr="006E4BF4">
        <w:rPr>
          <w:b/>
        </w:rPr>
        <w:t xml:space="preserve">Does financial inclusion influence the </w:t>
      </w:r>
      <w:r w:rsidR="00363161">
        <w:rPr>
          <w:b/>
        </w:rPr>
        <w:t>productivity of micro, small, and medium enterprises</w:t>
      </w:r>
      <w:r w:rsidRPr="006E4BF4">
        <w:rPr>
          <w:b/>
        </w:rPr>
        <w:t xml:space="preserve"> in Malawi?</w:t>
      </w:r>
    </w:p>
    <w:p w:rsidR="00C41BD9" w:rsidRDefault="00C41BD9" w:rsidP="00593E42">
      <w:pPr>
        <w:spacing w:line="360" w:lineRule="auto"/>
        <w:jc w:val="center"/>
      </w:pPr>
    </w:p>
    <w:p w:rsidR="002762EE" w:rsidRDefault="002762EE" w:rsidP="008D6C93">
      <w:pPr>
        <w:rPr>
          <w:b/>
        </w:rPr>
      </w:pPr>
    </w:p>
    <w:p w:rsidR="008D6C93" w:rsidRPr="00D86D34" w:rsidRDefault="008D6C93" w:rsidP="004562C9">
      <w:pPr>
        <w:spacing w:before="240" w:line="360" w:lineRule="auto"/>
        <w:rPr>
          <w:b/>
        </w:rPr>
      </w:pPr>
      <w:r w:rsidRPr="00D86D34">
        <w:rPr>
          <w:b/>
        </w:rPr>
        <w:t>A</w:t>
      </w:r>
      <w:r w:rsidR="00767D12">
        <w:rPr>
          <w:b/>
        </w:rPr>
        <w:t>bstract</w:t>
      </w:r>
    </w:p>
    <w:p w:rsidR="00B32EA2" w:rsidRPr="00FC1483" w:rsidRDefault="00E57B01" w:rsidP="004562C9">
      <w:pPr>
        <w:spacing w:before="240" w:line="360" w:lineRule="auto"/>
        <w:jc w:val="both"/>
      </w:pPr>
      <w:r>
        <w:t xml:space="preserve">Financial inclusion fosters inclusive economic development and enterprise growth. However, research on financial inclusion and firm productivity in developing countries remains limited. Therefore, this study aims to determine how access to and use of savings, credit, and insurance services impact the profit efficiency levels of micro, small, and medium enterprises (MSMEs). Specifically, it evaluates how financial inclusion among MSMEs in Malawi affects their profit efficiency. This study examines various aspects of financial inclusion, including access to and use of savings, credit, insurance, and banking services, and how they influence the profit efficiency levels of MSMEs. The research utilizes data from the 2019 Malawi MSME Survey by FinScope on financial inclusion, which employed a </w:t>
      </w:r>
      <w:r w:rsidR="005705FD">
        <w:t>multi-stage sampling technique targeting 2,992</w:t>
      </w:r>
      <w:r>
        <w:t xml:space="preserve"> MSMEs as respondents. An Endogenous Switching Regression (ESR) model was employed, allowing for the joint estimation of financial inclusion selection and its impact on profit efficiency. The study reveals that financial inclusion significantly affects the profit efficiency of MSMEs in Malawi. In particular, the overall uptake of financial services, credit access, and savings </w:t>
      </w:r>
      <w:r w:rsidR="005705FD">
        <w:t>corresponds</w:t>
      </w:r>
      <w:r>
        <w:t xml:space="preserve"> to 23. 9%, 26.7. 7%, and 24.6. 6% of profit efficiency, respectively. Government support, business registration, available infrastructure, and prior business experience further enhance this effect, indicating that financial inclusion complements factors contributing to enterprise profit efficiency. Based on these findings, the government is urged to adopt a comprehensive strategy to expand financial inclusion. This includes making affordable financial services accessible to the public, formally establishing and promoting MSME institutions like </w:t>
      </w:r>
      <w:r w:rsidR="005705FD">
        <w:t>the Small and Medium Enterprise Development Institute</w:t>
      </w:r>
      <w:r w:rsidR="00683E51">
        <w:t xml:space="preserve"> (</w:t>
      </w:r>
      <w:r>
        <w:t>SMED</w:t>
      </w:r>
      <w:r w:rsidR="00683E51">
        <w:t>I)</w:t>
      </w:r>
      <w:r>
        <w:t xml:space="preserve">, and improving basic infrastructure such as digital services and water access. Streamlining business registration and providing incentives for financial </w:t>
      </w:r>
      <w:r w:rsidR="005705FD">
        <w:t>record-keeping</w:t>
      </w:r>
      <w:r>
        <w:t xml:space="preserve"> can also facilitate greater access to formal financing. These strategies </w:t>
      </w:r>
      <w:r w:rsidR="005705FD">
        <w:t>will likely</w:t>
      </w:r>
      <w:bookmarkStart w:id="0" w:name="_GoBack"/>
      <w:bookmarkEnd w:id="0"/>
      <w:r>
        <w:t xml:space="preserve"> boost financial inclusion, enhance profitability, and promote firm growth.</w:t>
      </w:r>
    </w:p>
    <w:p w:rsidR="002762EE" w:rsidRDefault="008D6C93" w:rsidP="004562C9">
      <w:pPr>
        <w:spacing w:before="240" w:after="240" w:line="360" w:lineRule="auto"/>
        <w:rPr>
          <w:b/>
        </w:rPr>
        <w:sectPr w:rsidR="002762EE">
          <w:footerReference w:type="default" r:id="rId8"/>
          <w:pgSz w:w="12240" w:h="15840"/>
          <w:pgMar w:top="1440" w:right="1440" w:bottom="1440" w:left="1440" w:header="708" w:footer="708" w:gutter="0"/>
          <w:cols w:space="708"/>
          <w:docGrid w:linePitch="360"/>
        </w:sectPr>
      </w:pPr>
      <w:r>
        <w:rPr>
          <w:b/>
        </w:rPr>
        <w:t xml:space="preserve">Key Words: </w:t>
      </w:r>
      <w:r w:rsidR="00263ABB" w:rsidRPr="00263ABB">
        <w:t xml:space="preserve">Financial inclusion, </w:t>
      </w:r>
      <w:r w:rsidR="00B32EA2">
        <w:t xml:space="preserve">productivity, </w:t>
      </w:r>
      <w:r w:rsidR="00263ABB" w:rsidRPr="00263ABB">
        <w:t>profit efficiency</w:t>
      </w:r>
      <w:r w:rsidR="00263ABB">
        <w:t xml:space="preserve">, </w:t>
      </w:r>
      <w:r w:rsidR="00924B75">
        <w:rPr>
          <w:b/>
        </w:rPr>
        <w:t xml:space="preserve"> </w:t>
      </w:r>
      <w:r w:rsidR="00924B75" w:rsidRPr="00924B75">
        <w:t>MSME</w:t>
      </w:r>
    </w:p>
    <w:p w:rsidR="00676474" w:rsidRPr="006371AF" w:rsidRDefault="001460A6" w:rsidP="006371AF">
      <w:pPr>
        <w:spacing w:before="240" w:after="240" w:line="360" w:lineRule="auto"/>
        <w:rPr>
          <w:b/>
        </w:rPr>
      </w:pPr>
      <w:r w:rsidRPr="006371AF">
        <w:rPr>
          <w:b/>
        </w:rPr>
        <w:lastRenderedPageBreak/>
        <w:t>1.0</w:t>
      </w:r>
      <w:r w:rsidRPr="006371AF">
        <w:rPr>
          <w:b/>
        </w:rPr>
        <w:tab/>
      </w:r>
      <w:r w:rsidR="00676474" w:rsidRPr="006371AF">
        <w:rPr>
          <w:b/>
        </w:rPr>
        <w:t>Introduction</w:t>
      </w:r>
    </w:p>
    <w:p w:rsidR="002452B5" w:rsidRPr="006371AF" w:rsidRDefault="00EF7ADB" w:rsidP="006371AF">
      <w:pPr>
        <w:spacing w:before="240" w:line="360" w:lineRule="auto"/>
        <w:jc w:val="both"/>
      </w:pPr>
      <w:r>
        <w:t xml:space="preserve">Financial inclusion fosters economic growth and reduces poverty (Demirgüç-Kunt et al., 2018). Research shows enhanced financial access addresses multiple developmental goals (Demirgüç-Kunt et al., 2020). These goals include poverty alleviation, equitable income distribution (Demir et al., 2020), and improved welfare outcomes such as nutrition, healthcare, and education (Kabakova &amp; Plaksenkov, 2018). Additionally, it contributes to economic prosperity and supports </w:t>
      </w:r>
      <w:r w:rsidR="000A6EFE">
        <w:t>achieving</w:t>
      </w:r>
      <w:r>
        <w:t xml:space="preserve"> sustainability objectives (Adegbite &amp; Machethe, 2020; Chibba, 2009; Pradhan et al., 2021). However, in many countries, particularly in rural or remote areas, poor, marginalized, and vulnerable groups face barriers to formal financial services (Koomson et al., 2020). The formal financial services available to micro, small, and medium-sized enterprises (MSMEs) remain underutilized, leading to substantial financial challenges for these businesses (World Bank, 2022). This research will explore how financial inclusion impacts the productivity of MSMEs in Malawi, focusing on credit, savings, and insurance services. A disparity in access to formal financial services persists despite the growing presence of mobile money: only 54% of MSMEs engage with formal financial services, 47% have bank accounts, and fewer than 40% access official credit in Malawi (SIVIO Institute, 2024; Reserve Bank of Malawi, 2023). This analysis supports policies that promote inclusive financial enterprise development and growth.</w:t>
      </w:r>
    </w:p>
    <w:p w:rsidR="00C23FC6" w:rsidRPr="006371AF" w:rsidRDefault="006371AF" w:rsidP="006371AF">
      <w:pPr>
        <w:spacing w:before="240" w:line="360" w:lineRule="auto"/>
        <w:jc w:val="both"/>
      </w:pPr>
      <w:r w:rsidRPr="006371AF">
        <w:t xml:space="preserve">Increasing literature suggests that financial services can enhance the productivity and growth of MSMEs (Kuada, 2022; Sanga &amp; Aziakpono, 2022). Despite a few exceptions, scholarly research on financial inclusion and MSME productivity in developing countries remains limited. Most studies concentrate on advanced nations (Xia, Mourtzis, and Dong, 2022). </w:t>
      </w:r>
      <w:r w:rsidR="0090289B">
        <w:t>The importance of MSMEs in developing countries</w:t>
      </w:r>
      <w:r w:rsidRPr="006371AF">
        <w:t xml:space="preserve"> creates a significant gap. Furthermore, most empirical studies focus on general productivity indicators such as sales growth, business longevity, or employment (Ayyagari et al., 2011; McKenzie &amp; Woodruff, 2014), while largely overlooking profit efficiency, a strong measure of productivity that considers input optimization alongside output maximization. Profit efficiency assesses how effectively an enterprise generates profits by considering market prices, technology, and available inputs (Farrell, 1957; Kumbhakar &amp; Lovell, 2000). This is vital for MSMEs in developing economies, where structural resource and market imperfections lead to inefficient resource pricing and allocation behavior (Coelli et al., 2005; Duygun et al., 2013). Moreover, profit efficiency further accounts for variations in production processes among firms, </w:t>
      </w:r>
      <w:r w:rsidRPr="006371AF">
        <w:lastRenderedPageBreak/>
        <w:t xml:space="preserve">addressing the diverse operational realities of MSMEs in Malawi (Brümmer &amp; Loy, 2000). Unlike traditional performance indicators </w:t>
      </w:r>
      <w:r w:rsidR="00EF7ADB">
        <w:t>emphasizing</w:t>
      </w:r>
      <w:r w:rsidRPr="006371AF">
        <w:t xml:space="preserve"> output, profit efficiency includes costs and revenues, reflecting minimization and maximization, respectively (Lensink et al., 2008; Rahman et al., 2020).</w:t>
      </w:r>
    </w:p>
    <w:p w:rsidR="00636041" w:rsidRPr="006371AF" w:rsidRDefault="006371AF" w:rsidP="006371AF">
      <w:pPr>
        <w:spacing w:before="240" w:line="360" w:lineRule="auto"/>
        <w:jc w:val="both"/>
      </w:pPr>
      <w:r w:rsidRPr="006371AF">
        <w:t>Furthermore, while several studies find that access to finance benefits a nation economically and promotes poverty reduction within that country’s borders, many of these papers appear to have identification issues and fail to establish a causal link between finance and economic outcomes (Honohan, 2004; Beck et al., 2007; and Demirguc-Kunt et al 2008). The studies heavily rely on correlational methods</w:t>
      </w:r>
      <w:r w:rsidR="00EF7ADB">
        <w:t xml:space="preserve">, such as OLS, probit, and logit models, </w:t>
      </w:r>
      <w:r w:rsidRPr="006371AF">
        <w:t xml:space="preserve">along with matching techniques like propensity score matching, which do not adequately address endogeneity (Cull et al., 2014). This endogeneity includes unobservable firm attributes, such as managerial skill or innovation, that can influence financial access and productivity (Banerjee &amp; Duflo, 2014). To address these gaps, this study will employ an endogenous switching regression (ESR) model to correct selection bias and capture the diverse effects of financial services on firm productivity, using profit efficiency as a proxy indicator. </w:t>
      </w:r>
    </w:p>
    <w:p w:rsidR="00C928D0" w:rsidRPr="006371AF" w:rsidRDefault="00C928D0" w:rsidP="006371AF">
      <w:pPr>
        <w:spacing w:before="240" w:after="240" w:line="360" w:lineRule="auto"/>
        <w:rPr>
          <w:b/>
        </w:rPr>
      </w:pPr>
      <w:r w:rsidRPr="006371AF">
        <w:rPr>
          <w:b/>
        </w:rPr>
        <w:t>2.0</w:t>
      </w:r>
      <w:r w:rsidRPr="006371AF">
        <w:rPr>
          <w:b/>
        </w:rPr>
        <w:tab/>
        <w:t>Literature review</w:t>
      </w:r>
    </w:p>
    <w:p w:rsidR="00C928D0" w:rsidRPr="006371AF" w:rsidRDefault="006E78FF" w:rsidP="006371AF">
      <w:pPr>
        <w:spacing w:before="240" w:line="360" w:lineRule="auto"/>
        <w:jc w:val="both"/>
      </w:pPr>
      <w:r w:rsidRPr="006371AF">
        <w:rPr>
          <w:color w:val="000000" w:themeColor="text1"/>
        </w:rPr>
        <w:t>Demirgüç-Kunt et al. (2018) characterize financial inclusion as encompassing all aspects of credit, savings, insurance, and payment systems. Beck et al. (2007) note that financial inclusion influences business capital, liquidity, and risk management. Profit efficiency, which integrates technical and allocative efficiency, evaluates a firm's ability to maximize profits relative to its costs and the market prices of its products (Farrell, 1957; Kumbhakar et al., 2015). Regarding profit efficiency, financial inclusion enhances businesses’ protective strategies, facilitating effective resource allocation, adopting supportive technologies, and fostering greater resilience against financial shocks. Literature emphasizes the importance of finance in improving a firm’s performance. Beck and Demirgüç-Kunt (2006) observed that financial infrastructure strengthens business activity and economic diversification. Ayyagari et al. (2011) analyzed data from over 100 countries and indicated that access to credit supports job creation and business growth, particularly for MSMEs. Numerous studies have explored the effects of financial inclusion on various outcomes, such as firm performance (</w:t>
      </w:r>
      <w:proofErr w:type="spellStart"/>
      <w:r w:rsidRPr="006371AF">
        <w:rPr>
          <w:color w:val="000000" w:themeColor="text1"/>
        </w:rPr>
        <w:t>Chauvet</w:t>
      </w:r>
      <w:proofErr w:type="spellEnd"/>
      <w:r w:rsidRPr="006371AF">
        <w:rPr>
          <w:color w:val="000000" w:themeColor="text1"/>
        </w:rPr>
        <w:t xml:space="preserve"> &amp; </w:t>
      </w:r>
      <w:proofErr w:type="spellStart"/>
      <w:r w:rsidRPr="006371AF">
        <w:rPr>
          <w:color w:val="000000" w:themeColor="text1"/>
        </w:rPr>
        <w:t>Jacolin</w:t>
      </w:r>
      <w:proofErr w:type="spellEnd"/>
      <w:r w:rsidRPr="006371AF">
        <w:rPr>
          <w:color w:val="000000" w:themeColor="text1"/>
        </w:rPr>
        <w:t xml:space="preserve">, 2017), economic growth (Kim et al., 2018), inequality and </w:t>
      </w:r>
      <w:r w:rsidRPr="006371AF">
        <w:rPr>
          <w:color w:val="000000" w:themeColor="text1"/>
        </w:rPr>
        <w:lastRenderedPageBreak/>
        <w:t>stability (</w:t>
      </w:r>
      <w:proofErr w:type="spellStart"/>
      <w:r w:rsidRPr="006371AF">
        <w:rPr>
          <w:color w:val="000000" w:themeColor="text1"/>
        </w:rPr>
        <w:t>Neame</w:t>
      </w:r>
      <w:proofErr w:type="spellEnd"/>
      <w:r w:rsidRPr="006371AF">
        <w:rPr>
          <w:color w:val="000000" w:themeColor="text1"/>
        </w:rPr>
        <w:t xml:space="preserve"> &amp; </w:t>
      </w:r>
      <w:proofErr w:type="spellStart"/>
      <w:r w:rsidRPr="006371AF">
        <w:rPr>
          <w:color w:val="000000" w:themeColor="text1"/>
        </w:rPr>
        <w:t>Gaysset</w:t>
      </w:r>
      <w:proofErr w:type="spellEnd"/>
      <w:r w:rsidRPr="006371AF">
        <w:rPr>
          <w:color w:val="000000" w:themeColor="text1"/>
        </w:rPr>
        <w:t>, 2018), bank stability (Ahmed &amp; Malik, 2019), sales growth in emerging markets (Lee et al., 2020), economic growth in sub-Saharan Africa (</w:t>
      </w:r>
      <w:proofErr w:type="spellStart"/>
      <w:r w:rsidRPr="006371AF">
        <w:rPr>
          <w:color w:val="000000" w:themeColor="text1"/>
        </w:rPr>
        <w:t>Adedonkun</w:t>
      </w:r>
      <w:proofErr w:type="spellEnd"/>
      <w:r w:rsidRPr="006371AF">
        <w:rPr>
          <w:color w:val="000000" w:themeColor="text1"/>
        </w:rPr>
        <w:t xml:space="preserve"> &amp; Aga, 2021), and agricultural total factor productivity (Hu et al., 2021). Nonetheless, many studies overlook profit efficiency, focusing instead on sales, employment, and survival.</w:t>
      </w:r>
    </w:p>
    <w:p w:rsidR="00C928D0" w:rsidRPr="006371AF" w:rsidRDefault="00D34FA8" w:rsidP="006371AF">
      <w:pPr>
        <w:pStyle w:val="NormalWeb"/>
        <w:shd w:val="clear" w:color="auto" w:fill="FFFFFF"/>
        <w:spacing w:before="240" w:beforeAutospacing="0" w:after="240" w:afterAutospacing="0" w:line="360" w:lineRule="auto"/>
        <w:jc w:val="both"/>
        <w:textAlignment w:val="baseline"/>
        <w:rPr>
          <w:color w:val="000000" w:themeColor="text1"/>
        </w:rPr>
      </w:pPr>
      <w:r w:rsidRPr="006371AF">
        <w:rPr>
          <w:color w:val="000000" w:themeColor="text1"/>
        </w:rPr>
        <w:t xml:space="preserve">The effect of financial inclusion on MSMEs depends on the context. While microfinance strengthens investment and resilience within firms, as McKenzie and Woodruff (2014) noted, it does not improve profitability. In their controlled randomized study, Banerjee et al. (2015) reported that removing credit constraints spurred business activities in India but did not increase household consumption or long-term profitability. In contrast, some studies by Karlan et al. (2014) and Dupas and Robinson (2013) show that having a savings account increases microenterprise investment and income. Furthermore, Beck et al. (2009) demonstrate that credit lines and overdraft facilities enhance the productivity and competitiveness of businesses in developing countries. These differences reflect variations in outcomes based on age, location, culture, and sector, with limited information available for people in Sub-Saharan Africa. </w:t>
      </w:r>
      <w:proofErr w:type="spellStart"/>
      <w:r w:rsidRPr="006371AF">
        <w:rPr>
          <w:color w:val="000000" w:themeColor="text1"/>
        </w:rPr>
        <w:t>Giné</w:t>
      </w:r>
      <w:proofErr w:type="spellEnd"/>
      <w:r w:rsidRPr="006371AF">
        <w:rPr>
          <w:color w:val="000000" w:themeColor="text1"/>
        </w:rPr>
        <w:t xml:space="preserve"> and Yang (2009) studied farming households in Malawi and found that weather-indexed insurance increased investment in risky and more profitable crops. As Chikalipah (2017) argued, a lack of trust in institutions, high transaction costs, and low levels of financial education undermine the effectiveness of financing services for businesses.</w:t>
      </w:r>
    </w:p>
    <w:p w:rsidR="001460A6" w:rsidRPr="006371AF" w:rsidRDefault="007627AE" w:rsidP="006371AF">
      <w:pPr>
        <w:spacing w:before="240" w:line="360" w:lineRule="auto"/>
        <w:jc w:val="both"/>
        <w:rPr>
          <w:b/>
        </w:rPr>
      </w:pPr>
      <w:r w:rsidRPr="006371AF">
        <w:rPr>
          <w:b/>
        </w:rPr>
        <w:t>2</w:t>
      </w:r>
      <w:r w:rsidR="001460A6" w:rsidRPr="006371AF">
        <w:rPr>
          <w:b/>
        </w:rPr>
        <w:t>.0</w:t>
      </w:r>
      <w:r w:rsidR="001460A6" w:rsidRPr="006371AF">
        <w:rPr>
          <w:b/>
        </w:rPr>
        <w:tab/>
        <w:t>Methodology</w:t>
      </w:r>
    </w:p>
    <w:p w:rsidR="004C529E" w:rsidRPr="006371AF" w:rsidRDefault="007627AE" w:rsidP="006371AF">
      <w:pPr>
        <w:spacing w:before="240" w:line="360" w:lineRule="auto"/>
        <w:rPr>
          <w:b/>
          <w:i/>
        </w:rPr>
      </w:pPr>
      <w:r w:rsidRPr="006371AF">
        <w:rPr>
          <w:b/>
          <w:i/>
        </w:rPr>
        <w:t>2</w:t>
      </w:r>
      <w:r w:rsidR="00FC2214" w:rsidRPr="006371AF">
        <w:rPr>
          <w:b/>
          <w:i/>
        </w:rPr>
        <w:t>.1</w:t>
      </w:r>
      <w:r w:rsidR="00FC2214" w:rsidRPr="006371AF">
        <w:rPr>
          <w:b/>
          <w:i/>
        </w:rPr>
        <w:tab/>
        <w:t>Data and s</w:t>
      </w:r>
      <w:r w:rsidR="004C529E" w:rsidRPr="006371AF">
        <w:rPr>
          <w:b/>
          <w:i/>
        </w:rPr>
        <w:t>ources</w:t>
      </w:r>
    </w:p>
    <w:p w:rsidR="006371AF" w:rsidRPr="006371AF" w:rsidRDefault="006371AF" w:rsidP="006371AF">
      <w:pPr>
        <w:shd w:val="clear" w:color="auto" w:fill="FFFFFF"/>
        <w:spacing w:after="240" w:line="360" w:lineRule="auto"/>
        <w:jc w:val="both"/>
        <w:textAlignment w:val="baseline"/>
        <w:rPr>
          <w:color w:val="000000" w:themeColor="text1"/>
          <w:shd w:val="clear" w:color="auto" w:fill="FFFFFF"/>
        </w:rPr>
      </w:pPr>
      <w:r w:rsidRPr="006371AF">
        <w:rPr>
          <w:color w:val="000000" w:themeColor="text1"/>
          <w:shd w:val="clear" w:color="auto" w:fill="FFFFFF"/>
        </w:rPr>
        <w:t xml:space="preserve">This study is based on the FinScope Malawi MSME Survey from 2019, which outlines the landscape of MSMEs in Malawi. It includes a nationwide representative sample of 2,992 MSMEs used for the study. It provides region-specific data on financial inclusion, operational activities, and demographic information (FinMark Trust, 2020). The survey utilized a multi-stage stratified sampling procedure. In the first step, there was a comprehensive listing of households in 1,110 Enumeration Areas (EAs), from which business owners were sampled later. The sample consisted of individuals over 18 years who self-identified as business owners or as those engaged in some income-generating activity, regardless of whether they employed others. According to Malawi's definition of MSMEs, enterprises with up to 100 employees were included. The 982,993,000 </w:t>
      </w:r>
      <w:r w:rsidRPr="006371AF">
        <w:rPr>
          <w:color w:val="000000" w:themeColor="text1"/>
          <w:shd w:val="clear" w:color="auto" w:fill="FFFFFF"/>
        </w:rPr>
        <w:lastRenderedPageBreak/>
        <w:t xml:space="preserve">MSME owners were identified through a qualified sampling frame. In collaboration with the National Statistical Office (NSO) of Malawi and Microfinance Opportunities, FinMark Trust conducted 10,474 interviews. The survey employed a pre-tested framework alongside rigorous qualitative validation measures to ensure consistent data accuracy. </w:t>
      </w:r>
    </w:p>
    <w:p w:rsidR="006371AF" w:rsidRPr="006371AF" w:rsidRDefault="006371AF" w:rsidP="006371AF">
      <w:pPr>
        <w:spacing w:before="240" w:line="360" w:lineRule="auto"/>
        <w:jc w:val="both"/>
        <w:rPr>
          <w:color w:val="000000" w:themeColor="text1"/>
          <w:shd w:val="clear" w:color="auto" w:fill="FFFFFF"/>
        </w:rPr>
      </w:pPr>
      <w:r w:rsidRPr="006371AF">
        <w:rPr>
          <w:color w:val="000000" w:themeColor="text1"/>
          <w:shd w:val="clear" w:color="auto" w:fill="FFFFFF"/>
        </w:rPr>
        <w:t xml:space="preserve">Gathering precise operational or financial data continues to be challenging due to </w:t>
      </w:r>
      <w:r w:rsidR="008E7096">
        <w:rPr>
          <w:color w:val="000000" w:themeColor="text1"/>
          <w:shd w:val="clear" w:color="auto" w:fill="FFFFFF"/>
        </w:rPr>
        <w:t>the informal and complex nature of many MSMEs</w:t>
      </w:r>
      <w:r w:rsidRPr="006371AF">
        <w:rPr>
          <w:color w:val="000000" w:themeColor="text1"/>
          <w:shd w:val="clear" w:color="auto" w:fill="FFFFFF"/>
        </w:rPr>
        <w:t xml:space="preserve">. Consequently, surveys like FinScope provide crucial subjective and perceptual insights that often exceed the utility of formal financial statements (Sirec &amp; </w:t>
      </w:r>
      <w:proofErr w:type="spellStart"/>
      <w:r w:rsidRPr="006371AF">
        <w:rPr>
          <w:color w:val="000000" w:themeColor="text1"/>
          <w:shd w:val="clear" w:color="auto" w:fill="FFFFFF"/>
        </w:rPr>
        <w:t>Močnik</w:t>
      </w:r>
      <w:proofErr w:type="spellEnd"/>
      <w:r w:rsidRPr="006371AF">
        <w:rPr>
          <w:color w:val="000000" w:themeColor="text1"/>
          <w:shd w:val="clear" w:color="auto" w:fill="FFFFFF"/>
        </w:rPr>
        <w:t xml:space="preserve">, 2010). Research such as </w:t>
      </w:r>
      <w:proofErr w:type="spellStart"/>
      <w:r w:rsidRPr="006371AF">
        <w:rPr>
          <w:color w:val="000000" w:themeColor="text1"/>
          <w:shd w:val="clear" w:color="auto" w:fill="FFFFFF"/>
        </w:rPr>
        <w:t>Okpara</w:t>
      </w:r>
      <w:proofErr w:type="spellEnd"/>
      <w:r w:rsidRPr="006371AF">
        <w:rPr>
          <w:color w:val="000000" w:themeColor="text1"/>
          <w:shd w:val="clear" w:color="auto" w:fill="FFFFFF"/>
        </w:rPr>
        <w:t xml:space="preserve"> (2011) also emphasizes the importance of capturing MSMEs' perceived financial and strategic aspects, as many operate without dedicated accounting systems. FinScope data are essential for understanding entrepreneurs' financial behaviors and constraints, allowing policymakers and financial service providers to develop more appropriately designed interventions (FinMark Trust, 2020; Chikoko &amp; Chipeta, 2021). These surveys remain the most valuable data source for MSME research and policy formulation in developing economies, which generally exhibit high informality and inadequate record-keeping.</w:t>
      </w:r>
    </w:p>
    <w:p w:rsidR="00EE0753" w:rsidRPr="006371AF" w:rsidRDefault="007627AE" w:rsidP="006371AF">
      <w:pPr>
        <w:spacing w:before="240" w:line="360" w:lineRule="auto"/>
        <w:rPr>
          <w:b/>
          <w:i/>
        </w:rPr>
      </w:pPr>
      <w:r w:rsidRPr="006371AF">
        <w:rPr>
          <w:b/>
          <w:i/>
        </w:rPr>
        <w:t>2</w:t>
      </w:r>
      <w:r w:rsidR="00D102E6" w:rsidRPr="006371AF">
        <w:rPr>
          <w:b/>
          <w:i/>
        </w:rPr>
        <w:t xml:space="preserve">.2 </w:t>
      </w:r>
      <w:r w:rsidR="00D102E6" w:rsidRPr="006371AF">
        <w:rPr>
          <w:b/>
          <w:i/>
        </w:rPr>
        <w:tab/>
      </w:r>
      <w:r w:rsidR="00211AE6" w:rsidRPr="006371AF">
        <w:rPr>
          <w:b/>
          <w:i/>
        </w:rPr>
        <w:t xml:space="preserve">Identification </w:t>
      </w:r>
      <w:r w:rsidR="00FC2214" w:rsidRPr="006371AF">
        <w:rPr>
          <w:b/>
          <w:i/>
        </w:rPr>
        <w:t>s</w:t>
      </w:r>
      <w:r w:rsidR="00D102E6" w:rsidRPr="006371AF">
        <w:rPr>
          <w:b/>
          <w:i/>
        </w:rPr>
        <w:t>trategy</w:t>
      </w:r>
    </w:p>
    <w:p w:rsidR="00A5120C" w:rsidRPr="006371AF" w:rsidRDefault="006E78FF" w:rsidP="006371AF">
      <w:pPr>
        <w:spacing w:line="360" w:lineRule="auto"/>
        <w:jc w:val="both"/>
      </w:pPr>
      <w:r w:rsidRPr="006371AF">
        <w:t xml:space="preserve">The study seeks to establish a causal link between financial inclusion and the profit efficiency of MSMEs. In this study, financial inclusion encompasses the uptake and use of financial services such as savings, credit, and insurance by MSMEs. Establishing the causal link, however, faces challenges such as endogeneity, sample selection bias, and unobserved heterogeneity. These challenges arise from the fact that firms do not access financial services randomly; they tend to self-select into financial markets based on observable traits like location, firm size, and owners’ educational background, as well as unobservable factors such as entrepreneurial skills and risk preferences (Wooldridge, 2010). These unobservable elements may influence the likelihood of achieving financial inclusion and a firm's profit efficiency, resulting in bias within OLS regression outcomes. Consequently, this study employs an endogenous switching regression model to account for observable and unobservable factors affecting financial inclusion and profit efficiency (Maddala, 1983; Lokshin &amp; Sajaia, 2004). </w:t>
      </w:r>
    </w:p>
    <w:p w:rsidR="00F439FD" w:rsidRPr="00746D97" w:rsidRDefault="00F439FD" w:rsidP="00746D97">
      <w:pPr>
        <w:spacing w:before="240" w:line="360" w:lineRule="auto"/>
        <w:rPr>
          <w:b/>
        </w:rPr>
      </w:pPr>
      <w:r w:rsidRPr="00746D97">
        <w:rPr>
          <w:b/>
        </w:rPr>
        <w:t>2.3</w:t>
      </w:r>
      <w:r w:rsidRPr="00746D97">
        <w:rPr>
          <w:b/>
        </w:rPr>
        <w:tab/>
        <w:t>Empirical Strategy</w:t>
      </w:r>
    </w:p>
    <w:p w:rsidR="00F439FD" w:rsidRPr="00746D97" w:rsidRDefault="00F439FD" w:rsidP="00746D97">
      <w:pPr>
        <w:spacing w:before="240" w:line="360" w:lineRule="auto"/>
        <w:jc w:val="both"/>
        <w:rPr>
          <w:b/>
          <w:i/>
        </w:rPr>
      </w:pPr>
      <w:r w:rsidRPr="00746D97">
        <w:rPr>
          <w:b/>
          <w:i/>
        </w:rPr>
        <w:t>2.2.1</w:t>
      </w:r>
      <w:r w:rsidRPr="00746D97">
        <w:rPr>
          <w:b/>
          <w:i/>
        </w:rPr>
        <w:tab/>
        <w:t>Endogenous Switching Regression</w:t>
      </w:r>
      <w:r w:rsidRPr="00746D97">
        <w:rPr>
          <w:b/>
          <w:i/>
        </w:rPr>
        <w:tab/>
      </w:r>
    </w:p>
    <w:p w:rsidR="00F439FD" w:rsidRPr="00746D97" w:rsidRDefault="00F439FD" w:rsidP="00746D97">
      <w:pPr>
        <w:spacing w:before="240" w:line="360" w:lineRule="auto"/>
        <w:jc w:val="both"/>
        <w:rPr>
          <w:color w:val="000000" w:themeColor="text1"/>
        </w:rPr>
      </w:pPr>
      <w:r w:rsidRPr="00746D97">
        <w:rPr>
          <w:color w:val="000000" w:themeColor="text1"/>
        </w:rPr>
        <w:lastRenderedPageBreak/>
        <w:t xml:space="preserve">An endogenous switching regression consists of two stages (Malikov &amp; Kumbhakar, 2018; Kassie, Jaleta, and Mattei, 2014). In the first stage, a probit estimator is used to identify the determinants of </w:t>
      </w:r>
      <w:r w:rsidR="00A153ED" w:rsidRPr="00746D97">
        <w:rPr>
          <w:color w:val="000000" w:themeColor="text1"/>
        </w:rPr>
        <w:t>financial inclusion</w:t>
      </w:r>
      <w:r w:rsidRPr="00746D97">
        <w:rPr>
          <w:color w:val="000000" w:themeColor="text1"/>
        </w:rPr>
        <w:t>. The selection equation is specified as follows (DiFalco, Veronesi, and Yesuf, 2011):</w:t>
      </w:r>
    </w:p>
    <w:p w:rsidR="00F439FD" w:rsidRPr="00746D97" w:rsidRDefault="00853DCA" w:rsidP="00746D97">
      <w:pPr>
        <w:spacing w:before="240" w:line="360" w:lineRule="auto"/>
        <w:ind w:firstLine="720"/>
        <w:jc w:val="both"/>
        <w:rPr>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 α+</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i</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i</m:t>
            </m:r>
          </m:sub>
        </m:sSub>
      </m:oMath>
      <w:r w:rsidR="00F439FD" w:rsidRPr="00746D97">
        <w:rPr>
          <w:color w:val="000000" w:themeColor="text1"/>
        </w:rPr>
        <w:tab/>
      </w:r>
      <w:r w:rsidR="00F439FD" w:rsidRPr="00746D97">
        <w:rPr>
          <w:color w:val="000000" w:themeColor="text1"/>
        </w:rPr>
        <w:tab/>
      </w:r>
      <w:r w:rsidR="00F439FD" w:rsidRPr="00746D97">
        <w:rPr>
          <w:color w:val="000000" w:themeColor="text1"/>
        </w:rPr>
        <w:tab/>
      </w:r>
      <w:r w:rsidR="00F439FD" w:rsidRPr="00746D97">
        <w:rPr>
          <w:color w:val="000000" w:themeColor="text1"/>
        </w:rPr>
        <w:tab/>
      </w:r>
      <w:r w:rsidR="00F439FD" w:rsidRPr="00746D97">
        <w:rPr>
          <w:color w:val="000000" w:themeColor="text1"/>
        </w:rPr>
        <w:tab/>
      </w:r>
      <w:r w:rsidR="00F439FD" w:rsidRPr="00746D97">
        <w:rPr>
          <w:color w:val="000000" w:themeColor="text1"/>
        </w:rPr>
        <w:tab/>
      </w:r>
      <w:r w:rsidR="00F439FD" w:rsidRPr="00746D97">
        <w:rPr>
          <w:color w:val="000000" w:themeColor="text1"/>
        </w:rPr>
        <w:tab/>
      </w:r>
      <w:r w:rsidR="00F439FD" w:rsidRPr="00746D97">
        <w:rPr>
          <w:color w:val="000000" w:themeColor="text1"/>
        </w:rPr>
        <w:tab/>
      </w:r>
      <w:r w:rsidR="002043C3" w:rsidRPr="00746D97">
        <w:rPr>
          <w:color w:val="000000" w:themeColor="text1"/>
        </w:rPr>
        <w:tab/>
      </w:r>
      <w:r w:rsidR="00F439FD" w:rsidRPr="00746D97">
        <w:rPr>
          <w:color w:val="000000" w:themeColor="text1"/>
        </w:rPr>
        <w:t>(1)</w:t>
      </w:r>
    </w:p>
    <w:p w:rsidR="00F439FD" w:rsidRPr="00746D97" w:rsidRDefault="00F439FD" w:rsidP="00746D97">
      <w:pPr>
        <w:spacing w:before="240" w:line="360" w:lineRule="auto"/>
        <w:jc w:val="both"/>
        <w:rPr>
          <w:color w:val="000000" w:themeColor="text1"/>
        </w:rPr>
      </w:pPr>
      <w:r w:rsidRPr="00746D97">
        <w:rPr>
          <w:color w:val="000000" w:themeColor="text1"/>
        </w:rPr>
        <w:t xml:space="preserve">Where </w:t>
      </w:r>
      <m:oMath>
        <m:sSubSup>
          <m:sSubSupPr>
            <m:ctrlPr>
              <w:rPr>
                <w:rFonts w:ascii="Cambria Math" w:hAnsi="Cambria Math"/>
                <w:i/>
                <w:color w:val="000000" w:themeColor="text1"/>
              </w:rPr>
            </m:ctrlPr>
          </m:sSubSupPr>
          <m:e>
            <m:r>
              <w:rPr>
                <w:rFonts w:ascii="Cambria Math" w:hAnsi="Cambria Math"/>
                <w:color w:val="000000" w:themeColor="text1"/>
              </w:rPr>
              <m:t>I</m:t>
            </m:r>
          </m:e>
          <m:sub>
            <m:r>
              <w:rPr>
                <w:rFonts w:ascii="Cambria Math" w:hAnsi="Cambria Math"/>
                <w:color w:val="000000" w:themeColor="text1"/>
              </w:rPr>
              <m:t>i</m:t>
            </m:r>
          </m:sub>
          <m:sup>
            <m:r>
              <w:rPr>
                <w:rFonts w:ascii="Cambria Math" w:hAnsi="Cambria Math"/>
                <w:color w:val="000000" w:themeColor="text1"/>
              </w:rPr>
              <m:t>*</m:t>
            </m:r>
          </m:sup>
        </m:sSubSup>
      </m:oMath>
      <w:r w:rsidRPr="00746D97">
        <w:rPr>
          <w:color w:val="000000" w:themeColor="text1"/>
        </w:rPr>
        <w:t xml:space="preserve"> refers to a binary variabl</w:t>
      </w:r>
      <w:r w:rsidR="00A153ED" w:rsidRPr="00746D97">
        <w:rPr>
          <w:color w:val="000000" w:themeColor="text1"/>
        </w:rPr>
        <w:t>e that equals one if the firm is using a particular</w:t>
      </w:r>
      <w:r w:rsidRPr="00746D97">
        <w:rPr>
          <w:color w:val="000000" w:themeColor="text1"/>
        </w:rPr>
        <w:t xml:space="preserve"> </w:t>
      </w:r>
      <w:r w:rsidR="00A153ED" w:rsidRPr="00746D97">
        <w:rPr>
          <w:color w:val="000000" w:themeColor="text1"/>
        </w:rPr>
        <w:t>financial service</w:t>
      </w:r>
      <w:r w:rsidRPr="00746D97">
        <w:rPr>
          <w:color w:val="000000" w:themeColor="text1"/>
        </w:rPr>
        <w:t xml:space="preserve"> and equals zero otherwise; </w:t>
      </w:r>
      <w:r w:rsidRPr="00746D97">
        <w:rPr>
          <w:rFonts w:ascii="Cambria Math" w:hAnsi="Cambria Math" w:cs="Cambria Math"/>
          <w:color w:val="000000" w:themeColor="text1"/>
        </w:rPr>
        <w:t>𝛼</w:t>
      </w:r>
      <w:r w:rsidRPr="00746D97">
        <w:rPr>
          <w:color w:val="000000" w:themeColor="text1"/>
        </w:rPr>
        <w:t xml:space="preserve"> is the intercept; </w:t>
      </w:r>
      <w:r w:rsidRPr="00746D97">
        <w:rPr>
          <w:rFonts w:ascii="Cambria Math" w:hAnsi="Cambria Math" w:cs="Cambria Math"/>
          <w:color w:val="000000" w:themeColor="text1"/>
        </w:rPr>
        <w:t>X𝑖</w:t>
      </w:r>
      <w:r w:rsidRPr="00746D97">
        <w:rPr>
          <w:color w:val="000000" w:themeColor="text1"/>
        </w:rPr>
        <w:t xml:space="preserve"> is a set of external factors that influence the firm's </w:t>
      </w:r>
      <w:r w:rsidR="00A153ED" w:rsidRPr="00746D97">
        <w:rPr>
          <w:color w:val="000000" w:themeColor="text1"/>
        </w:rPr>
        <w:t xml:space="preserve">financial inclusion </w:t>
      </w:r>
      <w:r w:rsidRPr="00746D97">
        <w:rPr>
          <w:color w:val="000000" w:themeColor="text1"/>
        </w:rPr>
        <w:t xml:space="preserve">(see appendix 1); </w:t>
      </w:r>
      <w:r w:rsidRPr="00746D97">
        <w:rPr>
          <w:rFonts w:ascii="Cambria Math" w:hAnsi="Cambria Math" w:cs="Cambria Math"/>
          <w:color w:val="000000" w:themeColor="text1"/>
        </w:rPr>
        <w:t>𝛾𝑖</w:t>
      </w:r>
      <w:r w:rsidRPr="00746D97">
        <w:rPr>
          <w:color w:val="000000" w:themeColor="text1"/>
        </w:rPr>
        <w:t xml:space="preserve"> refers to the set of parameters, while </w:t>
      </w:r>
      <w:r w:rsidRPr="00746D97">
        <w:rPr>
          <w:rFonts w:ascii="Cambria Math" w:hAnsi="Cambria Math" w:cs="Cambria Math"/>
          <w:color w:val="000000" w:themeColor="text1"/>
        </w:rPr>
        <w:t>𝜀𝑖</w:t>
      </w:r>
      <w:r w:rsidRPr="00746D97">
        <w:rPr>
          <w:color w:val="000000" w:themeColor="text1"/>
        </w:rPr>
        <w:t xml:space="preserve"> is the error term that has a mean of zero and constant variance.</w:t>
      </w:r>
    </w:p>
    <w:p w:rsidR="00F439FD" w:rsidRPr="00746D97" w:rsidRDefault="00F439FD" w:rsidP="00746D97">
      <w:pPr>
        <w:spacing w:before="240" w:line="360" w:lineRule="auto"/>
        <w:jc w:val="both"/>
        <w:rPr>
          <w:color w:val="000000" w:themeColor="text1"/>
        </w:rPr>
      </w:pPr>
      <w:r w:rsidRPr="00746D97">
        <w:rPr>
          <w:color w:val="000000" w:themeColor="text1"/>
        </w:rPr>
        <w:t xml:space="preserve">To address selection bias, the study employs a full-information maximum likelihood (FIML) model in the second stage of the endogenous switching regression. The </w:t>
      </w:r>
      <w:r w:rsidR="002043C3" w:rsidRPr="00746D97">
        <w:rPr>
          <w:color w:val="000000" w:themeColor="text1"/>
        </w:rPr>
        <w:t>productivity</w:t>
      </w:r>
      <w:r w:rsidRPr="00746D97">
        <w:rPr>
          <w:color w:val="000000" w:themeColor="text1"/>
        </w:rPr>
        <w:t xml:space="preserve"> outcomes (</w:t>
      </w:r>
      <w:r w:rsidR="002043C3" w:rsidRPr="00746D97">
        <w:rPr>
          <w:color w:val="000000" w:themeColor="text1"/>
        </w:rPr>
        <w:t>profit efficiency</w:t>
      </w:r>
      <w:r w:rsidRPr="00746D97">
        <w:rPr>
          <w:color w:val="000000" w:themeColor="text1"/>
        </w:rPr>
        <w:t xml:space="preserve"> in firms) resulting from </w:t>
      </w:r>
      <w:r w:rsidR="002043C3" w:rsidRPr="00746D97">
        <w:rPr>
          <w:color w:val="000000" w:themeColor="text1"/>
        </w:rPr>
        <w:t>financial inclusion</w:t>
      </w:r>
      <w:r w:rsidRPr="00746D97">
        <w:rPr>
          <w:color w:val="000000" w:themeColor="text1"/>
        </w:rPr>
        <w:t xml:space="preserve"> will be modelled as switching regimes as follows:</w:t>
      </w:r>
    </w:p>
    <w:p w:rsidR="00F439FD" w:rsidRPr="00746D97" w:rsidRDefault="00F439FD" w:rsidP="00746D97">
      <w:pPr>
        <w:spacing w:before="240" w:line="360" w:lineRule="auto"/>
        <w:ind w:firstLine="720"/>
        <w:jc w:val="both"/>
        <w:rPr>
          <w:color w:val="000000" w:themeColor="text1"/>
          <w:shd w:val="clear" w:color="auto" w:fill="FFFFFF"/>
        </w:rPr>
      </w:pPr>
      <w:r w:rsidRPr="00746D97">
        <w:rPr>
          <w:rFonts w:eastAsia="CMMI10~91"/>
          <w:color w:val="000000"/>
        </w:rPr>
        <w:t xml:space="preserve">Regime 1: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Y</m:t>
            </m:r>
          </m:e>
          <m:sub>
            <m:r>
              <w:rPr>
                <w:rFonts w:ascii="Cambria Math" w:hAnsi="Cambria Math"/>
                <w:color w:val="000000" w:themeColor="text1"/>
                <w:shd w:val="clear" w:color="auto" w:fill="FFFFFF"/>
              </w:rPr>
              <m:t>1i</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1i</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β</m:t>
            </m:r>
          </m:e>
          <m:sub>
            <m:r>
              <w:rPr>
                <w:rFonts w:ascii="Cambria Math" w:hAnsi="Cambria Math"/>
                <w:color w:val="000000" w:themeColor="text1"/>
                <w:shd w:val="clear" w:color="auto" w:fill="FFFFFF"/>
              </w:rPr>
              <m:t xml:space="preserve">1+  </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1ε</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λ</m:t>
            </m:r>
          </m:e>
          <m:sub>
            <m:r>
              <w:rPr>
                <w:rFonts w:ascii="Cambria Math" w:hAnsi="Cambria Math"/>
                <w:color w:val="000000" w:themeColor="text1"/>
                <w:shd w:val="clear" w:color="auto" w:fill="FFFFFF"/>
              </w:rPr>
              <m:t>1i</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μ</m:t>
            </m:r>
          </m:e>
          <m:sub>
            <m:r>
              <w:rPr>
                <w:rFonts w:ascii="Cambria Math" w:hAnsi="Cambria Math"/>
                <w:color w:val="000000" w:themeColor="text1"/>
                <w:shd w:val="clear" w:color="auto" w:fill="FFFFFF"/>
              </w:rPr>
              <m:t>1i</m:t>
            </m:r>
          </m:sub>
        </m:sSub>
      </m:oMath>
      <w:r w:rsidRPr="00746D97">
        <w:rPr>
          <w:color w:val="000000" w:themeColor="text1"/>
          <w:shd w:val="clear" w:color="auto" w:fill="FFFFFF"/>
        </w:rPr>
        <w:t xml:space="preserve">  </w:t>
      </w:r>
      <w:r w:rsidRPr="00746D97">
        <w:rPr>
          <w:rFonts w:eastAsia="CMMI10~91"/>
          <w:color w:val="000000"/>
        </w:rPr>
        <w:t>if</w:t>
      </w:r>
      <w:r w:rsidRPr="00746D97">
        <w:rPr>
          <w:color w:val="000000"/>
        </w:rPr>
        <w:t xml:space="preserve">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1i</m:t>
            </m:r>
          </m:sub>
        </m:sSub>
      </m:oMath>
      <w:r w:rsidR="002043C3" w:rsidRPr="00746D97">
        <w:rPr>
          <w:color w:val="000000"/>
        </w:rPr>
        <w:t xml:space="preserve"> = 1 for financially included </w:t>
      </w:r>
      <w:r w:rsidR="00746D97">
        <w:rPr>
          <w:color w:val="000000"/>
        </w:rPr>
        <w:t>firms</w:t>
      </w:r>
      <w:r w:rsidR="00746D97">
        <w:rPr>
          <w:color w:val="000000"/>
        </w:rPr>
        <w:tab/>
      </w:r>
      <w:r w:rsidRPr="00746D97">
        <w:rPr>
          <w:color w:val="000000"/>
        </w:rPr>
        <w:t>(2)</w:t>
      </w:r>
    </w:p>
    <w:p w:rsidR="00F439FD" w:rsidRPr="00746D97" w:rsidRDefault="00F439FD" w:rsidP="00746D97">
      <w:pPr>
        <w:spacing w:before="240" w:line="360" w:lineRule="auto"/>
        <w:ind w:firstLine="720"/>
        <w:jc w:val="both"/>
        <w:rPr>
          <w:color w:val="000000" w:themeColor="text1"/>
          <w:shd w:val="clear" w:color="auto" w:fill="FFFFFF"/>
        </w:rPr>
      </w:pPr>
      <w:r w:rsidRPr="00746D97">
        <w:rPr>
          <w:rFonts w:eastAsia="CMMI10~91"/>
          <w:color w:val="000000"/>
        </w:rPr>
        <w:t>Regime 2:</w:t>
      </w:r>
      <w:r w:rsidRPr="00746D97">
        <w:rPr>
          <w:rFonts w:eastAsia="CMMI10~91"/>
          <w:i/>
          <w:color w:val="000000"/>
        </w:rPr>
        <w:t xml:space="preserve">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Y</m:t>
            </m:r>
          </m:e>
          <m:sub>
            <m:r>
              <w:rPr>
                <w:rFonts w:ascii="Cambria Math" w:hAnsi="Cambria Math"/>
                <w:color w:val="000000" w:themeColor="text1"/>
                <w:shd w:val="clear" w:color="auto" w:fill="FFFFFF"/>
              </w:rPr>
              <m:t>0i</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0i</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β</m:t>
            </m:r>
          </m:e>
          <m:sub>
            <m:r>
              <w:rPr>
                <w:rFonts w:ascii="Cambria Math" w:hAnsi="Cambria Math"/>
                <w:color w:val="000000" w:themeColor="text1"/>
                <w:shd w:val="clear" w:color="auto" w:fill="FFFFFF"/>
              </w:rPr>
              <m:t xml:space="preserve">0+  </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0ε</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λ</m:t>
            </m:r>
          </m:e>
          <m:sub>
            <m:r>
              <w:rPr>
                <w:rFonts w:ascii="Cambria Math" w:hAnsi="Cambria Math"/>
                <w:color w:val="000000" w:themeColor="text1"/>
                <w:shd w:val="clear" w:color="auto" w:fill="FFFFFF"/>
              </w:rPr>
              <m:t>0i</m:t>
            </m:r>
          </m:sub>
        </m:sSub>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μ</m:t>
            </m:r>
          </m:e>
          <m:sub>
            <m:r>
              <w:rPr>
                <w:rFonts w:ascii="Cambria Math" w:hAnsi="Cambria Math"/>
                <w:color w:val="000000" w:themeColor="text1"/>
                <w:shd w:val="clear" w:color="auto" w:fill="FFFFFF"/>
              </w:rPr>
              <m:t>0i</m:t>
            </m:r>
          </m:sub>
        </m:sSub>
      </m:oMath>
      <w:r w:rsidRPr="00746D97">
        <w:rPr>
          <w:color w:val="000000" w:themeColor="text1"/>
          <w:shd w:val="clear" w:color="auto" w:fill="FFFFFF"/>
        </w:rPr>
        <w:t xml:space="preserve"> </w:t>
      </w:r>
      <w:r w:rsidRPr="00746D97">
        <w:rPr>
          <w:rFonts w:eastAsia="CMMI10~91"/>
          <w:color w:val="000000"/>
        </w:rPr>
        <w:t>if</w:t>
      </w:r>
      <w:r w:rsidRPr="00746D97">
        <w:rPr>
          <w:color w:val="000000"/>
        </w:rPr>
        <w:t xml:space="preserve">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0i</m:t>
            </m:r>
          </m:sub>
        </m:sSub>
      </m:oMath>
      <w:r w:rsidRPr="00746D97">
        <w:rPr>
          <w:color w:val="000000"/>
        </w:rPr>
        <w:t xml:space="preserve"> = 0 for </w:t>
      </w:r>
      <w:r w:rsidR="002043C3" w:rsidRPr="00746D97">
        <w:rPr>
          <w:color w:val="000000"/>
        </w:rPr>
        <w:t xml:space="preserve">financially excluded </w:t>
      </w:r>
      <w:r w:rsidRPr="00746D97">
        <w:rPr>
          <w:color w:val="000000"/>
        </w:rPr>
        <w:t>firms</w:t>
      </w:r>
      <w:r w:rsidR="002043C3" w:rsidRPr="00746D97">
        <w:rPr>
          <w:color w:val="000000"/>
        </w:rPr>
        <w:t xml:space="preserve"> </w:t>
      </w:r>
      <w:r w:rsidRPr="00746D97">
        <w:rPr>
          <w:color w:val="000000"/>
        </w:rPr>
        <w:t xml:space="preserve"> </w:t>
      </w:r>
      <w:r w:rsidRPr="00746D97">
        <w:rPr>
          <w:color w:val="000000"/>
        </w:rPr>
        <w:tab/>
        <w:t>(3)</w:t>
      </w:r>
    </w:p>
    <w:p w:rsidR="00F439FD" w:rsidRPr="00746D97" w:rsidRDefault="002043C3" w:rsidP="00746D97">
      <w:pPr>
        <w:spacing w:before="240" w:line="360" w:lineRule="auto"/>
        <w:jc w:val="both"/>
      </w:pPr>
      <w:r w:rsidRPr="00746D97">
        <w:t>Yi represents</w:t>
      </w:r>
      <w:r w:rsidR="00F439FD" w:rsidRPr="00746D97">
        <w:t xml:space="preserve"> </w:t>
      </w:r>
      <w:r w:rsidRPr="00746D97">
        <w:t xml:space="preserve">profit efficiency as the outcome variables </w:t>
      </w:r>
      <w:r w:rsidR="00F439FD" w:rsidRPr="00746D97">
        <w:t xml:space="preserve">under each regime (1 = </w:t>
      </w:r>
      <w:r w:rsidRPr="00746D97">
        <w:t xml:space="preserve">access </w:t>
      </w:r>
      <w:r w:rsidR="00D220C3">
        <w:t xml:space="preserve">to </w:t>
      </w:r>
      <w:r w:rsidRPr="00746D97">
        <w:t>financial services</w:t>
      </w:r>
      <w:r w:rsidR="00F439FD" w:rsidRPr="00746D97">
        <w:t xml:space="preserve">, 0 = </w:t>
      </w:r>
      <w:r w:rsidRPr="00746D97">
        <w:t>no financial services</w:t>
      </w:r>
      <w:r w:rsidR="00F439FD" w:rsidRPr="00746D97">
        <w:t xml:space="preserve">), and Zi is a vector of determinant factors hypothesised to influence </w:t>
      </w:r>
      <w:r w:rsidRPr="00746D97">
        <w:t xml:space="preserve">profit efficiency outcomes </w:t>
      </w:r>
      <w:r w:rsidR="00F439FD" w:rsidRPr="00746D97">
        <w:t xml:space="preserve">(see Appendix 1). Equations (2) and (3) may utilise the same variables in vector Z as Xi in Equation (1). The approach necessitates at least one variable in X that is not found in Z, with parameters being estimated. In the </w:t>
      </w:r>
      <w:r w:rsidR="00874E9B" w:rsidRPr="00746D97">
        <w:t>profit efficiency</w:t>
      </w:r>
      <w:r w:rsidR="00F439FD" w:rsidRPr="00746D97">
        <w:t xml:space="preserve"> estimation equation, u</w:t>
      </w:r>
      <w:r w:rsidR="00F439FD" w:rsidRPr="001E3D5B">
        <w:rPr>
          <w:vertAlign w:val="subscript"/>
        </w:rPr>
        <w:t>1i</w:t>
      </w:r>
      <w:r w:rsidR="00F439FD" w:rsidRPr="00746D97">
        <w:t xml:space="preserve"> and u</w:t>
      </w:r>
      <w:r w:rsidR="00F439FD" w:rsidRPr="001E3D5B">
        <w:rPr>
          <w:vertAlign w:val="subscript"/>
        </w:rPr>
        <w:t>0i</w:t>
      </w:r>
      <w:r w:rsidR="00F439FD" w:rsidRPr="00746D97">
        <w:t xml:space="preserve"> are independent and identically distributed error terms. In a two-stage estimating technique (endogenous switching regression), the Mills Ratio (IMR) of participation calculated from selection Equation (1) is incorporated into Equations (2) and (3) to address selection bias:</w:t>
      </w:r>
    </w:p>
    <w:p w:rsidR="00F439FD" w:rsidRPr="00746D97" w:rsidRDefault="00853DCA" w:rsidP="00746D97">
      <w:pPr>
        <w:spacing w:before="240" w:line="360" w:lineRule="auto"/>
        <w:ind w:firstLine="720"/>
        <w:rPr>
          <w:rFonts w:eastAsiaTheme="minorEastAsia"/>
          <w:color w:val="000000" w:themeColor="text1"/>
          <w:shd w:val="clear" w:color="auto" w:fill="FFFFFF"/>
        </w:rPr>
      </w:pP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λ</m:t>
            </m:r>
          </m:e>
          <m:sub>
            <m:r>
              <w:rPr>
                <w:rFonts w:ascii="Cambria Math" w:hAnsi="Cambria Math"/>
                <w:color w:val="000000" w:themeColor="text1"/>
                <w:shd w:val="clear" w:color="auto" w:fill="FFFFFF"/>
              </w:rPr>
              <m:t>1i</m:t>
            </m:r>
          </m:sub>
        </m:sSub>
        <m:r>
          <w:rPr>
            <w:rFonts w:ascii="Cambria Math" w:hAnsi="Cambria Math"/>
            <w:color w:val="000000" w:themeColor="text1"/>
            <w:shd w:val="clear" w:color="auto" w:fill="FFFFFF"/>
          </w:rPr>
          <m:t xml:space="preserve">= </m:t>
        </m:r>
        <m:f>
          <m:fPr>
            <m:ctrlPr>
              <w:rPr>
                <w:rFonts w:ascii="Cambria Math" w:hAnsi="Cambria Math"/>
                <w:i/>
                <w:color w:val="000000" w:themeColor="text1"/>
                <w:shd w:val="clear" w:color="auto" w:fill="FFFFFF"/>
              </w:rPr>
            </m:ctrlPr>
          </m:fPr>
          <m:num>
            <m:r>
              <m:rPr>
                <m:sty m:val="p"/>
              </m:rPr>
              <w:rPr>
                <w:rFonts w:ascii="Cambria Math" w:hAnsi="Cambria Math"/>
                <w:color w:val="000000" w:themeColor="text1"/>
                <w:shd w:val="clear" w:color="auto" w:fill="FFFFFF"/>
              </w:rPr>
              <m:t>ϕ</m:t>
            </m:r>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 xml:space="preserve">i </m:t>
                </m:r>
              </m:sub>
            </m:sSub>
            <m:r>
              <w:rPr>
                <w:rFonts w:ascii="Cambria Math" w:hAnsi="Cambria Math"/>
                <w:color w:val="000000" w:themeColor="text1"/>
                <w:shd w:val="clear" w:color="auto" w:fill="FFFFFF"/>
              </w:rPr>
              <m:t>α)</m:t>
            </m:r>
          </m:num>
          <m:den>
            <m:r>
              <m:rPr>
                <m:sty m:val="p"/>
              </m:rPr>
              <w:rPr>
                <w:rFonts w:ascii="Cambria Math" w:hAnsi="Cambria Math"/>
                <w:color w:val="000000" w:themeColor="text1"/>
                <w:shd w:val="clear" w:color="auto" w:fill="FFFFFF"/>
              </w:rPr>
              <m:t>Φ(</m:t>
            </m:r>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 xml:space="preserve">i </m:t>
                </m:r>
              </m:sub>
            </m:sSub>
            <m:r>
              <w:rPr>
                <w:rFonts w:ascii="Cambria Math" w:hAnsi="Cambria Math"/>
                <w:color w:val="000000" w:themeColor="text1"/>
                <w:shd w:val="clear" w:color="auto" w:fill="FFFFFF"/>
              </w:rPr>
              <m:t>α)</m:t>
            </m:r>
          </m:den>
        </m:f>
      </m:oMath>
      <w:r w:rsidR="00F439FD" w:rsidRPr="00746D97">
        <w:rPr>
          <w:rFonts w:eastAsiaTheme="minorEastAsia"/>
          <w:color w:val="000000" w:themeColor="text1"/>
          <w:shd w:val="clear" w:color="auto" w:fill="FFFFFF"/>
        </w:rPr>
        <w:t xml:space="preserve">  </w:t>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2043C3"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 xml:space="preserve">(4) </w:t>
      </w:r>
    </w:p>
    <w:p w:rsidR="00F439FD" w:rsidRPr="00746D97" w:rsidRDefault="00853DCA" w:rsidP="00746D97">
      <w:pPr>
        <w:spacing w:before="240" w:line="360" w:lineRule="auto"/>
        <w:ind w:firstLine="720"/>
        <w:rPr>
          <w:color w:val="000000" w:themeColor="text1"/>
          <w:shd w:val="clear" w:color="auto" w:fill="FFFFFF"/>
        </w:rPr>
      </w:pP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λ</m:t>
            </m:r>
          </m:e>
          <m:sub>
            <m:r>
              <w:rPr>
                <w:rFonts w:ascii="Cambria Math" w:hAnsi="Cambria Math"/>
                <w:color w:val="000000" w:themeColor="text1"/>
                <w:shd w:val="clear" w:color="auto" w:fill="FFFFFF"/>
              </w:rPr>
              <m:t>0i</m:t>
            </m:r>
          </m:sub>
        </m:sSub>
        <m:r>
          <w:rPr>
            <w:rFonts w:ascii="Cambria Math" w:hAnsi="Cambria Math"/>
            <w:color w:val="000000" w:themeColor="text1"/>
            <w:shd w:val="clear" w:color="auto" w:fill="FFFFFF"/>
          </w:rPr>
          <m:t xml:space="preserve">= </m:t>
        </m:r>
        <m:f>
          <m:fPr>
            <m:ctrlPr>
              <w:rPr>
                <w:rFonts w:ascii="Cambria Math" w:hAnsi="Cambria Math"/>
                <w:i/>
                <w:color w:val="000000" w:themeColor="text1"/>
                <w:shd w:val="clear" w:color="auto" w:fill="FFFFFF"/>
              </w:rPr>
            </m:ctrlPr>
          </m:fPr>
          <m:num>
            <m:r>
              <m:rPr>
                <m:sty m:val="p"/>
              </m:rPr>
              <w:rPr>
                <w:rFonts w:ascii="Cambria Math" w:hAnsi="Cambria Math"/>
                <w:color w:val="000000" w:themeColor="text1"/>
                <w:shd w:val="clear" w:color="auto" w:fill="FFFFFF"/>
              </w:rPr>
              <m:t>ϕ(</m:t>
            </m:r>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 xml:space="preserve">i </m:t>
                </m:r>
              </m:sub>
            </m:sSub>
            <m:r>
              <w:rPr>
                <w:rFonts w:ascii="Cambria Math" w:hAnsi="Cambria Math"/>
                <w:color w:val="000000" w:themeColor="text1"/>
                <w:shd w:val="clear" w:color="auto" w:fill="FFFFFF"/>
              </w:rPr>
              <m:t>α)</m:t>
            </m:r>
          </m:num>
          <m:den>
            <m:r>
              <m:rPr>
                <m:sty m:val="p"/>
              </m:rPr>
              <w:rPr>
                <w:rFonts w:ascii="Cambria Math" w:hAnsi="Cambria Math"/>
                <w:color w:val="000000" w:themeColor="text1"/>
                <w:shd w:val="clear" w:color="auto" w:fill="FFFFFF"/>
              </w:rPr>
              <m:t>1-Φ</m:t>
            </m:r>
            <m:r>
              <w:rPr>
                <w:rFonts w:ascii="Cambria Math" w:hAnsi="Cambria Math"/>
                <w:color w:val="000000" w:themeColor="text1"/>
                <w:shd w:val="clear" w:color="auto" w:fill="FFFFFF"/>
              </w:rPr>
              <m:t xml:space="preserve"> </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(Z</m:t>
                </m:r>
              </m:e>
              <m:sub>
                <m:r>
                  <w:rPr>
                    <w:rFonts w:ascii="Cambria Math" w:hAnsi="Cambria Math"/>
                    <w:color w:val="000000" w:themeColor="text1"/>
                    <w:shd w:val="clear" w:color="auto" w:fill="FFFFFF"/>
                  </w:rPr>
                  <m:t xml:space="preserve">i </m:t>
                </m:r>
              </m:sub>
            </m:sSub>
            <m:r>
              <w:rPr>
                <w:rFonts w:ascii="Cambria Math" w:hAnsi="Cambria Math"/>
                <w:color w:val="000000" w:themeColor="text1"/>
                <w:shd w:val="clear" w:color="auto" w:fill="FFFFFF"/>
              </w:rPr>
              <m:t>α)</m:t>
            </m:r>
          </m:den>
        </m:f>
      </m:oMath>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ab/>
      </w:r>
      <w:r w:rsidR="00A153ED" w:rsidRPr="00746D97">
        <w:rPr>
          <w:rFonts w:eastAsiaTheme="minorEastAsia"/>
          <w:color w:val="000000" w:themeColor="text1"/>
          <w:shd w:val="clear" w:color="auto" w:fill="FFFFFF"/>
        </w:rPr>
        <w:tab/>
      </w:r>
      <w:r w:rsidR="002043C3" w:rsidRPr="00746D97">
        <w:rPr>
          <w:rFonts w:eastAsiaTheme="minorEastAsia"/>
          <w:color w:val="000000" w:themeColor="text1"/>
          <w:shd w:val="clear" w:color="auto" w:fill="FFFFFF"/>
        </w:rPr>
        <w:tab/>
      </w:r>
      <w:r w:rsidR="00F439FD" w:rsidRPr="00746D97">
        <w:rPr>
          <w:rFonts w:eastAsiaTheme="minorEastAsia"/>
          <w:color w:val="000000" w:themeColor="text1"/>
          <w:shd w:val="clear" w:color="auto" w:fill="FFFFFF"/>
        </w:rPr>
        <w:t>(5)</w:t>
      </w:r>
    </w:p>
    <w:p w:rsidR="00F439FD" w:rsidRPr="00746D97" w:rsidRDefault="00F439FD" w:rsidP="00746D97">
      <w:pPr>
        <w:spacing w:before="240" w:line="360" w:lineRule="auto"/>
        <w:jc w:val="both"/>
        <w:rPr>
          <w:color w:val="000000" w:themeColor="text1"/>
          <w:shd w:val="clear" w:color="auto" w:fill="FFFFFF"/>
        </w:rPr>
      </w:pPr>
      <w:r w:rsidRPr="00746D97">
        <w:rPr>
          <w:color w:val="000000" w:themeColor="text1"/>
          <w:shd w:val="clear" w:color="auto" w:fill="FFFFFF"/>
        </w:rPr>
        <w:lastRenderedPageBreak/>
        <w:t>A non-zero covariance in the error terms of both the selection and outcome equations indicates selection bias; thus, the absence of the selection bias hypothesis would be disproven.</w:t>
      </w:r>
    </w:p>
    <w:p w:rsidR="00F439FD" w:rsidRPr="00746D97" w:rsidRDefault="00F439FD" w:rsidP="00746D97">
      <w:pPr>
        <w:spacing w:before="240" w:line="360" w:lineRule="auto"/>
        <w:jc w:val="both"/>
        <w:rPr>
          <w:color w:val="000000" w:themeColor="text1"/>
          <w:shd w:val="clear" w:color="auto" w:fill="FFFFFF"/>
        </w:rPr>
      </w:pPr>
      <w:r w:rsidRPr="00746D97">
        <w:rPr>
          <w:color w:val="000000" w:themeColor="text1"/>
          <w:shd w:val="clear" w:color="auto" w:fill="FFFFFF"/>
        </w:rPr>
        <w:t>The error components, u</w:t>
      </w:r>
      <w:r w:rsidRPr="00746D97">
        <w:rPr>
          <w:color w:val="000000" w:themeColor="text1"/>
          <w:shd w:val="clear" w:color="auto" w:fill="FFFFFF"/>
          <w:vertAlign w:val="subscript"/>
        </w:rPr>
        <w:t>1i</w:t>
      </w:r>
      <w:r w:rsidRPr="00746D97">
        <w:rPr>
          <w:color w:val="000000" w:themeColor="text1"/>
          <w:shd w:val="clear" w:color="auto" w:fill="FFFFFF"/>
        </w:rPr>
        <w:t xml:space="preserve"> and u</w:t>
      </w:r>
      <w:r w:rsidRPr="00746D97">
        <w:rPr>
          <w:color w:val="000000" w:themeColor="text1"/>
          <w:shd w:val="clear" w:color="auto" w:fill="FFFFFF"/>
          <w:vertAlign w:val="subscript"/>
        </w:rPr>
        <w:t>0i</w:t>
      </w:r>
      <w:r w:rsidRPr="00746D97">
        <w:rPr>
          <w:color w:val="000000" w:themeColor="text1"/>
          <w:shd w:val="clear" w:color="auto" w:fill="FFFFFF"/>
        </w:rPr>
        <w:t>, are intended to follow a trivariate normal distribution with a mean vector of zero and a covariance matrix, as defined in Lokshin and Sajaia (2004)</w:t>
      </w:r>
      <w:r w:rsidR="00A153ED" w:rsidRPr="00746D97">
        <w:rPr>
          <w:color w:val="000000" w:themeColor="text1"/>
          <w:shd w:val="clear" w:color="auto" w:fill="FFFFFF"/>
        </w:rPr>
        <w:t>,</w:t>
      </w:r>
      <w:r w:rsidRPr="00746D97">
        <w:rPr>
          <w:color w:val="000000" w:themeColor="text1"/>
          <w:shd w:val="clear" w:color="auto" w:fill="FFFFFF"/>
        </w:rPr>
        <w:t xml:space="preserve"> as follows.</w:t>
      </w:r>
    </w:p>
    <w:p w:rsidR="00F439FD" w:rsidRPr="00746D97" w:rsidRDefault="00F439FD" w:rsidP="00746D97">
      <w:pPr>
        <w:spacing w:before="240" w:line="360" w:lineRule="auto"/>
        <w:ind w:firstLine="720"/>
        <w:jc w:val="both"/>
        <w:rPr>
          <w:color w:val="000000" w:themeColor="text1"/>
          <w:shd w:val="clear" w:color="auto" w:fill="FFFFFF"/>
        </w:rPr>
      </w:pPr>
      <m:oMath>
        <m:r>
          <m:rPr>
            <m:sty m:val="p"/>
          </m:rPr>
          <w:rPr>
            <w:rFonts w:ascii="Cambria Math" w:hAnsi="Cambria Math"/>
            <w:color w:val="000000" w:themeColor="text1"/>
            <w:shd w:val="clear" w:color="auto" w:fill="FFFFFF"/>
          </w:rPr>
          <m:t>Ω</m:t>
        </m:r>
        <m:r>
          <w:rPr>
            <w:rFonts w:ascii="Cambria Math" w:hAnsi="Cambria Math"/>
            <w:color w:val="000000" w:themeColor="text1"/>
            <w:shd w:val="clear" w:color="auto" w:fill="FFFFFF"/>
          </w:rPr>
          <m:t xml:space="preserve">= </m:t>
        </m:r>
        <m:d>
          <m:dPr>
            <m:begChr m:val="["/>
            <m:endChr m:val="]"/>
            <m:ctrlPr>
              <w:rPr>
                <w:rFonts w:ascii="Cambria Math" w:hAnsi="Cambria Math"/>
                <w:i/>
                <w:color w:val="000000" w:themeColor="text1"/>
                <w:shd w:val="clear" w:color="auto" w:fill="FFFFFF"/>
              </w:rPr>
            </m:ctrlPr>
          </m:dPr>
          <m:e>
            <m:m>
              <m:mPr>
                <m:mcs>
                  <m:mc>
                    <m:mcPr>
                      <m:count m:val="3"/>
                      <m:mcJc m:val="center"/>
                    </m:mcPr>
                  </m:mc>
                </m:mcs>
                <m:ctrlPr>
                  <w:rPr>
                    <w:rFonts w:ascii="Cambria Math" w:hAnsi="Cambria Math"/>
                    <w:i/>
                    <w:color w:val="000000" w:themeColor="text1"/>
                    <w:shd w:val="clear" w:color="auto" w:fill="FFFFFF"/>
                  </w:rPr>
                </m:ctrlPr>
              </m:mPr>
              <m:mr>
                <m:e>
                  <m:sSubSup>
                    <m:sSubSupPr>
                      <m:ctrlPr>
                        <w:rPr>
                          <w:rFonts w:ascii="Cambria Math" w:hAnsi="Cambria Math"/>
                          <w:i/>
                          <w:color w:val="000000" w:themeColor="text1"/>
                          <w:shd w:val="clear" w:color="auto" w:fill="FFFFFF"/>
                        </w:rPr>
                      </m:ctrlPr>
                    </m:sSubSup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1</m:t>
                      </m:r>
                    </m:sub>
                    <m:sup>
                      <m:r>
                        <w:rPr>
                          <w:rFonts w:ascii="Cambria Math" w:hAnsi="Cambria Math"/>
                          <w:color w:val="000000" w:themeColor="text1"/>
                          <w:shd w:val="clear" w:color="auto" w:fill="FFFFFF"/>
                        </w:rPr>
                        <m:t>2</m:t>
                      </m:r>
                    </m:sup>
                  </m:sSubSup>
                </m:e>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1</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0</m:t>
                      </m:r>
                    </m:sub>
                  </m:sSub>
                </m:e>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1e</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1</m:t>
                      </m:r>
                    </m:sub>
                  </m:sSub>
                </m:e>
              </m:mr>
              <m:mr>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1</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0</m:t>
                      </m:r>
                    </m:sub>
                  </m:sSub>
                </m:e>
                <m:e>
                  <m:sSubSup>
                    <m:sSubSupPr>
                      <m:ctrlPr>
                        <w:rPr>
                          <w:rFonts w:ascii="Cambria Math" w:hAnsi="Cambria Math"/>
                          <w:i/>
                          <w:color w:val="000000" w:themeColor="text1"/>
                          <w:shd w:val="clear" w:color="auto" w:fill="FFFFFF"/>
                        </w:rPr>
                      </m:ctrlPr>
                    </m:sSubSup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0</m:t>
                      </m:r>
                    </m:sub>
                    <m:sup>
                      <m:r>
                        <w:rPr>
                          <w:rFonts w:ascii="Cambria Math" w:hAnsi="Cambria Math"/>
                          <w:color w:val="000000" w:themeColor="text1"/>
                          <w:shd w:val="clear" w:color="auto" w:fill="FFFFFF"/>
                        </w:rPr>
                        <m:t>2</m:t>
                      </m:r>
                    </m:sup>
                  </m:sSubSup>
                </m:e>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0e</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1</m:t>
                      </m:r>
                    </m:sub>
                  </m:sSub>
                </m:e>
              </m:mr>
              <m:mr>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1e</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1</m:t>
                      </m:r>
                    </m:sub>
                  </m:sSub>
                </m:e>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0e</m:t>
                      </m:r>
                    </m:sub>
                  </m:sSub>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0</m:t>
                      </m:r>
                    </m:sub>
                  </m:sSub>
                </m:e>
                <m:e>
                  <m:sSubSup>
                    <m:sSubSupPr>
                      <m:ctrlPr>
                        <w:rPr>
                          <w:rFonts w:ascii="Cambria Math" w:hAnsi="Cambria Math"/>
                          <w:i/>
                          <w:color w:val="000000" w:themeColor="text1"/>
                          <w:shd w:val="clear" w:color="auto" w:fill="FFFFFF"/>
                        </w:rPr>
                      </m:ctrlPr>
                    </m:sSubSupPr>
                    <m:e>
                      <m:r>
                        <w:rPr>
                          <w:rFonts w:ascii="Cambria Math" w:hAnsi="Cambria Math"/>
                          <w:color w:val="000000" w:themeColor="text1"/>
                          <w:shd w:val="clear" w:color="auto" w:fill="FFFFFF"/>
                        </w:rPr>
                        <m:t>σ</m:t>
                      </m:r>
                    </m:e>
                    <m:sub>
                      <m:r>
                        <w:rPr>
                          <w:rFonts w:ascii="Cambria Math" w:hAnsi="Cambria Math"/>
                          <w:color w:val="000000" w:themeColor="text1"/>
                          <w:shd w:val="clear" w:color="auto" w:fill="FFFFFF"/>
                        </w:rPr>
                        <m:t>e</m:t>
                      </m:r>
                    </m:sub>
                    <m:sup>
                      <m:r>
                        <w:rPr>
                          <w:rFonts w:ascii="Cambria Math" w:hAnsi="Cambria Math"/>
                          <w:color w:val="000000" w:themeColor="text1"/>
                          <w:shd w:val="clear" w:color="auto" w:fill="FFFFFF"/>
                        </w:rPr>
                        <m:t>2</m:t>
                      </m:r>
                    </m:sup>
                  </m:sSubSup>
                </m:e>
              </m:mr>
            </m:m>
          </m:e>
        </m:d>
      </m:oMath>
      <w:r w:rsidRPr="00746D97">
        <w:rPr>
          <w:rFonts w:eastAsiaTheme="minorEastAsia"/>
          <w:color w:val="000000" w:themeColor="text1"/>
          <w:shd w:val="clear" w:color="auto" w:fill="FFFFFF"/>
        </w:rPr>
        <w:tab/>
      </w:r>
      <w:r w:rsidRPr="00746D97">
        <w:rPr>
          <w:rFonts w:eastAsiaTheme="minorEastAsia"/>
          <w:color w:val="000000" w:themeColor="text1"/>
          <w:shd w:val="clear" w:color="auto" w:fill="FFFFFF"/>
        </w:rPr>
        <w:tab/>
      </w:r>
      <w:r w:rsidRPr="00746D97">
        <w:rPr>
          <w:rFonts w:eastAsiaTheme="minorEastAsia"/>
          <w:color w:val="000000" w:themeColor="text1"/>
          <w:shd w:val="clear" w:color="auto" w:fill="FFFFFF"/>
        </w:rPr>
        <w:tab/>
      </w:r>
      <w:r w:rsidRPr="00746D97">
        <w:rPr>
          <w:rFonts w:eastAsiaTheme="minorEastAsia"/>
          <w:color w:val="000000" w:themeColor="text1"/>
          <w:shd w:val="clear" w:color="auto" w:fill="FFFFFF"/>
        </w:rPr>
        <w:tab/>
      </w:r>
      <w:r w:rsidRPr="00746D97">
        <w:rPr>
          <w:rFonts w:eastAsiaTheme="minorEastAsia"/>
          <w:color w:val="000000" w:themeColor="text1"/>
          <w:shd w:val="clear" w:color="auto" w:fill="FFFFFF"/>
        </w:rPr>
        <w:tab/>
      </w:r>
      <w:r w:rsidR="00E6306A" w:rsidRPr="00746D97">
        <w:rPr>
          <w:rFonts w:eastAsiaTheme="minorEastAsia"/>
          <w:color w:val="000000" w:themeColor="text1"/>
          <w:shd w:val="clear" w:color="auto" w:fill="FFFFFF"/>
        </w:rPr>
        <w:tab/>
      </w:r>
      <w:r w:rsidR="00E6306A" w:rsidRPr="00746D97">
        <w:rPr>
          <w:rFonts w:eastAsiaTheme="minorEastAsia"/>
          <w:color w:val="000000" w:themeColor="text1"/>
          <w:shd w:val="clear" w:color="auto" w:fill="FFFFFF"/>
        </w:rPr>
        <w:tab/>
      </w:r>
      <w:r w:rsidRPr="00746D97">
        <w:rPr>
          <w:rFonts w:eastAsiaTheme="minorEastAsia"/>
          <w:color w:val="000000" w:themeColor="text1"/>
          <w:shd w:val="clear" w:color="auto" w:fill="FFFFFF"/>
        </w:rPr>
        <w:t>(6)</w:t>
      </w:r>
    </w:p>
    <w:p w:rsidR="00F439FD" w:rsidRPr="00746D97" w:rsidRDefault="00F439FD" w:rsidP="00746D97">
      <w:pPr>
        <w:spacing w:before="240" w:line="360" w:lineRule="auto"/>
        <w:jc w:val="both"/>
        <w:rPr>
          <w:color w:val="000000" w:themeColor="text1"/>
          <w:shd w:val="clear" w:color="auto" w:fill="FFFFFF"/>
        </w:rPr>
      </w:pPr>
      <w:r w:rsidRPr="00746D97">
        <w:rPr>
          <w:color w:val="000000" w:themeColor="text1"/>
          <w:shd w:val="clear" w:color="auto" w:fill="FFFFFF"/>
        </w:rPr>
        <w:t xml:space="preserve">Error terms for the selection and outcome equations have a covariance structure </w:t>
      </w:r>
      <w:r w:rsidRPr="00746D97">
        <w:rPr>
          <w:color w:val="000000" w:themeColor="text1"/>
        </w:rPr>
        <w:t>(Ɛ, u) = ρ</w:t>
      </w:r>
      <w:r w:rsidRPr="00746D97">
        <w:rPr>
          <w:color w:val="000000" w:themeColor="text1"/>
          <w:shd w:val="clear" w:color="auto" w:fill="FFFFFF"/>
        </w:rPr>
        <w:t xml:space="preserve">. Here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1e</m:t>
            </m:r>
          </m:sub>
        </m:sSub>
      </m:oMath>
      <w:r w:rsidRPr="00746D97">
        <w:rPr>
          <w:color w:val="000000" w:themeColor="text1"/>
          <w:shd w:val="clear" w:color="auto" w:fill="FFFFFF"/>
        </w:rPr>
        <w:t xml:space="preserve"> and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0e</m:t>
            </m:r>
          </m:sub>
        </m:sSub>
      </m:oMath>
      <w:r w:rsidRPr="00746D97">
        <w:rPr>
          <w:color w:val="000000" w:themeColor="text1"/>
          <w:shd w:val="clear" w:color="auto" w:fill="FFFFFF"/>
        </w:rPr>
        <w:t xml:space="preserve">  are the coefficients of correlation associated with u</w:t>
      </w:r>
      <w:r w:rsidRPr="00F0679E">
        <w:rPr>
          <w:color w:val="000000" w:themeColor="text1"/>
          <w:shd w:val="clear" w:color="auto" w:fill="FFFFFF"/>
          <w:vertAlign w:val="subscript"/>
        </w:rPr>
        <w:t>1i</w:t>
      </w:r>
      <w:r w:rsidRPr="00746D97">
        <w:rPr>
          <w:color w:val="000000" w:themeColor="text1"/>
          <w:shd w:val="clear" w:color="auto" w:fill="FFFFFF"/>
        </w:rPr>
        <w:t xml:space="preserve"> and Ɛ</w:t>
      </w:r>
      <w:r w:rsidRPr="00F0679E">
        <w:rPr>
          <w:color w:val="000000" w:themeColor="text1"/>
          <w:shd w:val="clear" w:color="auto" w:fill="FFFFFF"/>
          <w:vertAlign w:val="subscript"/>
        </w:rPr>
        <w:t>i</w:t>
      </w:r>
      <w:r w:rsidRPr="00746D97">
        <w:rPr>
          <w:color w:val="000000" w:themeColor="text1"/>
          <w:shd w:val="clear" w:color="auto" w:fill="FFFFFF"/>
        </w:rPr>
        <w:t xml:space="preserve"> and with u0i and  Ɛi, respectively. If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1e</m:t>
            </m:r>
          </m:sub>
        </m:sSub>
      </m:oMath>
      <w:r w:rsidRPr="00746D97">
        <w:rPr>
          <w:color w:val="000000" w:themeColor="text1"/>
          <w:shd w:val="clear" w:color="auto" w:fill="FFFFFF"/>
        </w:rPr>
        <w:t xml:space="preserve"> and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ρ</m:t>
            </m:r>
          </m:e>
          <m:sub>
            <m:r>
              <w:rPr>
                <w:rFonts w:ascii="Cambria Math" w:hAnsi="Cambria Math"/>
                <w:color w:val="000000" w:themeColor="text1"/>
                <w:shd w:val="clear" w:color="auto" w:fill="FFFFFF"/>
              </w:rPr>
              <m:t xml:space="preserve">0e </m:t>
            </m:r>
          </m:sub>
        </m:sSub>
      </m:oMath>
      <w:r w:rsidRPr="00746D97">
        <w:rPr>
          <w:color w:val="000000" w:themeColor="text1"/>
          <w:shd w:val="clear" w:color="auto" w:fill="FFFFFF"/>
        </w:rPr>
        <w:t xml:space="preserve">are significantly not equal to zero, there is selection bias. When ρ &gt; 0, we have a negative selection bias. This means that firms with below-average </w:t>
      </w:r>
      <w:r w:rsidR="00F0679E">
        <w:rPr>
          <w:color w:val="000000" w:themeColor="text1"/>
          <w:shd w:val="clear" w:color="auto" w:fill="FFFFFF"/>
        </w:rPr>
        <w:t>profit efficiency</w:t>
      </w:r>
      <w:r w:rsidRPr="00746D97">
        <w:rPr>
          <w:color w:val="000000" w:themeColor="text1"/>
          <w:shd w:val="clear" w:color="auto" w:fill="FFFFFF"/>
        </w:rPr>
        <w:t xml:space="preserve"> are more likely to</w:t>
      </w:r>
      <w:r w:rsidR="00F0679E">
        <w:rPr>
          <w:color w:val="000000" w:themeColor="text1"/>
          <w:shd w:val="clear" w:color="auto" w:fill="FFFFFF"/>
        </w:rPr>
        <w:t xml:space="preserve"> be financially included</w:t>
      </w:r>
      <w:r w:rsidRPr="00746D97">
        <w:rPr>
          <w:color w:val="000000" w:themeColor="text1"/>
          <w:shd w:val="clear" w:color="auto" w:fill="FFFFFF"/>
        </w:rPr>
        <w:t xml:space="preserve">. A positive selection bias would suggest that ρ &lt; 0, implying that firms with above-average </w:t>
      </w:r>
      <w:r w:rsidR="00F0679E">
        <w:rPr>
          <w:color w:val="000000" w:themeColor="text1"/>
          <w:shd w:val="clear" w:color="auto" w:fill="FFFFFF"/>
        </w:rPr>
        <w:t>profit efficiency</w:t>
      </w:r>
      <w:r w:rsidRPr="00746D97">
        <w:rPr>
          <w:color w:val="000000" w:themeColor="text1"/>
          <w:shd w:val="clear" w:color="auto" w:fill="FFFFFF"/>
        </w:rPr>
        <w:t xml:space="preserve"> are more likely to participate in export markets.</w:t>
      </w:r>
    </w:p>
    <w:p w:rsidR="00F439FD" w:rsidRPr="00746D97" w:rsidRDefault="00F439FD" w:rsidP="00746D97">
      <w:pPr>
        <w:spacing w:before="240" w:line="360" w:lineRule="auto"/>
        <w:jc w:val="both"/>
        <w:rPr>
          <w:shd w:val="clear" w:color="auto" w:fill="FFFFFF"/>
        </w:rPr>
      </w:pPr>
      <w:r w:rsidRPr="00746D97">
        <w:rPr>
          <w:shd w:val="clear" w:color="auto" w:fill="FFFFFF"/>
        </w:rPr>
        <w:t xml:space="preserve">This study aims to measure the influence of </w:t>
      </w:r>
      <w:r w:rsidR="00504E83">
        <w:rPr>
          <w:shd w:val="clear" w:color="auto" w:fill="FFFFFF"/>
        </w:rPr>
        <w:t>financial inclusion</w:t>
      </w:r>
      <w:r w:rsidRPr="00746D97">
        <w:rPr>
          <w:shd w:val="clear" w:color="auto" w:fill="FFFFFF"/>
        </w:rPr>
        <w:t xml:space="preserve"> on </w:t>
      </w:r>
      <w:r w:rsidR="00504E83">
        <w:rPr>
          <w:shd w:val="clear" w:color="auto" w:fill="FFFFFF"/>
        </w:rPr>
        <w:t>firm productivity by using profit efficiency as the outcome indicator</w:t>
      </w:r>
      <w:r w:rsidRPr="00746D97">
        <w:rPr>
          <w:shd w:val="clear" w:color="auto" w:fill="FFFFFF"/>
        </w:rPr>
        <w:t xml:space="preserve">, specifically the differences between </w:t>
      </w:r>
      <w:r w:rsidR="00504E83">
        <w:rPr>
          <w:shd w:val="clear" w:color="auto" w:fill="FFFFFF"/>
        </w:rPr>
        <w:t>financially included</w:t>
      </w:r>
      <w:r w:rsidRPr="00746D97">
        <w:rPr>
          <w:shd w:val="clear" w:color="auto" w:fill="FFFFFF"/>
        </w:rPr>
        <w:t xml:space="preserve"> and </w:t>
      </w:r>
      <w:r w:rsidR="00504E83">
        <w:rPr>
          <w:shd w:val="clear" w:color="auto" w:fill="FFFFFF"/>
        </w:rPr>
        <w:t>excluded</w:t>
      </w:r>
      <w:r w:rsidRPr="00746D97">
        <w:rPr>
          <w:shd w:val="clear" w:color="auto" w:fill="FFFFFF"/>
        </w:rPr>
        <w:t xml:space="preserve"> firms. Equations (7) – (10) present Yi (</w:t>
      </w:r>
      <w:r w:rsidR="00504E83">
        <w:rPr>
          <w:shd w:val="clear" w:color="auto" w:fill="FFFFFF"/>
        </w:rPr>
        <w:t>profit efficiency</w:t>
      </w:r>
      <w:r w:rsidRPr="00746D97">
        <w:rPr>
          <w:shd w:val="clear" w:color="auto" w:fill="FFFFFF"/>
        </w:rPr>
        <w:t>) as the average treatment impact. The equations for the expected conditional and average treatment effects of employed and non-engaged groups are:</w:t>
      </w:r>
    </w:p>
    <w:p w:rsidR="00F439FD" w:rsidRPr="00746D97" w:rsidRDefault="00F439FD" w:rsidP="00746D97">
      <w:pPr>
        <w:spacing w:before="240" w:after="240" w:line="360" w:lineRule="auto"/>
        <w:jc w:val="both"/>
      </w:pPr>
      <w:r w:rsidRPr="00746D97">
        <w:t xml:space="preserve">The equation for </w:t>
      </w:r>
      <w:r w:rsidR="001D6F46">
        <w:t>firms</w:t>
      </w:r>
      <w:r w:rsidRPr="00746D97">
        <w:t xml:space="preserve"> </w:t>
      </w:r>
      <w:r w:rsidR="00C71B9E">
        <w:t xml:space="preserve">that </w:t>
      </w:r>
      <w:r w:rsidR="007827E5">
        <w:t>have access to financial services</w:t>
      </w:r>
      <w:r w:rsidRPr="00746D97">
        <w:t>:</w:t>
      </w:r>
    </w:p>
    <w:p w:rsidR="00F439FD" w:rsidRPr="00746D97" w:rsidRDefault="00F439FD" w:rsidP="00746D97">
      <w:pPr>
        <w:spacing w:before="240" w:after="240" w:line="360" w:lineRule="auto"/>
        <w:ind w:left="720" w:firstLine="720"/>
        <w:jc w:val="both"/>
        <w:rPr>
          <w:rFonts w:eastAsiaTheme="minorEastAsia"/>
          <w:shd w:val="clear" w:color="auto" w:fill="FFFFFF"/>
        </w:rPr>
      </w:pPr>
      <m:oMath>
        <m:r>
          <w:rPr>
            <w:rFonts w:ascii="Cambria Math" w:hAnsi="Cambria Math"/>
            <w:shd w:val="clear" w:color="auto" w:fill="FFFFFF"/>
          </w:rPr>
          <m:t>E</m:t>
        </m:r>
        <m:d>
          <m:dPr>
            <m:begChr m:val="["/>
            <m:endChr m:val="]"/>
            <m:ctrlPr>
              <w:rPr>
                <w:rFonts w:ascii="Cambria Math" w:hAnsi="Cambria Math"/>
                <w:i/>
                <w:shd w:val="clear" w:color="auto" w:fill="FFFFFF"/>
              </w:rPr>
            </m:ctrlPr>
          </m:dPr>
          <m:e>
            <m:f>
              <m:fPr>
                <m:type m:val="skw"/>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Y</m:t>
                    </m:r>
                  </m:e>
                  <m:sub>
                    <m:r>
                      <w:rPr>
                        <w:rFonts w:ascii="Cambria Math" w:hAnsi="Cambria Math"/>
                        <w:shd w:val="clear" w:color="auto" w:fill="FFFFFF"/>
                      </w:rPr>
                      <m:t>1i</m:t>
                    </m:r>
                  </m:sub>
                </m:sSub>
              </m:num>
              <m:den>
                <m:r>
                  <w:rPr>
                    <w:rFonts w:ascii="Cambria Math" w:hAnsi="Cambria Math"/>
                    <w:shd w:val="clear" w:color="auto" w:fill="FFFFFF"/>
                  </w:rPr>
                  <m:t>Z</m:t>
                </m:r>
              </m:den>
            </m:f>
            <m:r>
              <w:rPr>
                <w:rFonts w:ascii="Cambria Math" w:hAnsi="Cambria Math"/>
                <w:shd w:val="clear" w:color="auto" w:fill="FFFFFF"/>
              </w:rPr>
              <m:t xml:space="preserve"> , </m:t>
            </m:r>
            <m:sSub>
              <m:sSubPr>
                <m:ctrlPr>
                  <w:rPr>
                    <w:rFonts w:ascii="Cambria Math" w:hAnsi="Cambria Math"/>
                    <w:i/>
                    <w:shd w:val="clear" w:color="auto" w:fill="FFFFFF"/>
                  </w:rPr>
                </m:ctrlPr>
              </m:sSubPr>
              <m:e>
                <m:r>
                  <w:rPr>
                    <w:rFonts w:ascii="Cambria Math" w:hAnsi="Cambria Math"/>
                    <w:shd w:val="clear" w:color="auto" w:fill="FFFFFF"/>
                  </w:rPr>
                  <m:t>A</m:t>
                </m:r>
              </m:e>
              <m:sub>
                <m:r>
                  <w:rPr>
                    <w:rFonts w:ascii="Cambria Math" w:hAnsi="Cambria Math"/>
                    <w:shd w:val="clear" w:color="auto" w:fill="FFFFFF"/>
                  </w:rPr>
                  <m:t>i</m:t>
                </m:r>
              </m:sub>
            </m:sSub>
            <m:r>
              <w:rPr>
                <w:rFonts w:ascii="Cambria Math" w:hAnsi="Cambria Math"/>
                <w:shd w:val="clear" w:color="auto" w:fill="FFFFFF"/>
              </w:rPr>
              <m:t>=1</m:t>
            </m:r>
          </m:e>
        </m:d>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α</m:t>
            </m:r>
          </m:e>
          <m:sub>
            <m:r>
              <w:rPr>
                <w:rFonts w:ascii="Cambria Math" w:hAnsi="Cambria Math"/>
                <w:shd w:val="clear" w:color="auto" w:fill="FFFFFF"/>
              </w:rPr>
              <m:t>1</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Z</m:t>
            </m:r>
          </m:e>
          <m:sub>
            <m:r>
              <w:rPr>
                <w:rFonts w:ascii="Cambria Math" w:hAnsi="Cambria Math"/>
                <w:shd w:val="clear" w:color="auto" w:fill="FFFFFF"/>
              </w:rPr>
              <m:t>1i</m:t>
            </m:r>
          </m:sub>
        </m:sSub>
        <m:sSub>
          <m:sSubPr>
            <m:ctrlPr>
              <w:rPr>
                <w:rFonts w:ascii="Cambria Math" w:hAnsi="Cambria Math"/>
                <w:i/>
                <w:shd w:val="clear" w:color="auto" w:fill="FFFFFF"/>
              </w:rPr>
            </m:ctrlPr>
          </m:sSubPr>
          <m:e>
            <m:r>
              <w:rPr>
                <w:rFonts w:ascii="Cambria Math" w:hAnsi="Cambria Math"/>
                <w:shd w:val="clear" w:color="auto" w:fill="FFFFFF"/>
              </w:rPr>
              <m:t>β</m:t>
            </m:r>
          </m:e>
          <m:sub>
            <m:r>
              <w:rPr>
                <w:rFonts w:ascii="Cambria Math" w:hAnsi="Cambria Math"/>
                <w:shd w:val="clear" w:color="auto" w:fill="FFFFFF"/>
              </w:rPr>
              <m:t>1</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ρ</m:t>
            </m:r>
          </m:e>
          <m:sub>
            <m:r>
              <w:rPr>
                <w:rFonts w:ascii="Cambria Math" w:hAnsi="Cambria Math"/>
                <w:shd w:val="clear" w:color="auto" w:fill="FFFFFF"/>
              </w:rPr>
              <m:t>1i</m:t>
            </m:r>
          </m:sub>
        </m:sSub>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1ε</m:t>
            </m:r>
          </m:sub>
        </m:sSub>
        <m:sSub>
          <m:sSubPr>
            <m:ctrlPr>
              <w:rPr>
                <w:rFonts w:ascii="Cambria Math" w:hAnsi="Cambria Math"/>
                <w:i/>
                <w:shd w:val="clear" w:color="auto" w:fill="FFFFFF"/>
              </w:rPr>
            </m:ctrlPr>
          </m:sSubPr>
          <m:e>
            <m:r>
              <w:rPr>
                <w:rFonts w:ascii="Cambria Math" w:hAnsi="Cambria Math"/>
                <w:shd w:val="clear" w:color="auto" w:fill="FFFFFF"/>
              </w:rPr>
              <m:t>λ</m:t>
            </m:r>
          </m:e>
          <m:sub>
            <m:r>
              <w:rPr>
                <w:rFonts w:ascii="Cambria Math" w:hAnsi="Cambria Math"/>
                <w:shd w:val="clear" w:color="auto" w:fill="FFFFFF"/>
              </w:rPr>
              <m:t>1i</m:t>
            </m:r>
          </m:sub>
        </m:sSub>
      </m:oMath>
      <w:r w:rsidRPr="00746D97">
        <w:rPr>
          <w:rFonts w:eastAsiaTheme="minorEastAsia"/>
          <w:shd w:val="clear" w:color="auto" w:fill="FFFFFF"/>
        </w:rPr>
        <w:t xml:space="preserve"> </w:t>
      </w:r>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t>(7)</w:t>
      </w:r>
      <w:r w:rsidRPr="00746D97">
        <w:rPr>
          <w:rFonts w:eastAsiaTheme="minorEastAsia"/>
          <w:shd w:val="clear" w:color="auto" w:fill="FFFFFF"/>
        </w:rPr>
        <w:tab/>
      </w:r>
    </w:p>
    <w:p w:rsidR="00F439FD" w:rsidRPr="00746D97" w:rsidRDefault="00F439FD" w:rsidP="00746D97">
      <w:pPr>
        <w:spacing w:before="240" w:after="240" w:line="360" w:lineRule="auto"/>
        <w:jc w:val="both"/>
      </w:pPr>
      <w:r w:rsidRPr="00746D97">
        <w:t xml:space="preserve">The equation for firms that do not </w:t>
      </w:r>
      <w:r w:rsidR="009531B0">
        <w:t xml:space="preserve">provide </w:t>
      </w:r>
      <w:r w:rsidR="007827E5">
        <w:t>financial services</w:t>
      </w:r>
      <w:r w:rsidRPr="00746D97">
        <w:t>:</w:t>
      </w:r>
    </w:p>
    <w:p w:rsidR="00F439FD" w:rsidRPr="00746D97" w:rsidRDefault="00F439FD" w:rsidP="00746D97">
      <w:pPr>
        <w:spacing w:before="240" w:after="240" w:line="360" w:lineRule="auto"/>
        <w:ind w:left="720" w:firstLine="720"/>
        <w:jc w:val="both"/>
        <w:rPr>
          <w:rFonts w:eastAsiaTheme="minorEastAsia"/>
          <w:shd w:val="clear" w:color="auto" w:fill="FFFFFF"/>
        </w:rPr>
      </w:pPr>
      <m:oMath>
        <m:r>
          <w:rPr>
            <w:rFonts w:ascii="Cambria Math" w:hAnsi="Cambria Math"/>
            <w:shd w:val="clear" w:color="auto" w:fill="FFFFFF"/>
          </w:rPr>
          <m:t>E</m:t>
        </m:r>
        <m:d>
          <m:dPr>
            <m:begChr m:val="["/>
            <m:endChr m:val="]"/>
            <m:ctrlPr>
              <w:rPr>
                <w:rFonts w:ascii="Cambria Math" w:hAnsi="Cambria Math"/>
                <w:i/>
                <w:shd w:val="clear" w:color="auto" w:fill="FFFFFF"/>
              </w:rPr>
            </m:ctrlPr>
          </m:dPr>
          <m:e>
            <m:f>
              <m:fPr>
                <m:type m:val="skw"/>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Y</m:t>
                    </m:r>
                  </m:e>
                  <m:sub>
                    <m:r>
                      <w:rPr>
                        <w:rFonts w:ascii="Cambria Math" w:hAnsi="Cambria Math"/>
                        <w:shd w:val="clear" w:color="auto" w:fill="FFFFFF"/>
                      </w:rPr>
                      <m:t>0i</m:t>
                    </m:r>
                  </m:sub>
                </m:sSub>
              </m:num>
              <m:den>
                <m:r>
                  <w:rPr>
                    <w:rFonts w:ascii="Cambria Math" w:hAnsi="Cambria Math"/>
                    <w:shd w:val="clear" w:color="auto" w:fill="FFFFFF"/>
                  </w:rPr>
                  <m:t>Z</m:t>
                </m:r>
              </m:den>
            </m:f>
            <m:r>
              <w:rPr>
                <w:rFonts w:ascii="Cambria Math" w:hAnsi="Cambria Math"/>
                <w:shd w:val="clear" w:color="auto" w:fill="FFFFFF"/>
              </w:rPr>
              <m:t xml:space="preserve"> , </m:t>
            </m:r>
            <m:sSub>
              <m:sSubPr>
                <m:ctrlPr>
                  <w:rPr>
                    <w:rFonts w:ascii="Cambria Math" w:hAnsi="Cambria Math"/>
                    <w:i/>
                    <w:shd w:val="clear" w:color="auto" w:fill="FFFFFF"/>
                  </w:rPr>
                </m:ctrlPr>
              </m:sSubPr>
              <m:e>
                <m:r>
                  <w:rPr>
                    <w:rFonts w:ascii="Cambria Math" w:hAnsi="Cambria Math"/>
                    <w:shd w:val="clear" w:color="auto" w:fill="FFFFFF"/>
                  </w:rPr>
                  <m:t>A</m:t>
                </m:r>
              </m:e>
              <m:sub>
                <m:r>
                  <w:rPr>
                    <w:rFonts w:ascii="Cambria Math" w:hAnsi="Cambria Math"/>
                    <w:shd w:val="clear" w:color="auto" w:fill="FFFFFF"/>
                  </w:rPr>
                  <m:t>i</m:t>
                </m:r>
              </m:sub>
            </m:sSub>
            <m:r>
              <w:rPr>
                <w:rFonts w:ascii="Cambria Math" w:hAnsi="Cambria Math"/>
                <w:shd w:val="clear" w:color="auto" w:fill="FFFFFF"/>
              </w:rPr>
              <m:t>=1</m:t>
            </m:r>
          </m:e>
        </m:d>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α</m:t>
            </m:r>
          </m:e>
          <m:sub>
            <m:r>
              <w:rPr>
                <w:rFonts w:ascii="Cambria Math" w:hAnsi="Cambria Math"/>
                <w:shd w:val="clear" w:color="auto" w:fill="FFFFFF"/>
              </w:rPr>
              <m:t>0</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Z</m:t>
            </m:r>
          </m:e>
          <m:sub>
            <m:r>
              <w:rPr>
                <w:rFonts w:ascii="Cambria Math" w:hAnsi="Cambria Math"/>
                <w:shd w:val="clear" w:color="auto" w:fill="FFFFFF"/>
              </w:rPr>
              <m:t>0i</m:t>
            </m:r>
          </m:sub>
        </m:sSub>
        <m:sSub>
          <m:sSubPr>
            <m:ctrlPr>
              <w:rPr>
                <w:rFonts w:ascii="Cambria Math" w:hAnsi="Cambria Math"/>
                <w:i/>
                <w:shd w:val="clear" w:color="auto" w:fill="FFFFFF"/>
              </w:rPr>
            </m:ctrlPr>
          </m:sSubPr>
          <m:e>
            <m:r>
              <w:rPr>
                <w:rFonts w:ascii="Cambria Math" w:hAnsi="Cambria Math"/>
                <w:shd w:val="clear" w:color="auto" w:fill="FFFFFF"/>
              </w:rPr>
              <m:t>β</m:t>
            </m:r>
          </m:e>
          <m:sub>
            <m:r>
              <w:rPr>
                <w:rFonts w:ascii="Cambria Math" w:hAnsi="Cambria Math"/>
                <w:shd w:val="clear" w:color="auto" w:fill="FFFFFF"/>
              </w:rPr>
              <m:t>0</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ρ</m:t>
            </m:r>
          </m:e>
          <m:sub>
            <m:r>
              <w:rPr>
                <w:rFonts w:ascii="Cambria Math" w:hAnsi="Cambria Math"/>
                <w:shd w:val="clear" w:color="auto" w:fill="FFFFFF"/>
              </w:rPr>
              <m:t>0i</m:t>
            </m:r>
          </m:sub>
        </m:sSub>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0ε</m:t>
            </m:r>
          </m:sub>
        </m:sSub>
        <m:sSub>
          <m:sSubPr>
            <m:ctrlPr>
              <w:rPr>
                <w:rFonts w:ascii="Cambria Math" w:hAnsi="Cambria Math"/>
                <w:i/>
                <w:shd w:val="clear" w:color="auto" w:fill="FFFFFF"/>
              </w:rPr>
            </m:ctrlPr>
          </m:sSubPr>
          <m:e>
            <m:r>
              <w:rPr>
                <w:rFonts w:ascii="Cambria Math" w:hAnsi="Cambria Math"/>
                <w:shd w:val="clear" w:color="auto" w:fill="FFFFFF"/>
              </w:rPr>
              <m:t>λ</m:t>
            </m:r>
          </m:e>
          <m:sub>
            <m:r>
              <w:rPr>
                <w:rFonts w:ascii="Cambria Math" w:hAnsi="Cambria Math"/>
                <w:shd w:val="clear" w:color="auto" w:fill="FFFFFF"/>
              </w:rPr>
              <m:t>0i</m:t>
            </m:r>
          </m:sub>
        </m:sSub>
      </m:oMath>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t>(8)</w:t>
      </w:r>
    </w:p>
    <w:p w:rsidR="00F439FD" w:rsidRPr="00746D97" w:rsidRDefault="00F439FD" w:rsidP="00746D97">
      <w:pPr>
        <w:spacing w:before="240" w:after="240" w:line="360" w:lineRule="auto"/>
        <w:jc w:val="both"/>
      </w:pPr>
      <w:r w:rsidRPr="00746D97">
        <w:t xml:space="preserve">The equation for </w:t>
      </w:r>
      <w:r w:rsidR="007827E5">
        <w:t>financially included</w:t>
      </w:r>
      <w:r w:rsidRPr="00746D97">
        <w:t xml:space="preserve"> firms when they decide to </w:t>
      </w:r>
      <w:r w:rsidR="007827E5">
        <w:t>access financial services</w:t>
      </w:r>
      <w:r w:rsidRPr="00746D97">
        <w:t>:</w:t>
      </w:r>
    </w:p>
    <w:p w:rsidR="00F439FD" w:rsidRPr="00746D97" w:rsidRDefault="00F439FD" w:rsidP="00746D97">
      <w:pPr>
        <w:spacing w:before="240" w:after="240" w:line="360" w:lineRule="auto"/>
        <w:ind w:left="720" w:firstLine="720"/>
        <w:jc w:val="both"/>
        <w:rPr>
          <w:rFonts w:eastAsiaTheme="minorEastAsia"/>
          <w:shd w:val="clear" w:color="auto" w:fill="FFFFFF"/>
        </w:rPr>
      </w:pPr>
      <m:oMath>
        <m:r>
          <w:rPr>
            <w:rFonts w:ascii="Cambria Math" w:hAnsi="Cambria Math"/>
            <w:shd w:val="clear" w:color="auto" w:fill="FFFFFF"/>
          </w:rPr>
          <m:t>E</m:t>
        </m:r>
        <m:d>
          <m:dPr>
            <m:begChr m:val="["/>
            <m:endChr m:val="]"/>
            <m:ctrlPr>
              <w:rPr>
                <w:rFonts w:ascii="Cambria Math" w:hAnsi="Cambria Math"/>
                <w:i/>
                <w:shd w:val="clear" w:color="auto" w:fill="FFFFFF"/>
              </w:rPr>
            </m:ctrlPr>
          </m:dPr>
          <m:e>
            <m:f>
              <m:fPr>
                <m:type m:val="skw"/>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Y</m:t>
                    </m:r>
                  </m:e>
                  <m:sub>
                    <m:r>
                      <w:rPr>
                        <w:rFonts w:ascii="Cambria Math" w:hAnsi="Cambria Math"/>
                        <w:shd w:val="clear" w:color="auto" w:fill="FFFFFF"/>
                      </w:rPr>
                      <m:t>1i</m:t>
                    </m:r>
                  </m:sub>
                </m:sSub>
              </m:num>
              <m:den>
                <m:r>
                  <w:rPr>
                    <w:rFonts w:ascii="Cambria Math" w:hAnsi="Cambria Math"/>
                    <w:shd w:val="clear" w:color="auto" w:fill="FFFFFF"/>
                  </w:rPr>
                  <m:t>Z</m:t>
                </m:r>
              </m:den>
            </m:f>
            <m:r>
              <w:rPr>
                <w:rFonts w:ascii="Cambria Math" w:hAnsi="Cambria Math"/>
                <w:shd w:val="clear" w:color="auto" w:fill="FFFFFF"/>
              </w:rPr>
              <m:t xml:space="preserve"> , </m:t>
            </m:r>
            <m:sSub>
              <m:sSubPr>
                <m:ctrlPr>
                  <w:rPr>
                    <w:rFonts w:ascii="Cambria Math" w:hAnsi="Cambria Math"/>
                    <w:i/>
                    <w:shd w:val="clear" w:color="auto" w:fill="FFFFFF"/>
                  </w:rPr>
                </m:ctrlPr>
              </m:sSubPr>
              <m:e>
                <m:r>
                  <w:rPr>
                    <w:rFonts w:ascii="Cambria Math" w:hAnsi="Cambria Math"/>
                    <w:shd w:val="clear" w:color="auto" w:fill="FFFFFF"/>
                  </w:rPr>
                  <m:t>A</m:t>
                </m:r>
              </m:e>
              <m:sub>
                <m:r>
                  <w:rPr>
                    <w:rFonts w:ascii="Cambria Math" w:hAnsi="Cambria Math"/>
                    <w:shd w:val="clear" w:color="auto" w:fill="FFFFFF"/>
                  </w:rPr>
                  <m:t>i</m:t>
                </m:r>
              </m:sub>
            </m:sSub>
            <m:r>
              <w:rPr>
                <w:rFonts w:ascii="Cambria Math" w:hAnsi="Cambria Math"/>
                <w:shd w:val="clear" w:color="auto" w:fill="FFFFFF"/>
              </w:rPr>
              <m:t>=0</m:t>
            </m:r>
          </m:e>
        </m:d>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α</m:t>
            </m:r>
          </m:e>
          <m:sub>
            <m:r>
              <w:rPr>
                <w:rFonts w:ascii="Cambria Math" w:hAnsi="Cambria Math"/>
                <w:shd w:val="clear" w:color="auto" w:fill="FFFFFF"/>
              </w:rPr>
              <m:t>1</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Z</m:t>
            </m:r>
          </m:e>
          <m:sub>
            <m:r>
              <w:rPr>
                <w:rFonts w:ascii="Cambria Math" w:hAnsi="Cambria Math"/>
                <w:shd w:val="clear" w:color="auto" w:fill="FFFFFF"/>
              </w:rPr>
              <m:t>1i</m:t>
            </m:r>
          </m:sub>
        </m:sSub>
        <m:sSub>
          <m:sSubPr>
            <m:ctrlPr>
              <w:rPr>
                <w:rFonts w:ascii="Cambria Math" w:hAnsi="Cambria Math"/>
                <w:i/>
                <w:shd w:val="clear" w:color="auto" w:fill="FFFFFF"/>
              </w:rPr>
            </m:ctrlPr>
          </m:sSubPr>
          <m:e>
            <m:r>
              <w:rPr>
                <w:rFonts w:ascii="Cambria Math" w:hAnsi="Cambria Math"/>
                <w:shd w:val="clear" w:color="auto" w:fill="FFFFFF"/>
              </w:rPr>
              <m:t>β</m:t>
            </m:r>
          </m:e>
          <m:sub>
            <m:r>
              <w:rPr>
                <w:rFonts w:ascii="Cambria Math" w:hAnsi="Cambria Math"/>
                <w:shd w:val="clear" w:color="auto" w:fill="FFFFFF"/>
              </w:rPr>
              <m:t>1</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ρ</m:t>
            </m:r>
          </m:e>
          <m:sub>
            <m:r>
              <w:rPr>
                <w:rFonts w:ascii="Cambria Math" w:hAnsi="Cambria Math"/>
                <w:shd w:val="clear" w:color="auto" w:fill="FFFFFF"/>
              </w:rPr>
              <m:t>1i</m:t>
            </m:r>
          </m:sub>
        </m:sSub>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1ε</m:t>
            </m:r>
          </m:sub>
        </m:sSub>
        <m:sSub>
          <m:sSubPr>
            <m:ctrlPr>
              <w:rPr>
                <w:rFonts w:ascii="Cambria Math" w:hAnsi="Cambria Math"/>
                <w:i/>
                <w:shd w:val="clear" w:color="auto" w:fill="FFFFFF"/>
              </w:rPr>
            </m:ctrlPr>
          </m:sSubPr>
          <m:e>
            <m:r>
              <w:rPr>
                <w:rFonts w:ascii="Cambria Math" w:hAnsi="Cambria Math"/>
                <w:shd w:val="clear" w:color="auto" w:fill="FFFFFF"/>
              </w:rPr>
              <m:t>λ</m:t>
            </m:r>
          </m:e>
          <m:sub>
            <m:r>
              <w:rPr>
                <w:rFonts w:ascii="Cambria Math" w:hAnsi="Cambria Math"/>
                <w:shd w:val="clear" w:color="auto" w:fill="FFFFFF"/>
              </w:rPr>
              <m:t>1i</m:t>
            </m:r>
          </m:sub>
        </m:sSub>
      </m:oMath>
      <w:r w:rsidRPr="00746D97">
        <w:rPr>
          <w:rFonts w:eastAsiaTheme="minorEastAsia"/>
          <w:shd w:val="clear" w:color="auto" w:fill="FFFFFF"/>
        </w:rPr>
        <w:t xml:space="preserve"> </w:t>
      </w:r>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t>(9)</w:t>
      </w:r>
    </w:p>
    <w:p w:rsidR="00F439FD" w:rsidRPr="00746D97" w:rsidRDefault="00F439FD" w:rsidP="00746D97">
      <w:pPr>
        <w:spacing w:before="240" w:after="240" w:line="360" w:lineRule="auto"/>
        <w:jc w:val="both"/>
      </w:pPr>
      <w:r w:rsidRPr="00746D97">
        <w:lastRenderedPageBreak/>
        <w:t xml:space="preserve">The equation for </w:t>
      </w:r>
      <w:r w:rsidR="007827E5">
        <w:t>financially excluded</w:t>
      </w:r>
      <w:r w:rsidRPr="00746D97">
        <w:t xml:space="preserve"> firms which did not </w:t>
      </w:r>
      <w:r w:rsidR="007827E5">
        <w:t>access the financial services</w:t>
      </w:r>
      <w:r w:rsidRPr="00746D97">
        <w:t>:</w:t>
      </w:r>
    </w:p>
    <w:p w:rsidR="00F439FD" w:rsidRPr="00746D97" w:rsidRDefault="00F439FD" w:rsidP="00746D97">
      <w:pPr>
        <w:spacing w:before="240" w:after="240" w:line="360" w:lineRule="auto"/>
        <w:ind w:left="720" w:firstLine="720"/>
        <w:jc w:val="both"/>
        <w:rPr>
          <w:rFonts w:eastAsiaTheme="minorEastAsia"/>
          <w:shd w:val="clear" w:color="auto" w:fill="FFFFFF"/>
        </w:rPr>
      </w:pPr>
      <m:oMath>
        <m:r>
          <w:rPr>
            <w:rFonts w:ascii="Cambria Math" w:hAnsi="Cambria Math"/>
            <w:shd w:val="clear" w:color="auto" w:fill="FFFFFF"/>
          </w:rPr>
          <m:t>E</m:t>
        </m:r>
        <m:d>
          <m:dPr>
            <m:begChr m:val="["/>
            <m:endChr m:val="]"/>
            <m:ctrlPr>
              <w:rPr>
                <w:rFonts w:ascii="Cambria Math" w:hAnsi="Cambria Math"/>
                <w:i/>
                <w:shd w:val="clear" w:color="auto" w:fill="FFFFFF"/>
              </w:rPr>
            </m:ctrlPr>
          </m:dPr>
          <m:e>
            <m:f>
              <m:fPr>
                <m:type m:val="skw"/>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Y</m:t>
                    </m:r>
                  </m:e>
                  <m:sub>
                    <m:r>
                      <w:rPr>
                        <w:rFonts w:ascii="Cambria Math" w:hAnsi="Cambria Math"/>
                        <w:shd w:val="clear" w:color="auto" w:fill="FFFFFF"/>
                      </w:rPr>
                      <m:t>0i</m:t>
                    </m:r>
                  </m:sub>
                </m:sSub>
              </m:num>
              <m:den>
                <m:r>
                  <w:rPr>
                    <w:rFonts w:ascii="Cambria Math" w:hAnsi="Cambria Math"/>
                    <w:shd w:val="clear" w:color="auto" w:fill="FFFFFF"/>
                  </w:rPr>
                  <m:t>Z</m:t>
                </m:r>
              </m:den>
            </m:f>
            <m:r>
              <w:rPr>
                <w:rFonts w:ascii="Cambria Math" w:hAnsi="Cambria Math"/>
                <w:shd w:val="clear" w:color="auto" w:fill="FFFFFF"/>
              </w:rPr>
              <m:t xml:space="preserve"> , </m:t>
            </m:r>
            <m:sSub>
              <m:sSubPr>
                <m:ctrlPr>
                  <w:rPr>
                    <w:rFonts w:ascii="Cambria Math" w:hAnsi="Cambria Math"/>
                    <w:i/>
                    <w:shd w:val="clear" w:color="auto" w:fill="FFFFFF"/>
                  </w:rPr>
                </m:ctrlPr>
              </m:sSubPr>
              <m:e>
                <m:r>
                  <w:rPr>
                    <w:rFonts w:ascii="Cambria Math" w:hAnsi="Cambria Math"/>
                    <w:shd w:val="clear" w:color="auto" w:fill="FFFFFF"/>
                  </w:rPr>
                  <m:t>A</m:t>
                </m:r>
              </m:e>
              <m:sub>
                <m:r>
                  <w:rPr>
                    <w:rFonts w:ascii="Cambria Math" w:hAnsi="Cambria Math"/>
                    <w:shd w:val="clear" w:color="auto" w:fill="FFFFFF"/>
                  </w:rPr>
                  <m:t>i</m:t>
                </m:r>
              </m:sub>
            </m:sSub>
            <m:r>
              <w:rPr>
                <w:rFonts w:ascii="Cambria Math" w:hAnsi="Cambria Math"/>
                <w:shd w:val="clear" w:color="auto" w:fill="FFFFFF"/>
              </w:rPr>
              <m:t>=0</m:t>
            </m:r>
          </m:e>
        </m:d>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α</m:t>
            </m:r>
          </m:e>
          <m:sub>
            <m:r>
              <w:rPr>
                <w:rFonts w:ascii="Cambria Math" w:hAnsi="Cambria Math"/>
                <w:shd w:val="clear" w:color="auto" w:fill="FFFFFF"/>
              </w:rPr>
              <m:t>0</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Z</m:t>
            </m:r>
          </m:e>
          <m:sub>
            <m:r>
              <w:rPr>
                <w:rFonts w:ascii="Cambria Math" w:hAnsi="Cambria Math"/>
                <w:shd w:val="clear" w:color="auto" w:fill="FFFFFF"/>
              </w:rPr>
              <m:t>0i</m:t>
            </m:r>
          </m:sub>
        </m:sSub>
        <m:sSub>
          <m:sSubPr>
            <m:ctrlPr>
              <w:rPr>
                <w:rFonts w:ascii="Cambria Math" w:hAnsi="Cambria Math"/>
                <w:i/>
                <w:shd w:val="clear" w:color="auto" w:fill="FFFFFF"/>
              </w:rPr>
            </m:ctrlPr>
          </m:sSubPr>
          <m:e>
            <m:r>
              <w:rPr>
                <w:rFonts w:ascii="Cambria Math" w:hAnsi="Cambria Math"/>
                <w:shd w:val="clear" w:color="auto" w:fill="FFFFFF"/>
              </w:rPr>
              <m:t>β</m:t>
            </m:r>
          </m:e>
          <m:sub>
            <m:r>
              <w:rPr>
                <w:rFonts w:ascii="Cambria Math" w:hAnsi="Cambria Math"/>
                <w:shd w:val="clear" w:color="auto" w:fill="FFFFFF"/>
              </w:rPr>
              <m:t>0</m:t>
            </m:r>
          </m:sub>
        </m:sSub>
        <m:r>
          <w:rPr>
            <w:rFonts w:ascii="Cambria Math" w:hAnsi="Cambria Math"/>
            <w:shd w:val="clear" w:color="auto" w:fill="FFFFFF"/>
          </w:rPr>
          <m:t xml:space="preserve">+ </m:t>
        </m:r>
        <m:sSub>
          <m:sSubPr>
            <m:ctrlPr>
              <w:rPr>
                <w:rFonts w:ascii="Cambria Math" w:hAnsi="Cambria Math"/>
                <w:i/>
                <w:shd w:val="clear" w:color="auto" w:fill="FFFFFF"/>
              </w:rPr>
            </m:ctrlPr>
          </m:sSubPr>
          <m:e>
            <m:r>
              <w:rPr>
                <w:rFonts w:ascii="Cambria Math" w:hAnsi="Cambria Math"/>
                <w:shd w:val="clear" w:color="auto" w:fill="FFFFFF"/>
              </w:rPr>
              <m:t>ρ</m:t>
            </m:r>
          </m:e>
          <m:sub>
            <m:r>
              <w:rPr>
                <w:rFonts w:ascii="Cambria Math" w:hAnsi="Cambria Math"/>
                <w:shd w:val="clear" w:color="auto" w:fill="FFFFFF"/>
              </w:rPr>
              <m:t>0i</m:t>
            </m:r>
          </m:sub>
        </m:sSub>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0ε</m:t>
            </m:r>
          </m:sub>
        </m:sSub>
        <m:sSub>
          <m:sSubPr>
            <m:ctrlPr>
              <w:rPr>
                <w:rFonts w:ascii="Cambria Math" w:hAnsi="Cambria Math"/>
                <w:i/>
                <w:shd w:val="clear" w:color="auto" w:fill="FFFFFF"/>
              </w:rPr>
            </m:ctrlPr>
          </m:sSubPr>
          <m:e>
            <m:r>
              <w:rPr>
                <w:rFonts w:ascii="Cambria Math" w:hAnsi="Cambria Math"/>
                <w:shd w:val="clear" w:color="auto" w:fill="FFFFFF"/>
              </w:rPr>
              <m:t>λ</m:t>
            </m:r>
          </m:e>
          <m:sub>
            <m:r>
              <w:rPr>
                <w:rFonts w:ascii="Cambria Math" w:hAnsi="Cambria Math"/>
                <w:shd w:val="clear" w:color="auto" w:fill="FFFFFF"/>
              </w:rPr>
              <m:t>0i</m:t>
            </m:r>
          </m:sub>
        </m:sSub>
      </m:oMath>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r>
      <w:r w:rsidRPr="00746D97">
        <w:rPr>
          <w:rFonts w:eastAsiaTheme="minorEastAsia"/>
          <w:shd w:val="clear" w:color="auto" w:fill="FFFFFF"/>
        </w:rPr>
        <w:tab/>
        <w:t>(10)</w:t>
      </w:r>
    </w:p>
    <w:p w:rsidR="00F439FD" w:rsidRPr="00746D97" w:rsidRDefault="00F439FD" w:rsidP="00746D97">
      <w:pPr>
        <w:spacing w:before="240" w:line="360" w:lineRule="auto"/>
        <w:jc w:val="both"/>
      </w:pPr>
      <w:r w:rsidRPr="00746D97">
        <w:t>The expected findings in Equations (7)</w:t>
      </w:r>
      <w:r w:rsidR="002B03F8">
        <w:t xml:space="preserve"> — (10) will be used to calculate the impact of heterogeneity. The base heterogeneity of financially</w:t>
      </w:r>
      <w:r w:rsidR="007827E5">
        <w:t xml:space="preserve"> included</w:t>
      </w:r>
      <w:r w:rsidRPr="00746D97">
        <w:t xml:space="preserve"> enterprises is defined as (7) minus (9). The difference between (8) and (10) pertains to </w:t>
      </w:r>
      <w:r w:rsidR="007827E5">
        <w:t>financially excluded</w:t>
      </w:r>
      <w:r w:rsidRPr="00746D97">
        <w:t xml:space="preserve"> enterprises. </w:t>
      </w:r>
    </w:p>
    <w:p w:rsidR="00EE0753" w:rsidRPr="00746D97" w:rsidRDefault="003F044D" w:rsidP="00746D97">
      <w:pPr>
        <w:spacing w:before="240" w:line="360" w:lineRule="auto"/>
        <w:jc w:val="both"/>
        <w:rPr>
          <w:rFonts w:eastAsia="Calibri"/>
          <w:b/>
          <w:i/>
          <w:color w:val="000000"/>
        </w:rPr>
      </w:pPr>
      <w:r w:rsidRPr="00746D97">
        <w:rPr>
          <w:rFonts w:eastAsia="Calibri"/>
          <w:b/>
          <w:i/>
          <w:color w:val="000000"/>
        </w:rPr>
        <w:t>2.3.2</w:t>
      </w:r>
      <w:r w:rsidR="00EE0753" w:rsidRPr="00746D97">
        <w:rPr>
          <w:rFonts w:eastAsia="Calibri"/>
          <w:b/>
          <w:i/>
          <w:color w:val="000000"/>
        </w:rPr>
        <w:t xml:space="preserve"> </w:t>
      </w:r>
      <w:bookmarkStart w:id="1" w:name="_Toc173415719"/>
      <w:bookmarkStart w:id="2" w:name="_Toc177226450"/>
      <w:r w:rsidR="00EE0753" w:rsidRPr="00746D97">
        <w:rPr>
          <w:rFonts w:eastAsia="Calibri"/>
          <w:b/>
          <w:i/>
          <w:color w:val="000000"/>
        </w:rPr>
        <w:tab/>
        <w:t>Stochastic frontier analysis</w:t>
      </w:r>
      <w:bookmarkEnd w:id="1"/>
      <w:bookmarkEnd w:id="2"/>
    </w:p>
    <w:p w:rsidR="00900AF0" w:rsidRPr="00746D97" w:rsidRDefault="00FA4DAA" w:rsidP="004A0374">
      <w:pPr>
        <w:spacing w:after="252" w:line="360" w:lineRule="auto"/>
        <w:jc w:val="both"/>
      </w:pPr>
      <w:r>
        <w:t xml:space="preserve">The study uses stochastic frontier analysis to determine the profit efficiency scores of firms, which are a proxy of firm productivity in this study. We define profit efficiency as the profit gained from operating on the profit frontier, taking into account prices and factors (Chen et al., 2015). </w:t>
      </w:r>
      <w:r w:rsidR="00900AF0" w:rsidRPr="00746D97">
        <w:t xml:space="preserve">A Stochastic Profit Frontier is the highest profit that can be received given the level of technology and input used. Equation (1) presents the stochastic profit frontier in implicit form. </w:t>
      </w:r>
    </w:p>
    <w:p w:rsidR="00900AF0" w:rsidRPr="00746D97" w:rsidRDefault="00853DCA" w:rsidP="00746D97">
      <w:pPr>
        <w:spacing w:after="252" w:line="360" w:lineRule="auto"/>
        <w:ind w:firstLine="720"/>
        <w:jc w:val="both"/>
      </w:pPr>
      <m:oMath>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lab cost, materials, operations, fixed cost</m:t>
                </m:r>
              </m:e>
            </m:d>
          </m:e>
        </m:nary>
        <m:r>
          <w:rPr>
            <w:rFonts w:ascii="Cambria Math" w:hAnsi="Cambria Math"/>
          </w:rPr>
          <m:t>.</m:t>
        </m:r>
        <m:r>
          <m:rPr>
            <m:sty m:val="p"/>
          </m:rPr>
          <w:rPr>
            <w:rFonts w:ascii="Cambria Math" w:hAnsi="Cambria Math"/>
          </w:rPr>
          <m:t>exp⁡</m:t>
        </m:r>
        <m:r>
          <w:rPr>
            <w:rFonts w:ascii="Cambria Math" w:hAnsi="Cambria Math"/>
          </w:rPr>
          <m:t>(ε)</m:t>
        </m:r>
      </m:oMath>
      <w:r w:rsidR="00900AF0" w:rsidRPr="00746D97">
        <w:rPr>
          <w:rFonts w:eastAsiaTheme="minorEastAsia"/>
        </w:rPr>
        <w:tab/>
      </w:r>
      <w:r w:rsidR="00900AF0" w:rsidRPr="00746D97">
        <w:rPr>
          <w:rFonts w:eastAsiaTheme="minorEastAsia"/>
        </w:rPr>
        <w:tab/>
      </w:r>
      <w:r w:rsidR="00900AF0" w:rsidRPr="00746D97">
        <w:rPr>
          <w:rFonts w:eastAsiaTheme="minorEastAsia"/>
        </w:rPr>
        <w:tab/>
        <w:t>(1</w:t>
      </w:r>
      <w:r w:rsidR="009531B0">
        <w:rPr>
          <w:rFonts w:eastAsiaTheme="minorEastAsia"/>
        </w:rPr>
        <w:t>1</w:t>
      </w:r>
      <w:r w:rsidR="00900AF0" w:rsidRPr="00746D97">
        <w:rPr>
          <w:rFonts w:eastAsiaTheme="minorEastAsia"/>
        </w:rPr>
        <w:t>)</w:t>
      </w:r>
    </w:p>
    <w:p w:rsidR="00900AF0" w:rsidRPr="00746D97" w:rsidRDefault="00900AF0" w:rsidP="00746D97">
      <w:pPr>
        <w:spacing w:after="252" w:line="360" w:lineRule="auto"/>
        <w:ind w:left="-5"/>
        <w:jc w:val="both"/>
      </w:pPr>
      <w:r w:rsidRPr="00746D97">
        <w:t>Where πi represents the profit of the i</w:t>
      </w:r>
      <w:r w:rsidRPr="00746D97">
        <w:rPr>
          <w:vertAlign w:val="superscript"/>
        </w:rPr>
        <w:t>th</w:t>
      </w:r>
      <w:r w:rsidRPr="00746D97">
        <w:t xml:space="preserve"> firm; </w:t>
      </w:r>
      <w:r w:rsidRPr="00746D97">
        <w:rPr>
          <w:i/>
          <w:iCs/>
        </w:rPr>
        <w:t>lab cost</w:t>
      </w:r>
      <w:r w:rsidRPr="00746D97">
        <w:t xml:space="preserve"> represents the labour input faced by the i</w:t>
      </w:r>
      <w:r w:rsidRPr="00746D97">
        <w:rPr>
          <w:vertAlign w:val="superscript"/>
        </w:rPr>
        <w:t>th</w:t>
      </w:r>
      <w:r w:rsidRPr="00746D97">
        <w:t xml:space="preserve"> firm in Kwacha; </w:t>
      </w:r>
      <w:r w:rsidRPr="00746D97">
        <w:rPr>
          <w:i/>
          <w:iCs/>
        </w:rPr>
        <w:t>var cost</w:t>
      </w:r>
      <w:r w:rsidRPr="00746D97">
        <w:t xml:space="preserve"> is the variable cost (other than labour) used by the i</w:t>
      </w:r>
      <w:r w:rsidRPr="00746D97">
        <w:rPr>
          <w:vertAlign w:val="superscript"/>
        </w:rPr>
        <w:t>th</w:t>
      </w:r>
      <w:r w:rsidRPr="00746D97">
        <w:t xml:space="preserve"> firm; </w:t>
      </w:r>
      <w:r w:rsidRPr="00746D97">
        <w:rPr>
          <w:i/>
          <w:iCs/>
        </w:rPr>
        <w:t>fixed cost</w:t>
      </w:r>
      <w:r w:rsidRPr="00746D97">
        <w:t xml:space="preserve"> is the level of the k</w:t>
      </w:r>
      <w:r w:rsidRPr="00746D97">
        <w:rPr>
          <w:vertAlign w:val="superscript"/>
        </w:rPr>
        <w:t>th</w:t>
      </w:r>
      <w:r w:rsidRPr="00746D97">
        <w:t xml:space="preserve"> fixed cost in the ith farm; </w:t>
      </w:r>
      <w:r w:rsidRPr="00746D97">
        <w:rPr>
          <w:rFonts w:ascii="Cambria Math" w:hAnsi="Cambria Math" w:cs="Cambria Math"/>
        </w:rPr>
        <w:t>𝜀</w:t>
      </w:r>
      <w:r w:rsidRPr="00746D97">
        <w:rPr>
          <w:rFonts w:ascii="Cambria Math" w:hAnsi="Cambria Math" w:cs="Cambria Math"/>
          <w:vertAlign w:val="subscript"/>
        </w:rPr>
        <w:t>𝑖</w:t>
      </w:r>
      <w:r w:rsidRPr="00746D97">
        <w:t xml:space="preserve"> = is an error term, k = 1,2 and 3 and i =1…, 2992, is the number of </w:t>
      </w:r>
      <w:r w:rsidR="004A0374">
        <w:t>M</w:t>
      </w:r>
      <w:r w:rsidRPr="00746D97">
        <w:t xml:space="preserve">SME firms in the sample. </w:t>
      </w:r>
      <w:r w:rsidRPr="00746D97">
        <w:rPr>
          <w:rFonts w:ascii="Cambria Math" w:hAnsi="Cambria Math" w:cs="Cambria Math"/>
        </w:rPr>
        <w:t>𝜀𝑖</w:t>
      </w:r>
      <w:r w:rsidRPr="00746D97">
        <w:t xml:space="preserve"> is a composite error term </w:t>
      </w:r>
      <w:r w:rsidR="00281980">
        <w:t xml:space="preserve">that </w:t>
      </w:r>
      <w:r w:rsidRPr="00746D97">
        <w:t>can be decomposed into two components, v</w:t>
      </w:r>
      <w:r w:rsidRPr="00746D97">
        <w:rPr>
          <w:vertAlign w:val="subscript"/>
        </w:rPr>
        <w:t>i</w:t>
      </w:r>
      <w:r w:rsidRPr="00746D97">
        <w:t xml:space="preserve"> and u</w:t>
      </w:r>
      <w:r w:rsidRPr="00746D97">
        <w:rPr>
          <w:vertAlign w:val="subscript"/>
        </w:rPr>
        <w:t>i</w:t>
      </w:r>
      <w:r w:rsidRPr="00746D97">
        <w:t>. Deviation from the frontier due to random events is represented by v</w:t>
      </w:r>
      <w:r w:rsidRPr="00746D97">
        <w:rPr>
          <w:vertAlign w:val="subscript"/>
        </w:rPr>
        <w:t>i</w:t>
      </w:r>
      <w:r w:rsidRPr="00746D97">
        <w:t xml:space="preserve"> </w:t>
      </w:r>
      <w:r w:rsidRPr="00746D97">
        <w:rPr>
          <w:noProof/>
        </w:rPr>
        <w:drawing>
          <wp:inline distT="0" distB="0" distL="0" distR="0" wp14:anchorId="1CEBCCB6" wp14:editId="1D19142C">
            <wp:extent cx="861060" cy="160020"/>
            <wp:effectExtent l="0" t="0" r="0" b="0"/>
            <wp:docPr id="2" name="Picture 1290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04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160020"/>
                    </a:xfrm>
                    <a:prstGeom prst="rect">
                      <a:avLst/>
                    </a:prstGeom>
                    <a:noFill/>
                    <a:ln>
                      <a:noFill/>
                    </a:ln>
                  </pic:spPr>
                </pic:pic>
              </a:graphicData>
            </a:graphic>
          </wp:inline>
        </w:drawing>
      </w:r>
      <w:r w:rsidRPr="00746D97">
        <w:t xml:space="preserve"> while u</w:t>
      </w:r>
      <w:r w:rsidRPr="00746D97">
        <w:rPr>
          <w:vertAlign w:val="subscript"/>
        </w:rPr>
        <w:t>i</w:t>
      </w:r>
      <w:r w:rsidRPr="00746D97">
        <w:t>~</w:t>
      </w:r>
      <w:r w:rsidRPr="00746D97">
        <w:rPr>
          <w:rFonts w:ascii="Cambria Math" w:hAnsi="Cambria Math" w:cs="Cambria Math"/>
        </w:rPr>
        <w:t>𝑁</w:t>
      </w:r>
      <w:r w:rsidRPr="00746D97">
        <w:t>+(</w:t>
      </w:r>
      <w:r w:rsidRPr="00746D97">
        <w:rPr>
          <w:rFonts w:ascii="Cambria Math" w:hAnsi="Cambria Math" w:cs="Cambria Math"/>
        </w:rPr>
        <w:t>𝑢𝑖</w:t>
      </w:r>
      <w:r w:rsidRPr="00746D97">
        <w:t xml:space="preserve">, </w:t>
      </w:r>
      <w:r w:rsidRPr="00746D97">
        <w:rPr>
          <w:rFonts w:ascii="Cambria Math" w:hAnsi="Cambria Math" w:cs="Cambria Math"/>
        </w:rPr>
        <w:t>𝜎</w:t>
      </w:r>
      <w:r w:rsidRPr="00746D97">
        <w:t xml:space="preserve">2) are deviations from the frontier due to inefficiency. </w:t>
      </w:r>
    </w:p>
    <w:p w:rsidR="00900AF0" w:rsidRPr="00746D97" w:rsidRDefault="00900AF0" w:rsidP="00746D97">
      <w:pPr>
        <w:spacing w:after="252" w:line="360" w:lineRule="auto"/>
        <w:ind w:left="-5"/>
        <w:jc w:val="both"/>
      </w:pPr>
      <w:r w:rsidRPr="00746D97">
        <w:t xml:space="preserve">Based on equation (6), profit efficiency is the ratio between the firm’s profit and the maximum possible profit that a firm could have realized if it were efficient. The profit efficiency of firm </w:t>
      </w:r>
      <w:r w:rsidRPr="00746D97">
        <w:rPr>
          <w:i/>
          <w:iCs/>
        </w:rPr>
        <w:t>i</w:t>
      </w:r>
      <w:r w:rsidRPr="00746D97">
        <w:t xml:space="preserve"> in the context of the stochastic frontier profit function (Coelli et al., 1998) is defined as: </w:t>
      </w:r>
    </w:p>
    <w:p w:rsidR="00900AF0" w:rsidRPr="00746D97" w:rsidRDefault="00900AF0" w:rsidP="00746D97">
      <w:pPr>
        <w:spacing w:after="252" w:line="360" w:lineRule="auto"/>
        <w:ind w:left="-5" w:firstLine="725"/>
        <w:jc w:val="both"/>
      </w:pPr>
      <m:oMath>
        <m:r>
          <w:rPr>
            <w:rFonts w:ascii="Cambria Math" w:hAnsi="Cambria Math"/>
          </w:rPr>
          <m:t>PE=E[</m:t>
        </m:r>
        <m:r>
          <m:rPr>
            <m:sty m:val="p"/>
          </m:rPr>
          <w:rPr>
            <w:rFonts w:ascii="Cambria Math" w:hAnsi="Cambria Math"/>
          </w:rPr>
          <m:t>exp⁡</m:t>
        </m:r>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i</m:t>
                </m:r>
              </m:sub>
            </m:sSub>
          </m:num>
          <m:den>
            <m:sSub>
              <m:sSubPr>
                <m:ctrlPr>
                  <w:rPr>
                    <w:rFonts w:ascii="Cambria Math" w:hAnsi="Cambria Math"/>
                    <w:i/>
                  </w:rPr>
                </m:ctrlPr>
              </m:sSubPr>
              <m:e>
                <m:r>
                  <w:rPr>
                    <w:rFonts w:ascii="Cambria Math" w:hAnsi="Cambria Math"/>
                  </w:rPr>
                  <m:t>ε</m:t>
                </m:r>
              </m:e>
              <m:sub>
                <m:r>
                  <w:rPr>
                    <w:rFonts w:ascii="Cambria Math" w:hAnsi="Cambria Math"/>
                  </w:rPr>
                  <m:t>i</m:t>
                </m:r>
              </m:sub>
            </m:sSub>
          </m:den>
        </m:f>
        <m:r>
          <w:rPr>
            <w:rFonts w:ascii="Cambria Math" w:hAnsi="Cambria Math"/>
          </w:rPr>
          <m:t>)=E[</m:t>
        </m:r>
        <m:func>
          <m:funcPr>
            <m:ctrlPr>
              <w:rPr>
                <w:rFonts w:ascii="Cambria Math" w:hAnsi="Cambria Math"/>
              </w:rPr>
            </m:ctrlPr>
          </m:funcPr>
          <m:fName>
            <m:r>
              <m:rPr>
                <m:sty m:val="p"/>
              </m:rPr>
              <w:rPr>
                <w:rFonts w:ascii="Cambria Math" w:hAnsi="Cambria Math"/>
              </w:rPr>
              <m:t>exp</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0</m:t>
                    </m:r>
                  </m:sub>
                </m:sSub>
                <m:r>
                  <w:rPr>
                    <w:rFonts w:ascii="Cambria Math" w:hAnsi="Cambria Math"/>
                  </w:rPr>
                  <m:t>-</m:t>
                </m:r>
                <m:nary>
                  <m:naryPr>
                    <m:chr m:val="∑"/>
                    <m:limLoc m:val="subSup"/>
                    <m:ctrlPr>
                      <w:rPr>
                        <w:rFonts w:ascii="Cambria Math" w:hAnsi="Cambria Math"/>
                        <w:i/>
                      </w:rPr>
                    </m:ctrlPr>
                  </m:naryPr>
                  <m:sub>
                    <m:r>
                      <w:rPr>
                        <w:rFonts w:ascii="Cambria Math" w:hAnsi="Cambria Math"/>
                      </w:rPr>
                      <m:t>i=0</m:t>
                    </m:r>
                  </m:sub>
                  <m:sup>
                    <m:r>
                      <w:rPr>
                        <w:rFonts w:ascii="Cambria Math" w:hAnsi="Cambria Math"/>
                      </w:rPr>
                      <m:t>z</m:t>
                    </m:r>
                  </m:sup>
                  <m:e>
                    <m:f>
                      <m:fPr>
                        <m:type m:val="skw"/>
                        <m:ctrlPr>
                          <w:rPr>
                            <w:rFonts w:ascii="Cambria Math" w:hAnsi="Cambria Math"/>
                            <w:i/>
                          </w:rPr>
                        </m:ctrlPr>
                      </m:fPr>
                      <m:num>
                        <m:sSub>
                          <m:sSubPr>
                            <m:ctrlPr>
                              <w:rPr>
                                <w:rFonts w:ascii="Cambria Math" w:hAnsi="Cambria Math"/>
                                <w:i/>
                              </w:rPr>
                            </m:ctrlPr>
                          </m:sSubPr>
                          <m:e>
                            <m:r>
                              <w:rPr>
                                <w:rFonts w:ascii="Cambria Math" w:hAnsi="Cambria Math"/>
                              </w:rPr>
                              <m:t>∂</m:t>
                            </m:r>
                          </m:e>
                          <m:sub>
                            <m:r>
                              <w:rPr>
                                <w:rFonts w:ascii="Cambria Math" w:hAnsi="Cambria Math"/>
                              </w:rPr>
                              <m:t>zi</m:t>
                            </m:r>
                          </m:sub>
                        </m:sSub>
                      </m:num>
                      <m:den>
                        <m:sSub>
                          <m:sSubPr>
                            <m:ctrlPr>
                              <w:rPr>
                                <w:rFonts w:ascii="Cambria Math" w:hAnsi="Cambria Math"/>
                                <w:i/>
                              </w:rPr>
                            </m:ctrlPr>
                          </m:sSubPr>
                          <m:e>
                            <m:r>
                              <w:rPr>
                                <w:rFonts w:ascii="Cambria Math" w:hAnsi="Cambria Math"/>
                              </w:rPr>
                              <m:t>ε</m:t>
                            </m:r>
                          </m:e>
                          <m:sub>
                            <m:r>
                              <w:rPr>
                                <w:rFonts w:ascii="Cambria Math" w:hAnsi="Cambria Math"/>
                              </w:rPr>
                              <m:t>i</m:t>
                            </m:r>
                          </m:sub>
                        </m:sSub>
                      </m:den>
                    </m:f>
                  </m:e>
                </m:nary>
              </m:e>
            </m:d>
          </m:e>
        </m:func>
        <m:r>
          <w:rPr>
            <w:rFonts w:ascii="Cambria Math" w:hAnsi="Cambria Math"/>
          </w:rPr>
          <m:t>]</m:t>
        </m:r>
      </m:oMath>
      <w:r w:rsidRPr="00746D97">
        <w:rPr>
          <w:rFonts w:eastAsiaTheme="minorEastAsia"/>
        </w:rPr>
        <w:tab/>
      </w:r>
      <w:r w:rsidRPr="00746D97">
        <w:rPr>
          <w:rFonts w:eastAsiaTheme="minorEastAsia"/>
        </w:rPr>
        <w:tab/>
      </w:r>
      <w:r w:rsidRPr="00746D97">
        <w:rPr>
          <w:rFonts w:eastAsiaTheme="minorEastAsia"/>
        </w:rPr>
        <w:tab/>
      </w:r>
      <w:r w:rsidRPr="00746D97">
        <w:rPr>
          <w:rFonts w:eastAsiaTheme="minorEastAsia"/>
        </w:rPr>
        <w:tab/>
      </w:r>
      <w:r w:rsidRPr="00746D97">
        <w:rPr>
          <w:rFonts w:eastAsiaTheme="minorEastAsia"/>
        </w:rPr>
        <w:tab/>
        <w:t>(</w:t>
      </w:r>
      <w:r w:rsidR="009531B0">
        <w:rPr>
          <w:rFonts w:eastAsiaTheme="minorEastAsia"/>
        </w:rPr>
        <w:t>1</w:t>
      </w:r>
      <w:r w:rsidRPr="00746D97">
        <w:rPr>
          <w:rFonts w:eastAsiaTheme="minorEastAsia"/>
        </w:rPr>
        <w:t>2)</w:t>
      </w:r>
    </w:p>
    <w:p w:rsidR="00900AF0" w:rsidRPr="00746D97" w:rsidRDefault="00900AF0" w:rsidP="00746D97">
      <w:pPr>
        <w:spacing w:after="252" w:line="360" w:lineRule="auto"/>
        <w:ind w:left="-5"/>
        <w:jc w:val="both"/>
      </w:pPr>
      <w:r w:rsidRPr="00746D97">
        <w:t xml:space="preserve">Where E = Expected operator, Profit efficiency (PE) is achieved by obtaining expressions for the conditional expectation </w:t>
      </w:r>
      <w:r w:rsidRPr="00746D97">
        <w:rPr>
          <w:rFonts w:ascii="Cambria Math" w:hAnsi="Cambria Math" w:cs="Cambria Math"/>
        </w:rPr>
        <w:t>𝑢</w:t>
      </w:r>
      <w:r w:rsidRPr="00746D97">
        <w:rPr>
          <w:rFonts w:ascii="Cambria Math" w:hAnsi="Cambria Math" w:cs="Cambria Math"/>
          <w:vertAlign w:val="subscript"/>
        </w:rPr>
        <w:t>𝑖</w:t>
      </w:r>
      <w:r w:rsidRPr="00746D97">
        <w:t xml:space="preserve"> upon the observed value of </w:t>
      </w:r>
      <w:r w:rsidRPr="00746D97">
        <w:rPr>
          <w:rFonts w:ascii="Cambria Math" w:hAnsi="Cambria Math" w:cs="Cambria Math"/>
        </w:rPr>
        <w:t>𝜀</w:t>
      </w:r>
      <w:r w:rsidRPr="00746D97">
        <w:rPr>
          <w:rFonts w:ascii="Cambria Math" w:hAnsi="Cambria Math" w:cs="Cambria Math"/>
          <w:vertAlign w:val="subscript"/>
        </w:rPr>
        <w:t>𝑖</w:t>
      </w:r>
      <w:r w:rsidRPr="00746D97">
        <w:t xml:space="preserve">. Maximum likelihood estimates the </w:t>
      </w:r>
      <w:r w:rsidRPr="00746D97">
        <w:lastRenderedPageBreak/>
        <w:t xml:space="preserve">unknown parameters, with the stochastic frontier and the inefficiency effects functions estimated simultaneously. The likelihood is expressed in terms of the variance parameters: </w:t>
      </w:r>
    </w:p>
    <w:p w:rsidR="00900AF0" w:rsidRPr="00746D97" w:rsidRDefault="00900AF0" w:rsidP="00746D97">
      <w:pPr>
        <w:spacing w:after="252" w:line="360" w:lineRule="auto"/>
        <w:ind w:left="-5" w:firstLine="725"/>
      </w:pPr>
      <w:r w:rsidRPr="00746D97">
        <w:rPr>
          <w:noProof/>
        </w:rPr>
        <w:drawing>
          <wp:inline distT="0" distB="0" distL="0" distR="0" wp14:anchorId="66279C59" wp14:editId="18A5DD4C">
            <wp:extent cx="1866900" cy="289560"/>
            <wp:effectExtent l="0" t="0" r="0" b="0"/>
            <wp:docPr id="5" name="Picture 129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05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289560"/>
                    </a:xfrm>
                    <a:prstGeom prst="rect">
                      <a:avLst/>
                    </a:prstGeom>
                    <a:noFill/>
                    <a:ln>
                      <a:noFill/>
                    </a:ln>
                  </pic:spPr>
                </pic:pic>
              </a:graphicData>
            </a:graphic>
          </wp:inline>
        </w:drawing>
      </w:r>
      <w:r w:rsidRPr="00746D97">
        <w:t xml:space="preserve"> </w:t>
      </w:r>
      <w:r w:rsidRPr="00746D97">
        <w:tab/>
      </w:r>
      <w:r w:rsidRPr="00746D97">
        <w:tab/>
      </w:r>
      <w:r w:rsidRPr="00746D97">
        <w:tab/>
      </w:r>
      <w:r w:rsidRPr="00746D97">
        <w:tab/>
      </w:r>
      <w:r w:rsidRPr="00746D97">
        <w:tab/>
      </w:r>
      <w:r w:rsidRPr="00746D97">
        <w:tab/>
      </w:r>
      <w:r w:rsidRPr="00746D97">
        <w:tab/>
        <w:t>(</w:t>
      </w:r>
      <w:r w:rsidR="009531B0">
        <w:t>1</w:t>
      </w:r>
      <w:r w:rsidRPr="00746D97">
        <w:t>3)</w:t>
      </w:r>
    </w:p>
    <w:p w:rsidR="00900AF0" w:rsidRPr="00746D97" w:rsidRDefault="00900AF0" w:rsidP="00746D97">
      <w:pPr>
        <w:spacing w:after="252" w:line="360" w:lineRule="auto"/>
        <w:ind w:left="-5"/>
        <w:jc w:val="both"/>
      </w:pPr>
      <w:r w:rsidRPr="00746D97">
        <w:t xml:space="preserve">Where </w:t>
      </w:r>
      <w:r w:rsidRPr="00746D97">
        <w:rPr>
          <w:rFonts w:ascii="Cambria Math" w:hAnsi="Cambria Math" w:cs="Cambria Math"/>
        </w:rPr>
        <w:t>𝜎</w:t>
      </w:r>
      <w:r w:rsidRPr="00746D97">
        <w:t xml:space="preserve">2 =Total variance for the combined error term   </w:t>
      </w:r>
      <w:r w:rsidRPr="00746D97">
        <w:rPr>
          <w:rFonts w:ascii="Cambria Math" w:hAnsi="Cambria Math" w:cs="Cambria Math"/>
        </w:rPr>
        <w:t>𝜀</w:t>
      </w:r>
      <w:r w:rsidRPr="00746D97">
        <w:rPr>
          <w:rFonts w:ascii="Cambria Math" w:hAnsi="Cambria Math" w:cs="Cambria Math"/>
          <w:vertAlign w:val="subscript"/>
        </w:rPr>
        <w:t>𝑖</w:t>
      </w:r>
      <w:r w:rsidRPr="00746D97">
        <w:t xml:space="preserve">, </w:t>
      </w:r>
      <w:r w:rsidRPr="00746D97">
        <w:rPr>
          <w:noProof/>
        </w:rPr>
        <w:drawing>
          <wp:inline distT="0" distB="0" distL="0" distR="0" wp14:anchorId="2E2773B8" wp14:editId="3A8F1BC8">
            <wp:extent cx="312420" cy="160020"/>
            <wp:effectExtent l="0" t="0" r="0" b="0"/>
            <wp:docPr id="6" name="Picture 129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05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 cy="160020"/>
                    </a:xfrm>
                    <a:prstGeom prst="rect">
                      <a:avLst/>
                    </a:prstGeom>
                    <a:noFill/>
                    <a:ln>
                      <a:noFill/>
                    </a:ln>
                  </pic:spPr>
                </pic:pic>
              </a:graphicData>
            </a:graphic>
          </wp:inline>
        </w:drawing>
      </w:r>
      <w:r w:rsidRPr="00746D97">
        <w:t>Constant variance for the symmetric error term v</w:t>
      </w:r>
      <w:r w:rsidRPr="00746D97">
        <w:rPr>
          <w:vertAlign w:val="subscript"/>
        </w:rPr>
        <w:t>i</w:t>
      </w:r>
      <w:r w:rsidRPr="00746D97">
        <w:t xml:space="preserve">, </w:t>
      </w:r>
      <w:r w:rsidRPr="00746D97">
        <w:rPr>
          <w:noProof/>
        </w:rPr>
        <w:drawing>
          <wp:inline distT="0" distB="0" distL="0" distR="0" wp14:anchorId="1F299B81" wp14:editId="1A3F6128">
            <wp:extent cx="312420" cy="160020"/>
            <wp:effectExtent l="0" t="0" r="0" b="0"/>
            <wp:docPr id="7" name="Picture 129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052"/>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 cy="160020"/>
                    </a:xfrm>
                    <a:prstGeom prst="rect">
                      <a:avLst/>
                    </a:prstGeom>
                    <a:noFill/>
                    <a:ln>
                      <a:noFill/>
                    </a:ln>
                  </pic:spPr>
                </pic:pic>
              </a:graphicData>
            </a:graphic>
          </wp:inline>
        </w:drawing>
      </w:r>
      <w:r w:rsidRPr="00746D97">
        <w:t xml:space="preserve"> Constant variance for the symmetric error term u</w:t>
      </w:r>
      <w:r w:rsidRPr="00746D97">
        <w:rPr>
          <w:vertAlign w:val="subscript"/>
        </w:rPr>
        <w:t>i</w:t>
      </w:r>
      <w:r w:rsidRPr="00746D97">
        <w:t xml:space="preserve">, </w:t>
      </w:r>
      <w:r w:rsidRPr="00746D97">
        <w:rPr>
          <w:rFonts w:ascii="Cambria Math" w:hAnsi="Cambria Math" w:cs="Cambria Math"/>
        </w:rPr>
        <w:t>𝛾</w:t>
      </w:r>
      <w:r w:rsidRPr="00746D97">
        <w:t xml:space="preserve"> =   ratio of farm-specific efficiency effects to the total output variance. </w:t>
      </w:r>
    </w:p>
    <w:p w:rsidR="00900AF0" w:rsidRPr="00746D97" w:rsidRDefault="00900AF0" w:rsidP="00746D97">
      <w:pPr>
        <w:spacing w:line="360" w:lineRule="auto"/>
        <w:jc w:val="both"/>
      </w:pPr>
      <w:r w:rsidRPr="00746D97">
        <w:rPr>
          <w:b/>
        </w:rPr>
        <w:t>Log-linear Cobb-Douglas regression model:</w:t>
      </w:r>
      <w:r w:rsidRPr="00746D97">
        <w:t xml:space="preserve"> Equation 4 presents the MSMEs' stochastic profit frontier, which takes the form of a Cobb-Douglas function in log-linear form. Kotey and O’Donnell (2002) write that the productive inputs are used in the production function and transformed into the outputs. So, they used the prices of the inputs to estimate the changes in profit efficiency. A log-linear Cobb-Douglas form is used to specify the stochastic profit frontier after taking logarithms of the multiplicative production function </w:t>
      </w:r>
      <w:r w:rsidRPr="00746D97">
        <w:rPr>
          <w:lang w:val="en-US"/>
        </w:rPr>
        <w:t>(Aigner et al., 1977; Battese &amp; Coelli, 1995). Thus, the proper specification is:"</w:t>
      </w:r>
    </w:p>
    <w:p w:rsidR="00900AF0" w:rsidRPr="00746D97" w:rsidRDefault="00853DCA" w:rsidP="00746D97">
      <w:pPr>
        <w:spacing w:before="240" w:after="39" w:line="360" w:lineRule="auto"/>
        <w:jc w:val="center"/>
      </w:p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π</m:t>
            </m:r>
          </m:e>
          <m:sub>
            <m:r>
              <m:rPr>
                <m:sty m:val="p"/>
              </m:rPr>
              <w:rPr>
                <w:rFonts w:ascii="Cambria Math" w:hAnsi="Cambria Math"/>
              </w:rPr>
              <m:t>i</m:t>
            </m:r>
          </m:sub>
        </m:sSub>
        <m:r>
          <m:rPr>
            <m:sty m:val="p"/>
          </m:rPr>
          <w:rPr>
            <w:rFonts w:ascii="Cambria Math" w:hAnsi="Cambria Math"/>
          </w:rPr>
          <m:t>=ln</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+ln</m:t>
        </m:r>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Lab</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m:rPr>
            <m:sty m:val="p"/>
          </m:rPr>
          <w:rPr>
            <w:rFonts w:ascii="Cambria Math" w:hAnsi="Cambria Math"/>
          </w:rPr>
          <m:t>ln</m:t>
        </m:r>
        <m:sSub>
          <m:sSubPr>
            <m:ctrlPr>
              <w:rPr>
                <w:rFonts w:ascii="Cambria Math" w:hAnsi="Cambria Math"/>
              </w:rPr>
            </m:ctrlPr>
          </m:sSubPr>
          <m:e>
            <m:r>
              <w:rPr>
                <w:rFonts w:ascii="Cambria Math" w:hAnsi="Cambria Math"/>
              </w:rPr>
              <m:t>β</m:t>
            </m:r>
          </m:e>
          <m:sub>
            <m:r>
              <w:rPr>
                <w:rFonts w:ascii="Cambria Math" w:hAnsi="Cambria Math"/>
              </w:rPr>
              <m:t>2</m:t>
            </m:r>
          </m:sub>
        </m:sSub>
        <m:r>
          <w:rPr>
            <w:rFonts w:ascii="Cambria Math" w:hAnsi="Cambria Math"/>
          </w:rPr>
          <m:t>V</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m:rPr>
            <m:sty m:val="p"/>
          </m:rPr>
          <w:rPr>
            <w:rFonts w:ascii="Cambria Math" w:hAnsi="Cambria Math"/>
          </w:rPr>
          <m:t>ln</m:t>
        </m:r>
        <m:sSub>
          <m:sSubPr>
            <m:ctrlPr>
              <w:rPr>
                <w:rFonts w:ascii="Cambria Math" w:hAnsi="Cambria Math"/>
              </w:rPr>
            </m:ctrlPr>
          </m:sSubPr>
          <m:e>
            <m:r>
              <w:rPr>
                <w:rFonts w:ascii="Cambria Math" w:hAnsi="Cambria Math"/>
              </w:rPr>
              <m:t>β</m:t>
            </m:r>
          </m:e>
          <m:sub>
            <m:r>
              <w:rPr>
                <w:rFonts w:ascii="Cambria Math" w:hAnsi="Cambria Math"/>
              </w:rPr>
              <m:t>3</m:t>
            </m:r>
          </m:sub>
        </m:sSub>
        <m:r>
          <w:rPr>
            <w:rFonts w:ascii="Cambria Math" w:hAnsi="Cambria Math"/>
          </w:rPr>
          <m:t>F</m:t>
        </m:r>
        <m:sSub>
          <m:sSubPr>
            <m:ctrlPr>
              <w:rPr>
                <w:rFonts w:ascii="Cambria Math" w:hAnsi="Cambria Math"/>
                <w:i/>
              </w:rPr>
            </m:ctrlPr>
          </m:sSubPr>
          <m:e>
            <m:r>
              <w:rPr>
                <w:rFonts w:ascii="Cambria Math" w:hAnsi="Cambria Math"/>
              </w:rPr>
              <m:t>C</m:t>
            </m:r>
          </m:e>
          <m:sub>
            <m:r>
              <w:rPr>
                <w:rFonts w:ascii="Cambria Math" w:hAnsi="Cambria Math"/>
              </w:rPr>
              <m:t>3i</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lang w:val="en-US"/>
              </w:rPr>
              <m:t>u</m:t>
            </m:r>
          </m:e>
          <m:sub>
            <m:r>
              <w:rPr>
                <w:rFonts w:ascii="Cambria Math" w:hAnsi="Cambria Math"/>
                <w:vertAlign w:val="subscript"/>
                <w:lang w:val="en-US"/>
              </w:rPr>
              <m:t>i</m:t>
            </m:r>
          </m:sub>
        </m:sSub>
      </m:oMath>
      <w:r w:rsidR="00900AF0" w:rsidRPr="00746D97">
        <w:t xml:space="preserve">                         </w:t>
      </w:r>
      <w:r w:rsidR="00900AF0" w:rsidRPr="00746D97">
        <w:tab/>
      </w:r>
      <w:r w:rsidR="00900AF0" w:rsidRPr="00746D97">
        <w:tab/>
        <w:t>(</w:t>
      </w:r>
      <w:r w:rsidR="009531B0">
        <w:t>1</w:t>
      </w:r>
      <w:r w:rsidR="00900AF0" w:rsidRPr="00746D97">
        <w:t xml:space="preserve">4) </w:t>
      </w:r>
    </w:p>
    <w:p w:rsidR="00900AF0" w:rsidRPr="00746D97" w:rsidRDefault="006E78FF" w:rsidP="00746D97">
      <w:pPr>
        <w:spacing w:before="240" w:line="360" w:lineRule="auto"/>
        <w:jc w:val="both"/>
      </w:pPr>
      <w:r w:rsidRPr="00746D97">
        <w:rPr>
          <w:lang w:val="en-US"/>
        </w:rPr>
        <w:t>Where</w:t>
      </w:r>
      <w:r w:rsidR="00900AF0" w:rsidRPr="00746D97">
        <w:rPr>
          <w:lang w:val="en-US"/>
        </w:rPr>
        <w:t xml:space="preserve">: </w:t>
      </w:r>
      <w:r w:rsidR="00900AF0" w:rsidRPr="00746D97">
        <w:t>π</w:t>
      </w:r>
      <w:r w:rsidR="00900AF0" w:rsidRPr="00746D97">
        <w:rPr>
          <w:vertAlign w:val="subscript"/>
        </w:rPr>
        <w:t>i</w:t>
      </w:r>
      <w:r w:rsidR="00900AF0" w:rsidRPr="00746D97">
        <w:t xml:space="preserve"> is the estimated profit for the ith firm in MK; </w:t>
      </w:r>
      <w:r w:rsidR="00900AF0" w:rsidRPr="00746D97">
        <w:rPr>
          <w:bCs/>
          <w:lang w:val="en-US"/>
        </w:rPr>
        <w:t>β₀</w:t>
      </w:r>
      <w:r w:rsidR="00900AF0" w:rsidRPr="00746D97">
        <w:rPr>
          <w:lang w:val="en-US"/>
        </w:rPr>
        <w:t xml:space="preserve"> represents the intercept (anti-log gives baseline efficiency); </w:t>
      </w:r>
      <w:r w:rsidR="00900AF0" w:rsidRPr="00746D97">
        <w:rPr>
          <w:bCs/>
          <w:lang w:val="en-US"/>
        </w:rPr>
        <w:t>β₁-β₃</w:t>
      </w:r>
      <w:r w:rsidR="00900AF0" w:rsidRPr="00746D97">
        <w:rPr>
          <w:lang w:val="en-US"/>
        </w:rPr>
        <w:t> are output elasticities of inputs (labour cost </w:t>
      </w:r>
      <w:r w:rsidR="00900AF0" w:rsidRPr="00746D97">
        <w:rPr>
          <w:i/>
          <w:iCs/>
          <w:lang w:val="en-US"/>
        </w:rPr>
        <w:t>LabC</w:t>
      </w:r>
      <w:r w:rsidR="00900AF0" w:rsidRPr="00746D97">
        <w:rPr>
          <w:i/>
          <w:iCs/>
          <w:vertAlign w:val="subscript"/>
          <w:lang w:val="en-US"/>
        </w:rPr>
        <w:t>i</w:t>
      </w:r>
      <w:r w:rsidR="00900AF0" w:rsidRPr="00746D97">
        <w:rPr>
          <w:lang w:val="en-US"/>
        </w:rPr>
        <w:t>, variable cost </w:t>
      </w:r>
      <w:r w:rsidR="00900AF0" w:rsidRPr="00746D97">
        <w:rPr>
          <w:i/>
          <w:iCs/>
          <w:lang w:val="en-US"/>
        </w:rPr>
        <w:t>VC</w:t>
      </w:r>
      <w:r w:rsidR="00900AF0" w:rsidRPr="00746D97">
        <w:rPr>
          <w:i/>
          <w:iCs/>
          <w:vertAlign w:val="subscript"/>
          <w:lang w:val="en-US"/>
        </w:rPr>
        <w:t>i</w:t>
      </w:r>
      <w:r w:rsidR="00900AF0" w:rsidRPr="00746D97">
        <w:rPr>
          <w:lang w:val="en-US"/>
        </w:rPr>
        <w:t>, fixed cost </w:t>
      </w:r>
      <w:r w:rsidR="00900AF0" w:rsidRPr="00746D97">
        <w:rPr>
          <w:i/>
          <w:iCs/>
          <w:lang w:val="en-US"/>
        </w:rPr>
        <w:t>FC</w:t>
      </w:r>
      <w:r w:rsidR="00900AF0" w:rsidRPr="00746D97">
        <w:rPr>
          <w:i/>
          <w:iCs/>
          <w:vertAlign w:val="subscript"/>
          <w:lang w:val="en-US"/>
        </w:rPr>
        <w:t>i</w:t>
      </w:r>
      <w:r w:rsidR="00900AF0" w:rsidRPr="00746D97">
        <w:rPr>
          <w:lang w:val="en-US"/>
        </w:rPr>
        <w:t xml:space="preserve">). The error term follows the conventional SFA decomposition: </w:t>
      </w:r>
      <w:r w:rsidR="00900AF0" w:rsidRPr="00746D97">
        <w:rPr>
          <w:i/>
          <w:iCs/>
          <w:lang w:val="en-US"/>
        </w:rPr>
        <w:t>v</w:t>
      </w:r>
      <w:r w:rsidR="00900AF0" w:rsidRPr="00746D97">
        <w:rPr>
          <w:i/>
          <w:iCs/>
          <w:vertAlign w:val="subscript"/>
          <w:lang w:val="en-US"/>
        </w:rPr>
        <w:t>i</w:t>
      </w:r>
      <w:r w:rsidR="00900AF0" w:rsidRPr="00746D97">
        <w:rPr>
          <w:lang w:val="en-US"/>
        </w:rPr>
        <w:t>: Random noise ~</w:t>
      </w:r>
      <w:r w:rsidR="00900AF0" w:rsidRPr="00746D97">
        <w:rPr>
          <w:i/>
          <w:iCs/>
          <w:lang w:val="en-US"/>
        </w:rPr>
        <w:t xml:space="preserve"> </w:t>
      </w:r>
      <m:oMath>
        <m:r>
          <w:rPr>
            <w:rFonts w:ascii="Cambria Math" w:hAnsi="Cambria Math"/>
          </w:rPr>
          <m:t>N(0,</m:t>
        </m:r>
        <m:sSubSup>
          <m:sSubSupPr>
            <m:ctrlPr>
              <w:rPr>
                <w:rFonts w:ascii="Cambria Math" w:hAnsi="Cambria Math"/>
                <w:i/>
                <w:iCs/>
              </w:rPr>
            </m:ctrlPr>
          </m:sSubSupPr>
          <m:e>
            <m:r>
              <w:rPr>
                <w:rFonts w:ascii="Cambria Math" w:hAnsi="Cambria Math"/>
              </w:rPr>
              <m:t>σ</m:t>
            </m:r>
          </m:e>
          <m:sub>
            <m:r>
              <w:rPr>
                <w:rFonts w:ascii="Cambria Math" w:hAnsi="Cambria Math"/>
              </w:rPr>
              <m:t>v</m:t>
            </m:r>
          </m:sub>
          <m:sup>
            <m:r>
              <w:rPr>
                <w:rFonts w:ascii="Cambria Math" w:hAnsi="Cambria Math"/>
              </w:rPr>
              <m:t xml:space="preserve">2 </m:t>
            </m:r>
          </m:sup>
        </m:sSubSup>
        <m:r>
          <w:rPr>
            <w:rFonts w:ascii="Cambria Math" w:hAnsi="Cambria Math"/>
          </w:rPr>
          <m:t>)</m:t>
        </m:r>
      </m:oMath>
      <w:r w:rsidR="00900AF0" w:rsidRPr="00746D97">
        <w:rPr>
          <w:lang w:val="en-US"/>
        </w:rPr>
        <w:t xml:space="preserve"> and </w:t>
      </w:r>
      <w:r w:rsidR="00900AF0" w:rsidRPr="00746D97">
        <w:rPr>
          <w:i/>
          <w:iCs/>
          <w:lang w:val="en-US"/>
        </w:rPr>
        <w:t>u</w:t>
      </w:r>
      <w:r w:rsidR="00900AF0" w:rsidRPr="00746D97">
        <w:rPr>
          <w:i/>
          <w:iCs/>
          <w:vertAlign w:val="subscript"/>
          <w:lang w:val="en-US"/>
        </w:rPr>
        <w:t>i</w:t>
      </w:r>
      <w:r w:rsidR="00900AF0" w:rsidRPr="00746D97">
        <w:rPr>
          <w:lang w:val="en-US"/>
        </w:rPr>
        <w:t>: Inefficiency ~ </w:t>
      </w:r>
      <m:oMath>
        <m:sSup>
          <m:sSupPr>
            <m:ctrlPr>
              <w:rPr>
                <w:rFonts w:ascii="Cambria Math" w:hAnsi="Cambria Math"/>
                <w:i/>
                <w:iCs/>
              </w:rPr>
            </m:ctrlPr>
          </m:sSupPr>
          <m:e>
            <m:r>
              <w:rPr>
                <w:rFonts w:ascii="Cambria Math" w:hAnsi="Cambria Math"/>
              </w:rPr>
              <m:t>N</m:t>
            </m:r>
          </m:e>
          <m:sup>
            <m:r>
              <w:rPr>
                <w:rFonts w:ascii="Cambria Math" w:hAnsi="Cambria Math"/>
              </w:rPr>
              <m:t>+</m:t>
            </m:r>
          </m:sup>
        </m:sSup>
        <m:r>
          <w:rPr>
            <w:rFonts w:ascii="Cambria Math" w:hAnsi="Cambria Math"/>
          </w:rPr>
          <m:t>(0,</m:t>
        </m:r>
        <m:sSubSup>
          <m:sSubSupPr>
            <m:ctrlPr>
              <w:rPr>
                <w:rFonts w:ascii="Cambria Math" w:hAnsi="Cambria Math"/>
                <w:i/>
                <w:iCs/>
              </w:rPr>
            </m:ctrlPr>
          </m:sSubSupPr>
          <m:e>
            <m:r>
              <w:rPr>
                <w:rFonts w:ascii="Cambria Math" w:hAnsi="Cambria Math"/>
              </w:rPr>
              <m:t>σ</m:t>
            </m:r>
          </m:e>
          <m:sub>
            <m:r>
              <w:rPr>
                <w:rFonts w:ascii="Cambria Math" w:hAnsi="Cambria Math"/>
              </w:rPr>
              <m:t>u</m:t>
            </m:r>
          </m:sub>
          <m:sup>
            <m:r>
              <w:rPr>
                <w:rFonts w:ascii="Cambria Math" w:hAnsi="Cambria Math"/>
              </w:rPr>
              <m:t xml:space="preserve">2 </m:t>
            </m:r>
          </m:sup>
        </m:sSubSup>
        <m:r>
          <w:rPr>
            <w:rFonts w:ascii="Cambria Math" w:hAnsi="Cambria Math"/>
          </w:rPr>
          <m:t>)</m:t>
        </m:r>
        <m:r>
          <w:rPr>
            <w:rFonts w:ascii="Cambria Math" w:hAnsi="Cambria Math"/>
            <w:lang w:val="en-US"/>
          </w:rPr>
          <m:t xml:space="preserve"> </m:t>
        </m:r>
      </m:oMath>
      <w:r w:rsidR="00900AF0" w:rsidRPr="00746D97">
        <w:rPr>
          <w:lang w:val="en-US"/>
        </w:rPr>
        <w:t xml:space="preserve">(half-normal). </w:t>
      </w:r>
      <w:r w:rsidR="00900AF0" w:rsidRPr="00746D97">
        <w:t>The dependent variable π was calculated by subtracting all costs (labour costs, other variable costs, and fixed costs) from the revenues each firm registered (Purwanto et al., 2014; Álvarez &amp; Crespi, 2003). Instead of running a profit inefficiency model (</w:t>
      </w:r>
      <w:r w:rsidR="00900AF0" w:rsidRPr="00746D97">
        <w:sym w:font="Symbol" w:char="F06D"/>
      </w:r>
      <w:r w:rsidR="00900AF0" w:rsidRPr="00746D97">
        <w:rPr>
          <w:vertAlign w:val="subscript"/>
        </w:rPr>
        <w:t>i</w:t>
      </w:r>
      <w:r w:rsidR="00900AF0" w:rsidRPr="00746D97">
        <w:t xml:space="preserve">), this study used the efficiency scores in an endogenous switching regression model to determine the treatment effect of </w:t>
      </w:r>
      <w:r w:rsidR="004A0374">
        <w:t>financial inclusion</w:t>
      </w:r>
      <w:r w:rsidR="00900AF0" w:rsidRPr="00746D97">
        <w:t xml:space="preserve"> on profit efficiency scores.</w:t>
      </w:r>
    </w:p>
    <w:p w:rsidR="001D2D55" w:rsidRPr="00746D97" w:rsidRDefault="001D2D55" w:rsidP="00746D97">
      <w:pPr>
        <w:spacing w:before="240" w:after="240" w:line="360" w:lineRule="auto"/>
        <w:jc w:val="both"/>
        <w:rPr>
          <w:b/>
          <w:shd w:val="clear" w:color="auto" w:fill="FFFFFF"/>
        </w:rPr>
      </w:pPr>
      <w:r w:rsidRPr="00746D97">
        <w:t xml:space="preserve">2.4 </w:t>
      </w:r>
      <w:r w:rsidRPr="00746D97">
        <w:tab/>
      </w:r>
      <w:r w:rsidR="008834CC" w:rsidRPr="00746D97">
        <w:rPr>
          <w:b/>
          <w:shd w:val="clear" w:color="auto" w:fill="FFFFFF"/>
        </w:rPr>
        <w:t>Instruments'</w:t>
      </w:r>
      <w:r w:rsidR="000A6EFE">
        <w:rPr>
          <w:b/>
          <w:shd w:val="clear" w:color="auto" w:fill="FFFFFF"/>
        </w:rPr>
        <w:t xml:space="preserve"> validity and robustness c</w:t>
      </w:r>
      <w:r w:rsidRPr="00746D97">
        <w:rPr>
          <w:b/>
          <w:shd w:val="clear" w:color="auto" w:fill="FFFFFF"/>
        </w:rPr>
        <w:t>hecks</w:t>
      </w:r>
    </w:p>
    <w:p w:rsidR="001D2D55" w:rsidRPr="00746D97" w:rsidRDefault="0020605D" w:rsidP="00746D97">
      <w:pPr>
        <w:spacing w:before="240" w:after="240" w:line="360" w:lineRule="auto"/>
        <w:jc w:val="both"/>
        <w:rPr>
          <w:shd w:val="clear" w:color="auto" w:fill="FFFFFF"/>
        </w:rPr>
      </w:pPr>
      <w:r>
        <w:rPr>
          <w:shd w:val="clear" w:color="auto" w:fill="FFFFFF"/>
        </w:rPr>
        <w:t xml:space="preserve">The study employs having a business plan, non-mobile technology usage, business network membership, internet access, and keeping financial records as instrumental variables. The </w:t>
      </w:r>
      <w:r>
        <w:rPr>
          <w:shd w:val="clear" w:color="auto" w:fill="FFFFFF"/>
        </w:rPr>
        <w:lastRenderedPageBreak/>
        <w:t>reasoning is theoretically confirmed because these factors enhance the organizational and social visibility of formal financial services. However, they are unlikely to directly impact profit efficiency after controlling for financial inclusion, thus fulfilling the exclusion restriction posed by Maddala (1983), Wooldridge (2010), Mendola (2007), Karlan &amp; Morduch (2009), and Di Falco et al. (2011). The instruments’ statistical adequacy is evidenced by significant coefficients in the selection equation and strong joint F-tests. At the same time, theoretical validity is indicated by the absence of direct significance in the outcome equation (Smith &amp; Blundell, 1986). The parameters athrho and rho in the ESR model test for endogenous selection, and the model is validated if athrho, which confirms the correlation of selection and outcome errors, is significant (Lokshin &amp; Sajaia, 2004). The standard deviation of each regime’s residuals, captured by Sigma and lnsigma, is corrected for selection bias using the inverse Mills ratio, lambda. Together, these instruments and diagnostics create a robust identification framework that estimates the causal impact of financial inclusion on MSME profit efficiency.</w:t>
      </w:r>
    </w:p>
    <w:p w:rsidR="001D2D55" w:rsidRPr="00746D97" w:rsidRDefault="001D2D55" w:rsidP="00746D97">
      <w:pPr>
        <w:spacing w:before="240" w:after="240" w:line="360" w:lineRule="auto"/>
        <w:jc w:val="both"/>
        <w:rPr>
          <w:shd w:val="clear" w:color="auto" w:fill="FFFFFF"/>
        </w:rPr>
      </w:pPr>
      <w:r w:rsidRPr="00746D97">
        <w:t xml:space="preserve">In addition to ESR, this study estimated and assessed data using OLS, </w:t>
      </w:r>
      <w:r w:rsidR="006E78FF" w:rsidRPr="00746D97">
        <w:t xml:space="preserve">the </w:t>
      </w:r>
      <w:r w:rsidRPr="00746D97">
        <w:t xml:space="preserve">tobit regression model, and Propensity Score Matching (PSM) to test model robustness. </w:t>
      </w:r>
      <w:r w:rsidRPr="00746D97">
        <w:rPr>
          <w:color w:val="000000" w:themeColor="text1"/>
        </w:rPr>
        <w:t xml:space="preserve">While OLS employs exogeneity as a reference point, the Tobit model considers efficiency scores constrained within 0-100%. The Heckman selection model addresses selection bias but does not capture treatment effect heterogeneity as effectively as the ESR (Endogenous Switching Regression) model (Heckman, 1979; Wooldridge, 2010). The </w:t>
      </w:r>
      <w:r w:rsidRPr="00746D97">
        <w:rPr>
          <w:color w:val="000000" w:themeColor="text1"/>
          <w:shd w:val="clear" w:color="auto" w:fill="FFFFFF"/>
        </w:rPr>
        <w:t xml:space="preserve">PSM has a control group that does not participate, i.e., those not using financial services but possessing observable traits consistent with those of the participating firms. This allows us to create a matched sample that simulates an experimental situation (Rosenbaum &amp; Rubin, 1983; Caliendo &amp; Kopeinig, 2008).  </w:t>
      </w:r>
    </w:p>
    <w:p w:rsidR="00C334EE" w:rsidRPr="00746D97" w:rsidRDefault="00C334EE" w:rsidP="00746D97">
      <w:pPr>
        <w:spacing w:before="240" w:line="360" w:lineRule="auto"/>
        <w:rPr>
          <w:b/>
          <w:i/>
          <w:lang w:val="en-US"/>
        </w:rPr>
      </w:pPr>
      <w:r w:rsidRPr="00746D97">
        <w:rPr>
          <w:b/>
          <w:lang w:val="en-US"/>
        </w:rPr>
        <w:t>2</w:t>
      </w:r>
      <w:r w:rsidR="001D2D55" w:rsidRPr="00746D97">
        <w:rPr>
          <w:b/>
          <w:lang w:val="en-US"/>
        </w:rPr>
        <w:t>.5</w:t>
      </w:r>
      <w:r w:rsidRPr="00746D97">
        <w:rPr>
          <w:b/>
          <w:i/>
          <w:lang w:val="en-US"/>
        </w:rPr>
        <w:tab/>
      </w:r>
      <w:r w:rsidRPr="00746D97">
        <w:rPr>
          <w:b/>
          <w:lang w:val="en-US"/>
        </w:rPr>
        <w:t>Summary statistics of firms</w:t>
      </w:r>
    </w:p>
    <w:p w:rsidR="00C334EE" w:rsidRPr="00746D97" w:rsidRDefault="004D1FE0" w:rsidP="00746D97">
      <w:pPr>
        <w:spacing w:before="240" w:line="360" w:lineRule="auto"/>
        <w:jc w:val="both"/>
      </w:pPr>
      <w:r>
        <w:rPr>
          <w:b/>
        </w:rPr>
        <w:t>Table 1</w:t>
      </w:r>
      <w:r w:rsidR="00C334EE" w:rsidRPr="00746D97">
        <w:t xml:space="preserve"> illustrates the significant differences in profit-related metrics between enterprises that engage with financial services and those that do not. As previously mentioned, users of financial services profited substantially more on average (MK 1,656,416) than non-users (MK 1,062,752); this difference was statistically significant (p = 0.019). Additionally, financially served enterprises also spent more on operations (MK 869,197 vs. MK 669,201), materials (MK 414,071 vs. MK 268,531), and labor (MK 405,966 vs. MK 135,320). The most striking difference was observed in </w:t>
      </w:r>
      <w:r w:rsidR="00C334EE" w:rsidRPr="00746D97">
        <w:lastRenderedPageBreak/>
        <w:t>labor costs (p &lt; 0.001), suggesting higher employment or formal hiring levels among the firms included. Users of financial services also held greater assets, although this difference was not statistically significant (p = 0.148), indicating that the firms had diverse capital structures.</w:t>
      </w:r>
    </w:p>
    <w:p w:rsidR="00C334EE" w:rsidRPr="00746D97" w:rsidRDefault="00C334EE" w:rsidP="00746D97">
      <w:pPr>
        <w:spacing w:before="240" w:line="360" w:lineRule="auto"/>
        <w:jc w:val="both"/>
      </w:pPr>
      <w:r w:rsidRPr="00746D97">
        <w:t>These findings support other literature indicating that financial inclusion enhances a business's performance by increasing access to capital for investment in productive assets and expanding the scale of operations (Beck, Demirgüç-Kunt, &amp; Levine, 2007; Allen et al., 2016). Conversely, the rise in costs, possibly in labor and materials, which is subsidized by financial services, appears to extend the scope of business activities into more resource-intensive areas. The significant increase in profits, despite the rising costs, indicates enhanced profit efficiency, likely resulting from improved financial planning, risk management, and market opportunities provided by financial services (Bruhn &amp; Love, 2014).</w:t>
      </w:r>
    </w:p>
    <w:p w:rsidR="00C334EE" w:rsidRPr="00535AE4" w:rsidRDefault="004D1FE0" w:rsidP="00C334EE">
      <w:pPr>
        <w:spacing w:before="240"/>
        <w:rPr>
          <w:sz w:val="22"/>
          <w:szCs w:val="22"/>
        </w:rPr>
      </w:pPr>
      <w:r>
        <w:rPr>
          <w:b/>
          <w:sz w:val="22"/>
          <w:szCs w:val="22"/>
        </w:rPr>
        <w:t>Table 1</w:t>
      </w:r>
      <w:r w:rsidR="00C334EE" w:rsidRPr="00535AE4">
        <w:rPr>
          <w:sz w:val="22"/>
          <w:szCs w:val="22"/>
        </w:rPr>
        <w:t>: Descriptive Estimates for Profit Efficiency Parameters and Financial Inclusion</w:t>
      </w:r>
    </w:p>
    <w:tbl>
      <w:tblPr>
        <w:tblW w:w="9373" w:type="dxa"/>
        <w:tblBorders>
          <w:top w:val="single" w:sz="4" w:space="0" w:color="auto"/>
          <w:bottom w:val="single" w:sz="4" w:space="0" w:color="auto"/>
        </w:tblBorders>
        <w:tblLook w:val="04A0" w:firstRow="1" w:lastRow="0" w:firstColumn="1" w:lastColumn="0" w:noHBand="0" w:noVBand="1"/>
      </w:tblPr>
      <w:tblGrid>
        <w:gridCol w:w="1990"/>
        <w:gridCol w:w="2131"/>
        <w:gridCol w:w="2274"/>
        <w:gridCol w:w="2197"/>
        <w:gridCol w:w="781"/>
      </w:tblGrid>
      <w:tr w:rsidR="00C334EE" w:rsidRPr="004D1FE0" w:rsidTr="00746D97">
        <w:trPr>
          <w:trHeight w:val="358"/>
        </w:trPr>
        <w:tc>
          <w:tcPr>
            <w:tcW w:w="1990" w:type="dxa"/>
            <w:tcBorders>
              <w:bottom w:val="nil"/>
            </w:tcBorders>
            <w:shd w:val="clear" w:color="auto" w:fill="auto"/>
            <w:noWrap/>
            <w:vAlign w:val="bottom"/>
          </w:tcPr>
          <w:p w:rsidR="00C334EE" w:rsidRPr="004D1FE0" w:rsidRDefault="00C334EE" w:rsidP="00E4212E">
            <w:pPr>
              <w:rPr>
                <w:b/>
                <w:bCs/>
                <w:color w:val="000000"/>
                <w:sz w:val="20"/>
                <w:szCs w:val="20"/>
              </w:rPr>
            </w:pPr>
          </w:p>
        </w:tc>
        <w:tc>
          <w:tcPr>
            <w:tcW w:w="4405" w:type="dxa"/>
            <w:gridSpan w:val="2"/>
            <w:tcBorders>
              <w:bottom w:val="nil"/>
            </w:tcBorders>
            <w:shd w:val="clear" w:color="auto" w:fill="auto"/>
            <w:noWrap/>
            <w:vAlign w:val="bottom"/>
          </w:tcPr>
          <w:p w:rsidR="00C334EE" w:rsidRPr="004D1FE0" w:rsidRDefault="00C334EE" w:rsidP="00E4212E">
            <w:pPr>
              <w:rPr>
                <w:b/>
                <w:bCs/>
                <w:color w:val="000000"/>
                <w:sz w:val="20"/>
                <w:szCs w:val="20"/>
              </w:rPr>
            </w:pPr>
            <w:r w:rsidRPr="004D1FE0">
              <w:rPr>
                <w:b/>
                <w:bCs/>
                <w:color w:val="000000"/>
                <w:sz w:val="20"/>
                <w:szCs w:val="20"/>
              </w:rPr>
              <w:t>Financial services uptake</w:t>
            </w:r>
          </w:p>
        </w:tc>
        <w:tc>
          <w:tcPr>
            <w:tcW w:w="2197" w:type="dxa"/>
            <w:tcBorders>
              <w:bottom w:val="nil"/>
            </w:tcBorders>
            <w:shd w:val="clear" w:color="auto" w:fill="auto"/>
            <w:noWrap/>
            <w:vAlign w:val="bottom"/>
          </w:tcPr>
          <w:p w:rsidR="00C334EE" w:rsidRPr="004D1FE0" w:rsidRDefault="00C334EE" w:rsidP="00E4212E">
            <w:pPr>
              <w:rPr>
                <w:b/>
                <w:bCs/>
                <w:color w:val="000000"/>
                <w:sz w:val="20"/>
                <w:szCs w:val="20"/>
              </w:rPr>
            </w:pPr>
          </w:p>
        </w:tc>
        <w:tc>
          <w:tcPr>
            <w:tcW w:w="781" w:type="dxa"/>
            <w:tcBorders>
              <w:bottom w:val="nil"/>
            </w:tcBorders>
            <w:shd w:val="clear" w:color="auto" w:fill="auto"/>
            <w:noWrap/>
            <w:vAlign w:val="bottom"/>
          </w:tcPr>
          <w:p w:rsidR="00C334EE" w:rsidRPr="004D1FE0" w:rsidRDefault="00C334EE" w:rsidP="00E4212E">
            <w:pPr>
              <w:jc w:val="center"/>
              <w:rPr>
                <w:b/>
                <w:bCs/>
                <w:color w:val="000000"/>
                <w:sz w:val="20"/>
                <w:szCs w:val="20"/>
              </w:rPr>
            </w:pPr>
          </w:p>
        </w:tc>
      </w:tr>
      <w:tr w:rsidR="00C334EE" w:rsidRPr="004D1FE0" w:rsidTr="00746D97">
        <w:trPr>
          <w:trHeight w:val="358"/>
        </w:trPr>
        <w:tc>
          <w:tcPr>
            <w:tcW w:w="1990" w:type="dxa"/>
            <w:tcBorders>
              <w:top w:val="nil"/>
              <w:bottom w:val="single" w:sz="4" w:space="0" w:color="auto"/>
            </w:tcBorders>
            <w:shd w:val="clear" w:color="auto" w:fill="auto"/>
            <w:noWrap/>
            <w:vAlign w:val="bottom"/>
          </w:tcPr>
          <w:p w:rsidR="00C334EE" w:rsidRPr="004D1FE0" w:rsidRDefault="00C334EE" w:rsidP="00E4212E">
            <w:pPr>
              <w:rPr>
                <w:b/>
                <w:bCs/>
                <w:color w:val="000000"/>
                <w:sz w:val="20"/>
                <w:szCs w:val="20"/>
              </w:rPr>
            </w:pPr>
            <w:r w:rsidRPr="004D1FE0">
              <w:rPr>
                <w:b/>
                <w:bCs/>
                <w:color w:val="000000"/>
                <w:sz w:val="20"/>
                <w:szCs w:val="20"/>
              </w:rPr>
              <w:t>Variable</w:t>
            </w:r>
          </w:p>
        </w:tc>
        <w:tc>
          <w:tcPr>
            <w:tcW w:w="2131" w:type="dxa"/>
            <w:tcBorders>
              <w:top w:val="nil"/>
              <w:bottom w:val="single" w:sz="4" w:space="0" w:color="auto"/>
            </w:tcBorders>
            <w:shd w:val="clear" w:color="auto" w:fill="auto"/>
            <w:noWrap/>
            <w:vAlign w:val="bottom"/>
          </w:tcPr>
          <w:p w:rsidR="00C334EE" w:rsidRPr="004D1FE0" w:rsidRDefault="00C334EE" w:rsidP="00E4212E">
            <w:pPr>
              <w:rPr>
                <w:b/>
                <w:bCs/>
                <w:color w:val="000000"/>
                <w:sz w:val="20"/>
                <w:szCs w:val="20"/>
              </w:rPr>
            </w:pPr>
            <w:r w:rsidRPr="004D1FE0">
              <w:rPr>
                <w:b/>
                <w:bCs/>
                <w:color w:val="000000"/>
                <w:sz w:val="20"/>
                <w:szCs w:val="20"/>
              </w:rPr>
              <w:t xml:space="preserve">No </w:t>
            </w:r>
          </w:p>
        </w:tc>
        <w:tc>
          <w:tcPr>
            <w:tcW w:w="2273" w:type="dxa"/>
            <w:tcBorders>
              <w:top w:val="nil"/>
              <w:bottom w:val="single" w:sz="4" w:space="0" w:color="auto"/>
            </w:tcBorders>
            <w:shd w:val="clear" w:color="auto" w:fill="auto"/>
            <w:noWrap/>
            <w:vAlign w:val="bottom"/>
          </w:tcPr>
          <w:p w:rsidR="00C334EE" w:rsidRPr="004D1FE0" w:rsidRDefault="00C334EE" w:rsidP="00E4212E">
            <w:pPr>
              <w:rPr>
                <w:b/>
                <w:bCs/>
                <w:color w:val="000000"/>
                <w:sz w:val="20"/>
                <w:szCs w:val="20"/>
              </w:rPr>
            </w:pPr>
            <w:r w:rsidRPr="004D1FE0">
              <w:rPr>
                <w:b/>
                <w:bCs/>
                <w:color w:val="000000"/>
                <w:sz w:val="20"/>
                <w:szCs w:val="20"/>
              </w:rPr>
              <w:t>Yes</w:t>
            </w:r>
          </w:p>
        </w:tc>
        <w:tc>
          <w:tcPr>
            <w:tcW w:w="2197" w:type="dxa"/>
            <w:tcBorders>
              <w:top w:val="nil"/>
              <w:bottom w:val="single" w:sz="4" w:space="0" w:color="auto"/>
            </w:tcBorders>
            <w:shd w:val="clear" w:color="auto" w:fill="auto"/>
            <w:noWrap/>
            <w:vAlign w:val="bottom"/>
          </w:tcPr>
          <w:p w:rsidR="00C334EE" w:rsidRPr="004D1FE0" w:rsidRDefault="00C334EE" w:rsidP="00E4212E">
            <w:pPr>
              <w:rPr>
                <w:b/>
                <w:bCs/>
                <w:color w:val="000000"/>
                <w:sz w:val="20"/>
                <w:szCs w:val="20"/>
              </w:rPr>
            </w:pPr>
            <w:r w:rsidRPr="004D1FE0">
              <w:rPr>
                <w:b/>
                <w:bCs/>
                <w:color w:val="000000"/>
                <w:sz w:val="20"/>
                <w:szCs w:val="20"/>
              </w:rPr>
              <w:t>Total</w:t>
            </w:r>
          </w:p>
        </w:tc>
        <w:tc>
          <w:tcPr>
            <w:tcW w:w="781" w:type="dxa"/>
            <w:tcBorders>
              <w:top w:val="nil"/>
              <w:bottom w:val="single" w:sz="4" w:space="0" w:color="auto"/>
            </w:tcBorders>
            <w:shd w:val="clear" w:color="auto" w:fill="auto"/>
            <w:noWrap/>
            <w:vAlign w:val="bottom"/>
          </w:tcPr>
          <w:p w:rsidR="00C334EE" w:rsidRPr="004D1FE0" w:rsidRDefault="00C334EE" w:rsidP="00E4212E">
            <w:pPr>
              <w:jc w:val="center"/>
              <w:rPr>
                <w:b/>
                <w:bCs/>
                <w:color w:val="000000"/>
                <w:sz w:val="20"/>
                <w:szCs w:val="20"/>
              </w:rPr>
            </w:pPr>
            <w:r w:rsidRPr="004D1FE0">
              <w:rPr>
                <w:b/>
                <w:bCs/>
                <w:color w:val="000000"/>
                <w:sz w:val="20"/>
                <w:szCs w:val="20"/>
              </w:rPr>
              <w:t xml:space="preserve">Test </w:t>
            </w:r>
          </w:p>
        </w:tc>
      </w:tr>
      <w:tr w:rsidR="00C334EE" w:rsidRPr="004D1FE0" w:rsidTr="00746D97">
        <w:trPr>
          <w:trHeight w:val="358"/>
        </w:trPr>
        <w:tc>
          <w:tcPr>
            <w:tcW w:w="1990" w:type="dxa"/>
            <w:tcBorders>
              <w:top w:val="single" w:sz="4" w:space="0" w:color="auto"/>
            </w:tcBorders>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Sample</w:t>
            </w:r>
          </w:p>
        </w:tc>
        <w:tc>
          <w:tcPr>
            <w:tcW w:w="2131" w:type="dxa"/>
            <w:tcBorders>
              <w:top w:val="single" w:sz="4" w:space="0" w:color="auto"/>
            </w:tcBorders>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1,773 (59.7%)</w:t>
            </w:r>
          </w:p>
        </w:tc>
        <w:tc>
          <w:tcPr>
            <w:tcW w:w="2273" w:type="dxa"/>
            <w:tcBorders>
              <w:top w:val="single" w:sz="4" w:space="0" w:color="auto"/>
            </w:tcBorders>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1,197 (40.3%)</w:t>
            </w:r>
          </w:p>
        </w:tc>
        <w:tc>
          <w:tcPr>
            <w:tcW w:w="2197" w:type="dxa"/>
            <w:tcBorders>
              <w:top w:val="single" w:sz="4" w:space="0" w:color="auto"/>
            </w:tcBorders>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2,970 (100.0%)</w:t>
            </w:r>
          </w:p>
        </w:tc>
        <w:tc>
          <w:tcPr>
            <w:tcW w:w="781" w:type="dxa"/>
            <w:tcBorders>
              <w:top w:val="single" w:sz="4" w:space="0" w:color="auto"/>
            </w:tcBorders>
            <w:shd w:val="clear" w:color="auto" w:fill="auto"/>
            <w:noWrap/>
            <w:vAlign w:val="bottom"/>
            <w:hideMark/>
          </w:tcPr>
          <w:p w:rsidR="00C334EE" w:rsidRPr="004D1FE0" w:rsidRDefault="00C334EE" w:rsidP="00E4212E">
            <w:pPr>
              <w:jc w:val="center"/>
              <w:rPr>
                <w:color w:val="000000"/>
                <w:sz w:val="20"/>
                <w:szCs w:val="20"/>
              </w:rPr>
            </w:pPr>
            <w:r w:rsidRPr="004D1FE0">
              <w:rPr>
                <w:color w:val="000000"/>
                <w:sz w:val="20"/>
                <w:szCs w:val="20"/>
              </w:rPr>
              <w:t xml:space="preserve">      </w:t>
            </w:r>
          </w:p>
        </w:tc>
      </w:tr>
      <w:tr w:rsidR="00C334EE" w:rsidRPr="004D1FE0" w:rsidTr="00746D97">
        <w:trPr>
          <w:trHeight w:val="358"/>
        </w:trPr>
        <w:tc>
          <w:tcPr>
            <w:tcW w:w="1990"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Profit (MK)</w:t>
            </w:r>
          </w:p>
        </w:tc>
        <w:tc>
          <w:tcPr>
            <w:tcW w:w="2131"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1,062,752(3,891,398)</w:t>
            </w:r>
          </w:p>
        </w:tc>
        <w:tc>
          <w:tcPr>
            <w:tcW w:w="2273"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1,656,416 (9,562,015)</w:t>
            </w:r>
          </w:p>
        </w:tc>
        <w:tc>
          <w:tcPr>
            <w:tcW w:w="2197"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1,302,017 (6,778,953)</w:t>
            </w:r>
          </w:p>
        </w:tc>
        <w:tc>
          <w:tcPr>
            <w:tcW w:w="781" w:type="dxa"/>
            <w:shd w:val="clear" w:color="auto" w:fill="auto"/>
            <w:noWrap/>
            <w:vAlign w:val="bottom"/>
            <w:hideMark/>
          </w:tcPr>
          <w:p w:rsidR="00C334EE" w:rsidRPr="004D1FE0" w:rsidRDefault="00C334EE" w:rsidP="00E4212E">
            <w:pPr>
              <w:jc w:val="center"/>
              <w:rPr>
                <w:color w:val="000000"/>
                <w:sz w:val="20"/>
                <w:szCs w:val="20"/>
              </w:rPr>
            </w:pPr>
            <w:r w:rsidRPr="004D1FE0">
              <w:rPr>
                <w:color w:val="000000"/>
                <w:sz w:val="20"/>
                <w:szCs w:val="20"/>
              </w:rPr>
              <w:t>0.019</w:t>
            </w:r>
          </w:p>
        </w:tc>
      </w:tr>
      <w:tr w:rsidR="00C334EE" w:rsidRPr="004D1FE0" w:rsidTr="00746D97">
        <w:trPr>
          <w:trHeight w:val="358"/>
        </w:trPr>
        <w:tc>
          <w:tcPr>
            <w:tcW w:w="1990"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Operations cost (MK)</w:t>
            </w:r>
          </w:p>
        </w:tc>
        <w:tc>
          <w:tcPr>
            <w:tcW w:w="2131"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669,201(3,381,887)</w:t>
            </w:r>
          </w:p>
        </w:tc>
        <w:tc>
          <w:tcPr>
            <w:tcW w:w="2273"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869,197(3,145,462)</w:t>
            </w:r>
          </w:p>
        </w:tc>
        <w:tc>
          <w:tcPr>
            <w:tcW w:w="2197"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749,805(3,289,571)</w:t>
            </w:r>
          </w:p>
        </w:tc>
        <w:tc>
          <w:tcPr>
            <w:tcW w:w="781" w:type="dxa"/>
            <w:shd w:val="clear" w:color="auto" w:fill="auto"/>
            <w:noWrap/>
            <w:vAlign w:val="bottom"/>
            <w:hideMark/>
          </w:tcPr>
          <w:p w:rsidR="00C334EE" w:rsidRPr="004D1FE0" w:rsidRDefault="00C334EE" w:rsidP="00E4212E">
            <w:pPr>
              <w:jc w:val="center"/>
              <w:rPr>
                <w:color w:val="000000"/>
                <w:sz w:val="20"/>
                <w:szCs w:val="20"/>
              </w:rPr>
            </w:pPr>
            <w:r w:rsidRPr="004D1FE0">
              <w:rPr>
                <w:color w:val="000000"/>
                <w:sz w:val="20"/>
                <w:szCs w:val="20"/>
              </w:rPr>
              <w:t>0.104</w:t>
            </w:r>
          </w:p>
        </w:tc>
      </w:tr>
      <w:tr w:rsidR="00C334EE" w:rsidRPr="004D1FE0" w:rsidTr="00746D97">
        <w:trPr>
          <w:trHeight w:val="358"/>
        </w:trPr>
        <w:tc>
          <w:tcPr>
            <w:tcW w:w="1990"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Materials cost (MK)</w:t>
            </w:r>
          </w:p>
        </w:tc>
        <w:tc>
          <w:tcPr>
            <w:tcW w:w="2131"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268,531(957,286)</w:t>
            </w:r>
          </w:p>
        </w:tc>
        <w:tc>
          <w:tcPr>
            <w:tcW w:w="2273"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414,071(2,620,897)</w:t>
            </w:r>
          </w:p>
        </w:tc>
        <w:tc>
          <w:tcPr>
            <w:tcW w:w="2197"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327,188(1,821,842)</w:t>
            </w:r>
          </w:p>
        </w:tc>
        <w:tc>
          <w:tcPr>
            <w:tcW w:w="781" w:type="dxa"/>
            <w:shd w:val="clear" w:color="auto" w:fill="auto"/>
            <w:noWrap/>
            <w:vAlign w:val="bottom"/>
            <w:hideMark/>
          </w:tcPr>
          <w:p w:rsidR="00C334EE" w:rsidRPr="004D1FE0" w:rsidRDefault="00C334EE" w:rsidP="00E4212E">
            <w:pPr>
              <w:jc w:val="center"/>
              <w:rPr>
                <w:color w:val="000000"/>
                <w:sz w:val="20"/>
                <w:szCs w:val="20"/>
              </w:rPr>
            </w:pPr>
            <w:r w:rsidRPr="004D1FE0">
              <w:rPr>
                <w:color w:val="000000"/>
                <w:sz w:val="20"/>
                <w:szCs w:val="20"/>
              </w:rPr>
              <w:t>0.033</w:t>
            </w:r>
          </w:p>
        </w:tc>
      </w:tr>
      <w:tr w:rsidR="00C334EE" w:rsidRPr="004D1FE0" w:rsidTr="00746D97">
        <w:trPr>
          <w:trHeight w:val="358"/>
        </w:trPr>
        <w:tc>
          <w:tcPr>
            <w:tcW w:w="1990"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Labour cost (MK)</w:t>
            </w:r>
          </w:p>
        </w:tc>
        <w:tc>
          <w:tcPr>
            <w:tcW w:w="2131"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135,320 (700,361)</w:t>
            </w:r>
          </w:p>
        </w:tc>
        <w:tc>
          <w:tcPr>
            <w:tcW w:w="2273"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405,966 (2,701,119)</w:t>
            </w:r>
          </w:p>
        </w:tc>
        <w:tc>
          <w:tcPr>
            <w:tcW w:w="2197"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244,398 (1,802,620)</w:t>
            </w:r>
          </w:p>
        </w:tc>
        <w:tc>
          <w:tcPr>
            <w:tcW w:w="781" w:type="dxa"/>
            <w:shd w:val="clear" w:color="auto" w:fill="auto"/>
            <w:noWrap/>
            <w:vAlign w:val="bottom"/>
            <w:hideMark/>
          </w:tcPr>
          <w:p w:rsidR="00C334EE" w:rsidRPr="004D1FE0" w:rsidRDefault="00C334EE" w:rsidP="00E4212E">
            <w:pPr>
              <w:jc w:val="center"/>
              <w:rPr>
                <w:color w:val="000000"/>
                <w:sz w:val="20"/>
                <w:szCs w:val="20"/>
              </w:rPr>
            </w:pPr>
            <w:r w:rsidRPr="004D1FE0">
              <w:rPr>
                <w:color w:val="000000"/>
                <w:sz w:val="20"/>
                <w:szCs w:val="20"/>
              </w:rPr>
              <w:t>&lt;0.001</w:t>
            </w:r>
          </w:p>
        </w:tc>
      </w:tr>
      <w:tr w:rsidR="00C334EE" w:rsidRPr="004D1FE0" w:rsidTr="00746D97">
        <w:trPr>
          <w:trHeight w:val="358"/>
        </w:trPr>
        <w:tc>
          <w:tcPr>
            <w:tcW w:w="1990"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Asset value (MK)</w:t>
            </w:r>
          </w:p>
        </w:tc>
        <w:tc>
          <w:tcPr>
            <w:tcW w:w="2131"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6,774,171(32,549,708)</w:t>
            </w:r>
          </w:p>
        </w:tc>
        <w:tc>
          <w:tcPr>
            <w:tcW w:w="2273"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16,118,018(28,765,395)</w:t>
            </w:r>
          </w:p>
        </w:tc>
        <w:tc>
          <w:tcPr>
            <w:tcW w:w="2197" w:type="dxa"/>
            <w:shd w:val="clear" w:color="auto" w:fill="auto"/>
            <w:noWrap/>
            <w:vAlign w:val="bottom"/>
            <w:hideMark/>
          </w:tcPr>
          <w:p w:rsidR="00C334EE" w:rsidRPr="004D1FE0" w:rsidRDefault="00C334EE" w:rsidP="00E4212E">
            <w:pPr>
              <w:rPr>
                <w:color w:val="000000"/>
                <w:sz w:val="20"/>
                <w:szCs w:val="20"/>
              </w:rPr>
            </w:pPr>
            <w:r w:rsidRPr="004D1FE0">
              <w:rPr>
                <w:color w:val="000000"/>
                <w:sz w:val="20"/>
                <w:szCs w:val="20"/>
              </w:rPr>
              <w:t>12,300,102(30,546,677)</w:t>
            </w:r>
          </w:p>
        </w:tc>
        <w:tc>
          <w:tcPr>
            <w:tcW w:w="781" w:type="dxa"/>
            <w:shd w:val="clear" w:color="auto" w:fill="auto"/>
            <w:noWrap/>
            <w:vAlign w:val="bottom"/>
            <w:hideMark/>
          </w:tcPr>
          <w:p w:rsidR="00C334EE" w:rsidRPr="004D1FE0" w:rsidRDefault="00C334EE" w:rsidP="00E4212E">
            <w:pPr>
              <w:jc w:val="center"/>
              <w:rPr>
                <w:color w:val="000000"/>
                <w:sz w:val="20"/>
                <w:szCs w:val="20"/>
              </w:rPr>
            </w:pPr>
            <w:r w:rsidRPr="004D1FE0">
              <w:rPr>
                <w:color w:val="000000"/>
                <w:sz w:val="20"/>
                <w:szCs w:val="20"/>
              </w:rPr>
              <w:t>0.148</w:t>
            </w:r>
          </w:p>
        </w:tc>
      </w:tr>
    </w:tbl>
    <w:p w:rsidR="00C334EE" w:rsidRPr="00535AE4" w:rsidRDefault="00C334EE" w:rsidP="00C334EE">
      <w:pPr>
        <w:spacing w:before="240"/>
        <w:rPr>
          <w:sz w:val="22"/>
          <w:szCs w:val="22"/>
        </w:rPr>
      </w:pPr>
      <w:r w:rsidRPr="00535AE4">
        <w:rPr>
          <w:sz w:val="22"/>
          <w:szCs w:val="22"/>
        </w:rPr>
        <w:t>Standard errors in parentheses: "*p &lt;0.05; ** p&lt;0.1; and *** p&lt;0.01” Source: Authors estimation</w:t>
      </w:r>
    </w:p>
    <w:p w:rsidR="00C334EE" w:rsidRPr="00746D97" w:rsidRDefault="004D1FE0" w:rsidP="00746D97">
      <w:pPr>
        <w:spacing w:before="240" w:line="360" w:lineRule="auto"/>
        <w:jc w:val="both"/>
      </w:pPr>
      <w:r>
        <w:rPr>
          <w:b/>
        </w:rPr>
        <w:t>Table 2</w:t>
      </w:r>
      <w:r w:rsidR="00C334EE" w:rsidRPr="00746D97">
        <w:t xml:space="preserve"> presents the descriptive statistics for the covariates used in the Endogenous Switching Regression (ESR) model and indicates that most enterprises operate with </w:t>
      </w:r>
      <w:r w:rsidR="00532943">
        <w:t xml:space="preserve">low </w:t>
      </w:r>
      <w:r w:rsidR="00C334EE" w:rsidRPr="00746D97">
        <w:t xml:space="preserve">formal support and infrastructure. For example, only 0.7% of the sample reported receiving support from the Small and Medium Enterprise Development (SMED) program, and only 17% were formally registered. Similarly, 44.5% of firms with access to electricity and 21.3% with access to piped water are also low, demonstrating many businesses' infrastructural constraints. Although the use of technology is reported to be high at 82.8%, more advanced or non-mobile technologies were even less adopted at 13.8%, with internet access at only 2.3%. Furthermore, just 8.4% of the sample reported having a business plan, and 4% indicated membership in a business network, suggesting low levels of strategic planning and collaboration beyond their organization. This reflects a considerable degree </w:t>
      </w:r>
      <w:r w:rsidR="00C334EE" w:rsidRPr="00746D97">
        <w:lastRenderedPageBreak/>
        <w:t>of under-institutionalization and under-capacity, which is documented to have a significant impact on the efficiency of firms and their ability to access financial services (Ayyagari, Demirgüç-Kunt, &amp; Maksimovic, 2011; La Porta &amp; Shleifer, 2014).</w:t>
      </w:r>
    </w:p>
    <w:p w:rsidR="00C334EE" w:rsidRPr="00535AE4" w:rsidRDefault="004D1FE0" w:rsidP="00C334EE">
      <w:pPr>
        <w:spacing w:before="240"/>
        <w:rPr>
          <w:sz w:val="22"/>
          <w:szCs w:val="22"/>
        </w:rPr>
      </w:pPr>
      <w:r>
        <w:rPr>
          <w:b/>
          <w:sz w:val="22"/>
          <w:szCs w:val="22"/>
        </w:rPr>
        <w:t>Table 2</w:t>
      </w:r>
      <w:r w:rsidR="00C334EE" w:rsidRPr="00535AE4">
        <w:rPr>
          <w:b/>
          <w:sz w:val="22"/>
          <w:szCs w:val="22"/>
        </w:rPr>
        <w:t>:</w:t>
      </w:r>
      <w:r w:rsidR="00C334EE" w:rsidRPr="00535AE4">
        <w:rPr>
          <w:sz w:val="22"/>
          <w:szCs w:val="22"/>
        </w:rPr>
        <w:t xml:space="preserve"> Descriptive statistics of covariates in the ESR model</w:t>
      </w:r>
    </w:p>
    <w:tbl>
      <w:tblPr>
        <w:tblW w:w="9293" w:type="dxa"/>
        <w:tblBorders>
          <w:top w:val="single" w:sz="4" w:space="0" w:color="auto"/>
          <w:bottom w:val="single" w:sz="4" w:space="0" w:color="auto"/>
        </w:tblBorders>
        <w:tblLook w:val="04A0" w:firstRow="1" w:lastRow="0" w:firstColumn="1" w:lastColumn="0" w:noHBand="0" w:noVBand="1"/>
      </w:tblPr>
      <w:tblGrid>
        <w:gridCol w:w="2094"/>
        <w:gridCol w:w="1539"/>
        <w:gridCol w:w="1119"/>
        <w:gridCol w:w="1259"/>
        <w:gridCol w:w="1119"/>
        <w:gridCol w:w="1119"/>
        <w:gridCol w:w="1044"/>
      </w:tblGrid>
      <w:tr w:rsidR="00C334EE" w:rsidRPr="00535AE4" w:rsidTr="00746D97">
        <w:trPr>
          <w:trHeight w:val="335"/>
        </w:trPr>
        <w:tc>
          <w:tcPr>
            <w:tcW w:w="2094" w:type="dxa"/>
            <w:tcBorders>
              <w:top w:val="single" w:sz="4" w:space="0" w:color="auto"/>
              <w:bottom w:val="single" w:sz="4" w:space="0" w:color="auto"/>
            </w:tcBorders>
            <w:shd w:val="clear" w:color="auto" w:fill="auto"/>
            <w:noWrap/>
            <w:vAlign w:val="bottom"/>
            <w:hideMark/>
          </w:tcPr>
          <w:p w:rsidR="00C334EE" w:rsidRPr="00535AE4" w:rsidRDefault="00C334EE" w:rsidP="00E4212E">
            <w:pPr>
              <w:rPr>
                <w:b/>
                <w:bCs/>
                <w:color w:val="000000"/>
                <w:sz w:val="22"/>
                <w:szCs w:val="22"/>
              </w:rPr>
            </w:pPr>
            <w:r w:rsidRPr="00535AE4">
              <w:rPr>
                <w:b/>
                <w:bCs/>
                <w:color w:val="000000"/>
                <w:sz w:val="22"/>
                <w:szCs w:val="22"/>
              </w:rPr>
              <w:t>Variable</w:t>
            </w:r>
          </w:p>
        </w:tc>
        <w:tc>
          <w:tcPr>
            <w:tcW w:w="1539" w:type="dxa"/>
            <w:tcBorders>
              <w:top w:val="single" w:sz="4" w:space="0" w:color="auto"/>
              <w:bottom w:val="single" w:sz="4" w:space="0" w:color="auto"/>
            </w:tcBorders>
          </w:tcPr>
          <w:p w:rsidR="00C334EE" w:rsidRPr="00535AE4" w:rsidRDefault="00C334EE" w:rsidP="00E4212E">
            <w:pPr>
              <w:jc w:val="center"/>
              <w:rPr>
                <w:b/>
                <w:bCs/>
                <w:color w:val="000000"/>
                <w:sz w:val="22"/>
                <w:szCs w:val="22"/>
              </w:rPr>
            </w:pPr>
            <w:r w:rsidRPr="00535AE4">
              <w:rPr>
                <w:b/>
                <w:bCs/>
                <w:color w:val="000000"/>
                <w:sz w:val="22"/>
                <w:szCs w:val="22"/>
              </w:rPr>
              <w:t>Description</w:t>
            </w:r>
          </w:p>
        </w:tc>
        <w:tc>
          <w:tcPr>
            <w:tcW w:w="1119" w:type="dxa"/>
            <w:tcBorders>
              <w:top w:val="single" w:sz="4" w:space="0" w:color="auto"/>
              <w:bottom w:val="single" w:sz="4" w:space="0" w:color="auto"/>
            </w:tcBorders>
            <w:shd w:val="clear" w:color="auto" w:fill="auto"/>
            <w:noWrap/>
            <w:vAlign w:val="bottom"/>
            <w:hideMark/>
          </w:tcPr>
          <w:p w:rsidR="00C334EE" w:rsidRPr="00535AE4" w:rsidRDefault="00C334EE" w:rsidP="00E4212E">
            <w:pPr>
              <w:jc w:val="center"/>
              <w:rPr>
                <w:b/>
                <w:bCs/>
                <w:color w:val="000000"/>
                <w:sz w:val="22"/>
                <w:szCs w:val="22"/>
              </w:rPr>
            </w:pPr>
            <w:r w:rsidRPr="00535AE4">
              <w:rPr>
                <w:b/>
                <w:bCs/>
                <w:color w:val="000000"/>
                <w:sz w:val="22"/>
                <w:szCs w:val="22"/>
              </w:rPr>
              <w:t>Obs</w:t>
            </w:r>
          </w:p>
        </w:tc>
        <w:tc>
          <w:tcPr>
            <w:tcW w:w="1259" w:type="dxa"/>
            <w:tcBorders>
              <w:top w:val="single" w:sz="4" w:space="0" w:color="auto"/>
              <w:bottom w:val="single" w:sz="4" w:space="0" w:color="auto"/>
            </w:tcBorders>
            <w:shd w:val="clear" w:color="auto" w:fill="auto"/>
            <w:noWrap/>
            <w:vAlign w:val="bottom"/>
            <w:hideMark/>
          </w:tcPr>
          <w:p w:rsidR="00C334EE" w:rsidRPr="00535AE4" w:rsidRDefault="00C334EE" w:rsidP="00E4212E">
            <w:pPr>
              <w:jc w:val="center"/>
              <w:rPr>
                <w:b/>
                <w:bCs/>
                <w:color w:val="000000"/>
                <w:sz w:val="22"/>
                <w:szCs w:val="22"/>
              </w:rPr>
            </w:pPr>
            <w:r w:rsidRPr="00535AE4">
              <w:rPr>
                <w:b/>
                <w:bCs/>
                <w:color w:val="000000"/>
                <w:sz w:val="22"/>
                <w:szCs w:val="22"/>
              </w:rPr>
              <w:t>Mean</w:t>
            </w:r>
          </w:p>
        </w:tc>
        <w:tc>
          <w:tcPr>
            <w:tcW w:w="1119" w:type="dxa"/>
            <w:tcBorders>
              <w:top w:val="single" w:sz="4" w:space="0" w:color="auto"/>
              <w:bottom w:val="single" w:sz="4" w:space="0" w:color="auto"/>
            </w:tcBorders>
            <w:shd w:val="clear" w:color="auto" w:fill="auto"/>
            <w:noWrap/>
            <w:vAlign w:val="bottom"/>
            <w:hideMark/>
          </w:tcPr>
          <w:p w:rsidR="00C334EE" w:rsidRPr="00535AE4" w:rsidRDefault="00C334EE" w:rsidP="00E4212E">
            <w:pPr>
              <w:jc w:val="center"/>
              <w:rPr>
                <w:b/>
                <w:bCs/>
                <w:color w:val="000000"/>
                <w:sz w:val="22"/>
                <w:szCs w:val="22"/>
              </w:rPr>
            </w:pPr>
            <w:r w:rsidRPr="00535AE4">
              <w:rPr>
                <w:b/>
                <w:bCs/>
                <w:color w:val="000000"/>
                <w:sz w:val="22"/>
                <w:szCs w:val="22"/>
              </w:rPr>
              <w:t>Std. dev.</w:t>
            </w:r>
          </w:p>
        </w:tc>
        <w:tc>
          <w:tcPr>
            <w:tcW w:w="1119" w:type="dxa"/>
            <w:tcBorders>
              <w:top w:val="single" w:sz="4" w:space="0" w:color="auto"/>
              <w:bottom w:val="single" w:sz="4" w:space="0" w:color="auto"/>
            </w:tcBorders>
            <w:shd w:val="clear" w:color="auto" w:fill="auto"/>
            <w:noWrap/>
            <w:vAlign w:val="bottom"/>
            <w:hideMark/>
          </w:tcPr>
          <w:p w:rsidR="00C334EE" w:rsidRPr="00535AE4" w:rsidRDefault="00C334EE" w:rsidP="00E4212E">
            <w:pPr>
              <w:jc w:val="center"/>
              <w:rPr>
                <w:b/>
                <w:bCs/>
                <w:color w:val="000000"/>
                <w:sz w:val="22"/>
                <w:szCs w:val="22"/>
              </w:rPr>
            </w:pPr>
            <w:r w:rsidRPr="00535AE4">
              <w:rPr>
                <w:b/>
                <w:bCs/>
                <w:color w:val="000000"/>
                <w:sz w:val="22"/>
                <w:szCs w:val="22"/>
              </w:rPr>
              <w:t>Min</w:t>
            </w:r>
          </w:p>
        </w:tc>
        <w:tc>
          <w:tcPr>
            <w:tcW w:w="1044" w:type="dxa"/>
            <w:tcBorders>
              <w:top w:val="single" w:sz="4" w:space="0" w:color="auto"/>
              <w:bottom w:val="single" w:sz="4" w:space="0" w:color="auto"/>
            </w:tcBorders>
            <w:shd w:val="clear" w:color="auto" w:fill="auto"/>
            <w:noWrap/>
            <w:vAlign w:val="bottom"/>
            <w:hideMark/>
          </w:tcPr>
          <w:p w:rsidR="00C334EE" w:rsidRPr="00535AE4" w:rsidRDefault="00C334EE" w:rsidP="00E4212E">
            <w:pPr>
              <w:jc w:val="center"/>
              <w:rPr>
                <w:b/>
                <w:bCs/>
                <w:color w:val="000000"/>
                <w:sz w:val="22"/>
                <w:szCs w:val="22"/>
              </w:rPr>
            </w:pPr>
            <w:r w:rsidRPr="00535AE4">
              <w:rPr>
                <w:b/>
                <w:bCs/>
                <w:color w:val="000000"/>
                <w:sz w:val="22"/>
                <w:szCs w:val="22"/>
              </w:rPr>
              <w:t>Max</w:t>
            </w:r>
          </w:p>
        </w:tc>
      </w:tr>
      <w:tr w:rsidR="00C334EE" w:rsidRPr="00535AE4" w:rsidTr="00746D97">
        <w:trPr>
          <w:trHeight w:val="335"/>
        </w:trPr>
        <w:tc>
          <w:tcPr>
            <w:tcW w:w="2094" w:type="dxa"/>
            <w:tcBorders>
              <w:top w:val="single" w:sz="4" w:space="0" w:color="auto"/>
            </w:tcBorders>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SMED helped</w:t>
            </w:r>
          </w:p>
        </w:tc>
        <w:tc>
          <w:tcPr>
            <w:tcW w:w="1539" w:type="dxa"/>
            <w:tcBorders>
              <w:top w:val="single" w:sz="4" w:space="0" w:color="auto"/>
            </w:tcBorders>
          </w:tcPr>
          <w:p w:rsidR="00C334EE" w:rsidRPr="00535AE4" w:rsidRDefault="00C334EE" w:rsidP="00E4212E">
            <w:pPr>
              <w:jc w:val="center"/>
              <w:rPr>
                <w:color w:val="000000"/>
                <w:sz w:val="22"/>
                <w:szCs w:val="22"/>
              </w:rPr>
            </w:pPr>
            <w:r w:rsidRPr="00535AE4">
              <w:rPr>
                <w:color w:val="000000"/>
                <w:sz w:val="22"/>
                <w:szCs w:val="22"/>
              </w:rPr>
              <w:t>1=yes</w:t>
            </w:r>
          </w:p>
        </w:tc>
        <w:tc>
          <w:tcPr>
            <w:tcW w:w="1119" w:type="dxa"/>
            <w:tcBorders>
              <w:top w:val="single" w:sz="4" w:space="0" w:color="auto"/>
            </w:tcBorders>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tcBorders>
              <w:top w:val="single" w:sz="4" w:space="0" w:color="auto"/>
            </w:tcBorders>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0.007</w:t>
            </w:r>
          </w:p>
        </w:tc>
        <w:tc>
          <w:tcPr>
            <w:tcW w:w="1119" w:type="dxa"/>
            <w:tcBorders>
              <w:top w:val="single" w:sz="4" w:space="0" w:color="auto"/>
            </w:tcBorders>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0.086</w:t>
            </w:r>
          </w:p>
        </w:tc>
        <w:tc>
          <w:tcPr>
            <w:tcW w:w="1119" w:type="dxa"/>
            <w:tcBorders>
              <w:top w:val="single" w:sz="4" w:space="0" w:color="auto"/>
            </w:tcBorders>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tcBorders>
              <w:top w:val="single" w:sz="4" w:space="0" w:color="auto"/>
            </w:tcBorders>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Business years</w:t>
            </w:r>
          </w:p>
        </w:tc>
        <w:tc>
          <w:tcPr>
            <w:tcW w:w="1539" w:type="dxa"/>
          </w:tcPr>
          <w:p w:rsidR="00C334EE" w:rsidRPr="00535AE4" w:rsidRDefault="00C334EE" w:rsidP="00E4212E">
            <w:pPr>
              <w:jc w:val="center"/>
              <w:rPr>
                <w:color w:val="000000"/>
                <w:sz w:val="22"/>
                <w:szCs w:val="22"/>
              </w:rPr>
            </w:pPr>
            <w:r w:rsidRPr="00535AE4">
              <w:rPr>
                <w:color w:val="000000"/>
                <w:sz w:val="22"/>
                <w:szCs w:val="22"/>
              </w:rPr>
              <w:t>Number</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2,666</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7.526</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6.693</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48</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Business registration</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0.170</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0.376</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 xml:space="preserve">Electricity </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0.445</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0.497</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Piped water</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0.213</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0.410</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Technology use</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0.828</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0.377</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Total employees</w:t>
            </w:r>
          </w:p>
        </w:tc>
        <w:tc>
          <w:tcPr>
            <w:tcW w:w="1539" w:type="dxa"/>
          </w:tcPr>
          <w:p w:rsidR="00C334EE" w:rsidRPr="00535AE4" w:rsidRDefault="00C334EE" w:rsidP="00E4212E">
            <w:pPr>
              <w:jc w:val="center"/>
              <w:rPr>
                <w:color w:val="000000"/>
                <w:sz w:val="22"/>
                <w:szCs w:val="22"/>
              </w:rPr>
            </w:pPr>
            <w:r w:rsidRPr="00535AE4">
              <w:rPr>
                <w:color w:val="000000"/>
                <w:sz w:val="22"/>
                <w:szCs w:val="22"/>
              </w:rPr>
              <w:t>Number</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1.208</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3.603</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60</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Business network</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0.193</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0.395</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Business plan</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0.084</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0.277</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Technology use</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0.828</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0.377</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Tech use, not mobile</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0.138</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0.345</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Business network</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0.040</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0.195</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Internet access</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0.023</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0.150</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r w:rsidR="00C334EE" w:rsidRPr="00535AE4" w:rsidTr="00746D97">
        <w:trPr>
          <w:trHeight w:val="335"/>
        </w:trPr>
        <w:tc>
          <w:tcPr>
            <w:tcW w:w="2094" w:type="dxa"/>
            <w:shd w:val="clear" w:color="auto" w:fill="auto"/>
            <w:noWrap/>
            <w:vAlign w:val="bottom"/>
            <w:hideMark/>
          </w:tcPr>
          <w:p w:rsidR="00C334EE" w:rsidRPr="00535AE4" w:rsidRDefault="00C334EE" w:rsidP="00E4212E">
            <w:pPr>
              <w:rPr>
                <w:color w:val="000000"/>
                <w:sz w:val="22"/>
                <w:szCs w:val="22"/>
              </w:rPr>
            </w:pPr>
            <w:r w:rsidRPr="00535AE4">
              <w:rPr>
                <w:color w:val="000000"/>
                <w:sz w:val="22"/>
                <w:szCs w:val="22"/>
              </w:rPr>
              <w:t>Financial records</w:t>
            </w:r>
          </w:p>
        </w:tc>
        <w:tc>
          <w:tcPr>
            <w:tcW w:w="1539" w:type="dxa"/>
          </w:tcPr>
          <w:p w:rsidR="00C334EE" w:rsidRPr="00535AE4" w:rsidRDefault="00C334EE" w:rsidP="00E4212E">
            <w:pPr>
              <w:jc w:val="center"/>
              <w:rPr>
                <w:sz w:val="22"/>
                <w:szCs w:val="22"/>
              </w:rPr>
            </w:pPr>
            <w:r w:rsidRPr="00535AE4">
              <w:rPr>
                <w:color w:val="000000"/>
                <w:sz w:val="22"/>
                <w:szCs w:val="22"/>
              </w:rPr>
              <w:t>1=yes</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2,970</w:t>
            </w:r>
          </w:p>
        </w:tc>
        <w:tc>
          <w:tcPr>
            <w:tcW w:w="125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0.480</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0.500</w:t>
            </w:r>
          </w:p>
        </w:tc>
        <w:tc>
          <w:tcPr>
            <w:tcW w:w="1119"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0</w:t>
            </w:r>
          </w:p>
        </w:tc>
        <w:tc>
          <w:tcPr>
            <w:tcW w:w="1044" w:type="dxa"/>
            <w:shd w:val="clear" w:color="auto" w:fill="auto"/>
            <w:noWrap/>
            <w:vAlign w:val="bottom"/>
            <w:hideMark/>
          </w:tcPr>
          <w:p w:rsidR="00C334EE" w:rsidRPr="00535AE4" w:rsidRDefault="00C334EE" w:rsidP="00E4212E">
            <w:pPr>
              <w:jc w:val="center"/>
              <w:rPr>
                <w:color w:val="000000"/>
                <w:sz w:val="22"/>
                <w:szCs w:val="22"/>
              </w:rPr>
            </w:pPr>
            <w:r w:rsidRPr="00535AE4">
              <w:rPr>
                <w:color w:val="000000"/>
                <w:sz w:val="22"/>
                <w:szCs w:val="22"/>
              </w:rPr>
              <w:t>1</w:t>
            </w:r>
          </w:p>
        </w:tc>
      </w:tr>
    </w:tbl>
    <w:p w:rsidR="008D6C93" w:rsidRPr="00746D97" w:rsidRDefault="008D6C93" w:rsidP="00746D97">
      <w:pPr>
        <w:spacing w:before="240" w:after="240" w:line="360" w:lineRule="auto"/>
        <w:rPr>
          <w:b/>
        </w:rPr>
      </w:pPr>
      <w:r w:rsidRPr="00746D97">
        <w:rPr>
          <w:b/>
        </w:rPr>
        <w:t>4.0</w:t>
      </w:r>
      <w:r w:rsidRPr="00746D97">
        <w:rPr>
          <w:b/>
        </w:rPr>
        <w:tab/>
        <w:t xml:space="preserve">Results and discussion  </w:t>
      </w:r>
    </w:p>
    <w:p w:rsidR="008D6C93" w:rsidRPr="00746D97" w:rsidRDefault="008D6C93" w:rsidP="00746D97">
      <w:pPr>
        <w:spacing w:before="240" w:after="240" w:line="360" w:lineRule="auto"/>
        <w:rPr>
          <w:b/>
          <w:i/>
          <w:color w:val="000000" w:themeColor="text1"/>
        </w:rPr>
      </w:pPr>
      <w:r w:rsidRPr="00746D97">
        <w:rPr>
          <w:b/>
          <w:i/>
          <w:color w:val="000000" w:themeColor="text1"/>
        </w:rPr>
        <w:t>4.1</w:t>
      </w:r>
      <w:r w:rsidRPr="00746D97">
        <w:rPr>
          <w:b/>
          <w:i/>
          <w:color w:val="000000" w:themeColor="text1"/>
        </w:rPr>
        <w:tab/>
      </w:r>
      <w:r w:rsidR="00061C80" w:rsidRPr="00746D97">
        <w:rPr>
          <w:b/>
          <w:i/>
          <w:color w:val="000000" w:themeColor="text1"/>
        </w:rPr>
        <w:t xml:space="preserve">Profit </w:t>
      </w:r>
      <w:r w:rsidR="007B5ED2" w:rsidRPr="00746D97">
        <w:rPr>
          <w:b/>
          <w:i/>
          <w:color w:val="000000" w:themeColor="text1"/>
        </w:rPr>
        <w:t>efficiency scores from the stochastic frontier analysis</w:t>
      </w:r>
    </w:p>
    <w:p w:rsidR="00DA2EA1" w:rsidRPr="00DA2EA1" w:rsidRDefault="00281702" w:rsidP="00746D97">
      <w:pPr>
        <w:spacing w:before="240" w:line="360" w:lineRule="auto"/>
        <w:jc w:val="both"/>
        <w:rPr>
          <w:color w:val="000000" w:themeColor="text1"/>
          <w:shd w:val="clear" w:color="auto" w:fill="FFFFFF"/>
        </w:rPr>
      </w:pPr>
      <w:r>
        <w:rPr>
          <w:color w:val="000000" w:themeColor="text1"/>
          <w:shd w:val="clear" w:color="auto" w:fill="FFFFFF"/>
        </w:rPr>
        <w:t xml:space="preserve">Table </w:t>
      </w:r>
      <w:r w:rsidR="00150002">
        <w:rPr>
          <w:color w:val="000000" w:themeColor="text1"/>
          <w:shd w:val="clear" w:color="auto" w:fill="FFFFFF"/>
        </w:rPr>
        <w:t>3</w:t>
      </w:r>
      <w:r>
        <w:rPr>
          <w:color w:val="000000" w:themeColor="text1"/>
          <w:shd w:val="clear" w:color="auto" w:fill="FFFFFF"/>
        </w:rPr>
        <w:t xml:space="preserve"> outlines descriptive statistics where the mean and standard deviation of </w:t>
      </w:r>
      <w:r w:rsidR="00DA2EA1" w:rsidRPr="00DA2EA1">
        <w:rPr>
          <w:color w:val="000000" w:themeColor="text1"/>
          <w:shd w:val="clear" w:color="auto" w:fill="FFFFFF"/>
        </w:rPr>
        <w:t xml:space="preserve">profit efficiency </w:t>
      </w:r>
      <w:r>
        <w:rPr>
          <w:color w:val="000000" w:themeColor="text1"/>
          <w:shd w:val="clear" w:color="auto" w:fill="FFFFFF"/>
        </w:rPr>
        <w:t>are presented</w:t>
      </w:r>
      <w:r w:rsidR="00DA2EA1" w:rsidRPr="00DA2EA1">
        <w:rPr>
          <w:color w:val="000000" w:themeColor="text1"/>
          <w:shd w:val="clear" w:color="auto" w:fill="FFFFFF"/>
        </w:rPr>
        <w:t xml:space="preserve"> by firm size and their corresponding financial service access</w:t>
      </w:r>
      <w:r w:rsidR="00532943">
        <w:rPr>
          <w:color w:val="000000" w:themeColor="text1"/>
          <w:shd w:val="clear" w:color="auto" w:fill="FFFFFF"/>
        </w:rPr>
        <w:t>, including</w:t>
      </w:r>
      <w:r w:rsidR="00DA2EA1" w:rsidRPr="00DA2EA1">
        <w:rPr>
          <w:color w:val="000000" w:themeColor="text1"/>
          <w:shd w:val="clear" w:color="auto" w:fill="FFFFFF"/>
        </w:rPr>
        <w:t xml:space="preserve"> financial service use (FSU), credit, savings, and insurance. The data suggests macro firms tend to have much higher profit efficiency than micro and small firms. However, the level of financial service access </w:t>
      </w:r>
      <w:r w:rsidR="00532943">
        <w:rPr>
          <w:color w:val="000000" w:themeColor="text1"/>
          <w:shd w:val="clear" w:color="auto" w:fill="FFFFFF"/>
        </w:rPr>
        <w:t>sometimes correlates</w:t>
      </w:r>
      <w:r w:rsidR="00DA2EA1" w:rsidRPr="00DA2EA1">
        <w:rPr>
          <w:color w:val="000000" w:themeColor="text1"/>
          <w:shd w:val="clear" w:color="auto" w:fill="FFFFFF"/>
        </w:rPr>
        <w:t xml:space="preserve"> with a reduction in profit efficiency, especially among macro firms. For example, macro firms that access insurance services show profit efficiency (M = 27.205, SD = 27.840)</w:t>
      </w:r>
      <w:r w:rsidR="00532943">
        <w:rPr>
          <w:color w:val="000000" w:themeColor="text1"/>
          <w:shd w:val="clear" w:color="auto" w:fill="FFFFFF"/>
        </w:rPr>
        <w:t>, which is significantly lower than those that do not (M = 44.706, SD = 25.308),</w:t>
      </w:r>
      <w:r w:rsidR="00DA2EA1" w:rsidRPr="00DA2EA1">
        <w:rPr>
          <w:color w:val="000000" w:themeColor="text1"/>
          <w:shd w:val="clear" w:color="auto" w:fill="FFFFFF"/>
        </w:rPr>
        <w:t xml:space="preserve"> with a significant difference (p &lt; .001). Likewise, macro firms having access to FSU also exhibit decreased profit efficiency (p = .009). These findings highlight that the link between financial inclusion and firm efficiency </w:t>
      </w:r>
      <w:r w:rsidR="00532943">
        <w:rPr>
          <w:color w:val="000000" w:themeColor="text1"/>
          <w:shd w:val="clear" w:color="auto" w:fill="FFFFFF"/>
        </w:rPr>
        <w:t>depends</w:t>
      </w:r>
      <w:r w:rsidR="00DA2EA1" w:rsidRPr="00DA2EA1">
        <w:rPr>
          <w:color w:val="000000" w:themeColor="text1"/>
          <w:shd w:val="clear" w:color="auto" w:fill="FFFFFF"/>
        </w:rPr>
        <w:t xml:space="preserve"> on firm size and the specific financial service utilized, </w:t>
      </w:r>
      <w:r w:rsidR="00DA2EA1" w:rsidRPr="00DA2EA1">
        <w:rPr>
          <w:color w:val="000000" w:themeColor="text1"/>
          <w:shd w:val="clear" w:color="auto" w:fill="FFFFFF"/>
        </w:rPr>
        <w:lastRenderedPageBreak/>
        <w:t>suggesting a complex and non-linear relationship (Beck, Demirgüç-Kunt, &amp; Maksimovic, 2005; World Bank, 2022).</w:t>
      </w:r>
    </w:p>
    <w:p w:rsidR="00DA2EA1" w:rsidRDefault="00150002" w:rsidP="00746D97">
      <w:pPr>
        <w:spacing w:before="240" w:line="360" w:lineRule="auto"/>
        <w:jc w:val="both"/>
        <w:rPr>
          <w:rFonts w:ascii="Arial" w:hAnsi="Arial" w:cs="Arial"/>
          <w:color w:val="273B68"/>
          <w:shd w:val="clear" w:color="auto" w:fill="FFFFFF"/>
        </w:rPr>
      </w:pPr>
      <w:r>
        <w:rPr>
          <w:b/>
          <w:sz w:val="22"/>
          <w:szCs w:val="22"/>
        </w:rPr>
        <w:t>Table 3</w:t>
      </w:r>
      <w:r w:rsidR="00DA2EA1" w:rsidRPr="00483B06">
        <w:rPr>
          <w:b/>
          <w:sz w:val="22"/>
          <w:szCs w:val="22"/>
        </w:rPr>
        <w:t>:</w:t>
      </w:r>
      <w:r w:rsidR="00DA2EA1" w:rsidRPr="00483B06">
        <w:rPr>
          <w:sz w:val="22"/>
          <w:szCs w:val="22"/>
        </w:rPr>
        <w:t xml:space="preserve"> Distribution of Profit efficiency scores among firms</w:t>
      </w:r>
    </w:p>
    <w:tbl>
      <w:tblPr>
        <w:tblW w:w="9277" w:type="dxa"/>
        <w:tblInd w:w="-5" w:type="dxa"/>
        <w:tblBorders>
          <w:top w:val="single" w:sz="4" w:space="0" w:color="auto"/>
          <w:bottom w:val="single" w:sz="4" w:space="0" w:color="auto"/>
        </w:tblBorders>
        <w:tblLook w:val="04A0" w:firstRow="1" w:lastRow="0" w:firstColumn="1" w:lastColumn="0" w:noHBand="0" w:noVBand="1"/>
      </w:tblPr>
      <w:tblGrid>
        <w:gridCol w:w="1425"/>
        <w:gridCol w:w="1256"/>
        <w:gridCol w:w="1780"/>
        <w:gridCol w:w="1780"/>
        <w:gridCol w:w="1780"/>
        <w:gridCol w:w="1256"/>
      </w:tblGrid>
      <w:tr w:rsidR="00DA2EA1" w:rsidRPr="00DA2EA1" w:rsidTr="00DA2EA1">
        <w:trPr>
          <w:trHeight w:val="362"/>
        </w:trPr>
        <w:tc>
          <w:tcPr>
            <w:tcW w:w="1425" w:type="dxa"/>
            <w:tcBorders>
              <w:top w:val="single" w:sz="4" w:space="0" w:color="auto"/>
              <w:bottom w:val="single" w:sz="4" w:space="0" w:color="auto"/>
            </w:tcBorders>
            <w:shd w:val="clear" w:color="auto" w:fill="auto"/>
            <w:noWrap/>
            <w:vAlign w:val="bottom"/>
            <w:hideMark/>
          </w:tcPr>
          <w:p w:rsidR="00DA2EA1" w:rsidRPr="00DA2EA1" w:rsidRDefault="00DA2EA1" w:rsidP="00DA2EA1">
            <w:pPr>
              <w:rPr>
                <w:b/>
                <w:bCs/>
                <w:color w:val="000000"/>
                <w:sz w:val="22"/>
                <w:szCs w:val="22"/>
              </w:rPr>
            </w:pPr>
            <w:r w:rsidRPr="00DA2EA1">
              <w:rPr>
                <w:b/>
                <w:bCs/>
                <w:color w:val="000000"/>
                <w:sz w:val="22"/>
                <w:szCs w:val="22"/>
              </w:rPr>
              <w:t>Variable</w:t>
            </w:r>
          </w:p>
        </w:tc>
        <w:tc>
          <w:tcPr>
            <w:tcW w:w="1256" w:type="dxa"/>
            <w:tcBorders>
              <w:top w:val="single" w:sz="4" w:space="0" w:color="auto"/>
              <w:bottom w:val="single" w:sz="4" w:space="0" w:color="auto"/>
            </w:tcBorders>
            <w:shd w:val="clear" w:color="auto" w:fill="auto"/>
            <w:noWrap/>
            <w:vAlign w:val="bottom"/>
            <w:hideMark/>
          </w:tcPr>
          <w:p w:rsidR="00DA2EA1" w:rsidRPr="00DA2EA1" w:rsidRDefault="00DA2EA1" w:rsidP="00DA2EA1">
            <w:pPr>
              <w:rPr>
                <w:b/>
                <w:bCs/>
                <w:color w:val="000000"/>
                <w:sz w:val="22"/>
                <w:szCs w:val="22"/>
              </w:rPr>
            </w:pPr>
            <w:r w:rsidRPr="00DA2EA1">
              <w:rPr>
                <w:b/>
                <w:bCs/>
                <w:color w:val="000000"/>
                <w:sz w:val="22"/>
                <w:szCs w:val="22"/>
              </w:rPr>
              <w:t>Firm size</w:t>
            </w:r>
          </w:p>
        </w:tc>
        <w:tc>
          <w:tcPr>
            <w:tcW w:w="1780" w:type="dxa"/>
            <w:tcBorders>
              <w:top w:val="single" w:sz="4" w:space="0" w:color="auto"/>
              <w:bottom w:val="single" w:sz="4" w:space="0" w:color="auto"/>
            </w:tcBorders>
            <w:shd w:val="clear" w:color="auto" w:fill="auto"/>
            <w:noWrap/>
            <w:vAlign w:val="bottom"/>
            <w:hideMark/>
          </w:tcPr>
          <w:p w:rsidR="00DA2EA1" w:rsidRPr="00DA2EA1" w:rsidRDefault="00DA2EA1" w:rsidP="00DA2EA1">
            <w:pPr>
              <w:rPr>
                <w:b/>
                <w:bCs/>
                <w:color w:val="000000"/>
                <w:sz w:val="22"/>
                <w:szCs w:val="22"/>
              </w:rPr>
            </w:pPr>
            <w:r w:rsidRPr="00DA2EA1">
              <w:rPr>
                <w:b/>
                <w:bCs/>
                <w:color w:val="000000"/>
                <w:sz w:val="22"/>
                <w:szCs w:val="22"/>
              </w:rPr>
              <w:t>No</w:t>
            </w:r>
          </w:p>
        </w:tc>
        <w:tc>
          <w:tcPr>
            <w:tcW w:w="1780" w:type="dxa"/>
            <w:tcBorders>
              <w:top w:val="single" w:sz="4" w:space="0" w:color="auto"/>
              <w:bottom w:val="single" w:sz="4" w:space="0" w:color="auto"/>
            </w:tcBorders>
            <w:shd w:val="clear" w:color="auto" w:fill="auto"/>
            <w:noWrap/>
            <w:vAlign w:val="bottom"/>
            <w:hideMark/>
          </w:tcPr>
          <w:p w:rsidR="00DA2EA1" w:rsidRPr="00DA2EA1" w:rsidRDefault="00DA2EA1" w:rsidP="00DA2EA1">
            <w:pPr>
              <w:rPr>
                <w:b/>
                <w:bCs/>
                <w:color w:val="000000"/>
                <w:sz w:val="22"/>
                <w:szCs w:val="22"/>
              </w:rPr>
            </w:pPr>
            <w:r w:rsidRPr="00DA2EA1">
              <w:rPr>
                <w:b/>
                <w:bCs/>
                <w:color w:val="000000"/>
                <w:sz w:val="22"/>
                <w:szCs w:val="22"/>
              </w:rPr>
              <w:t>Yes</w:t>
            </w:r>
          </w:p>
        </w:tc>
        <w:tc>
          <w:tcPr>
            <w:tcW w:w="1780" w:type="dxa"/>
            <w:tcBorders>
              <w:top w:val="single" w:sz="4" w:space="0" w:color="auto"/>
              <w:bottom w:val="single" w:sz="4" w:space="0" w:color="auto"/>
            </w:tcBorders>
            <w:shd w:val="clear" w:color="auto" w:fill="auto"/>
            <w:noWrap/>
            <w:vAlign w:val="bottom"/>
            <w:hideMark/>
          </w:tcPr>
          <w:p w:rsidR="00DA2EA1" w:rsidRPr="00DA2EA1" w:rsidRDefault="00DA2EA1" w:rsidP="00DA2EA1">
            <w:pPr>
              <w:rPr>
                <w:b/>
                <w:bCs/>
                <w:color w:val="000000"/>
                <w:sz w:val="22"/>
                <w:szCs w:val="22"/>
              </w:rPr>
            </w:pPr>
            <w:r w:rsidRPr="00DA2EA1">
              <w:rPr>
                <w:b/>
                <w:bCs/>
                <w:color w:val="000000"/>
                <w:sz w:val="22"/>
                <w:szCs w:val="22"/>
              </w:rPr>
              <w:t>Total</w:t>
            </w:r>
          </w:p>
        </w:tc>
        <w:tc>
          <w:tcPr>
            <w:tcW w:w="1256" w:type="dxa"/>
            <w:tcBorders>
              <w:top w:val="single" w:sz="4" w:space="0" w:color="auto"/>
              <w:bottom w:val="single" w:sz="4" w:space="0" w:color="auto"/>
            </w:tcBorders>
            <w:shd w:val="clear" w:color="auto" w:fill="auto"/>
            <w:noWrap/>
            <w:vAlign w:val="bottom"/>
            <w:hideMark/>
          </w:tcPr>
          <w:p w:rsidR="00DA2EA1" w:rsidRPr="00DA2EA1" w:rsidRDefault="00DA2EA1" w:rsidP="00DA2EA1">
            <w:pPr>
              <w:jc w:val="center"/>
              <w:rPr>
                <w:b/>
                <w:bCs/>
                <w:color w:val="000000"/>
                <w:sz w:val="22"/>
                <w:szCs w:val="22"/>
              </w:rPr>
            </w:pPr>
            <w:r w:rsidRPr="00DA2EA1">
              <w:rPr>
                <w:b/>
                <w:bCs/>
                <w:color w:val="000000"/>
                <w:sz w:val="22"/>
                <w:szCs w:val="22"/>
              </w:rPr>
              <w:t>Test</w:t>
            </w:r>
          </w:p>
        </w:tc>
      </w:tr>
      <w:tr w:rsidR="00DA2EA1" w:rsidRPr="00DA2EA1" w:rsidTr="00DA2EA1">
        <w:trPr>
          <w:trHeight w:val="362"/>
        </w:trPr>
        <w:tc>
          <w:tcPr>
            <w:tcW w:w="1425" w:type="dxa"/>
            <w:tcBorders>
              <w:top w:val="single" w:sz="4" w:space="0" w:color="auto"/>
            </w:tcBorders>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FSU</w:t>
            </w:r>
          </w:p>
        </w:tc>
        <w:tc>
          <w:tcPr>
            <w:tcW w:w="1256" w:type="dxa"/>
            <w:tcBorders>
              <w:top w:val="single" w:sz="4" w:space="0" w:color="auto"/>
            </w:tcBorders>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Micro</w:t>
            </w:r>
          </w:p>
        </w:tc>
        <w:tc>
          <w:tcPr>
            <w:tcW w:w="1780" w:type="dxa"/>
            <w:tcBorders>
              <w:top w:val="single" w:sz="4" w:space="0" w:color="auto"/>
            </w:tcBorders>
            <w:shd w:val="clear" w:color="auto" w:fill="auto"/>
            <w:noWrap/>
            <w:vAlign w:val="bottom"/>
            <w:hideMark/>
          </w:tcPr>
          <w:p w:rsidR="00DA2EA1" w:rsidRPr="00DA2EA1" w:rsidRDefault="00DA2EA1" w:rsidP="00DA2EA1">
            <w:pPr>
              <w:rPr>
                <w:color w:val="000000"/>
                <w:sz w:val="22"/>
                <w:szCs w:val="22"/>
              </w:rPr>
            </w:pPr>
            <w:r>
              <w:rPr>
                <w:color w:val="000000"/>
                <w:sz w:val="22"/>
                <w:szCs w:val="22"/>
              </w:rPr>
              <w:t>9.11</w:t>
            </w:r>
            <w:r w:rsidRPr="00DA2EA1">
              <w:rPr>
                <w:color w:val="000000"/>
                <w:sz w:val="22"/>
                <w:szCs w:val="22"/>
              </w:rPr>
              <w:t xml:space="preserve"> (11.781)</w:t>
            </w:r>
          </w:p>
        </w:tc>
        <w:tc>
          <w:tcPr>
            <w:tcW w:w="1780" w:type="dxa"/>
            <w:tcBorders>
              <w:top w:val="single" w:sz="4" w:space="0" w:color="auto"/>
            </w:tcBorders>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9.875 (12.409)</w:t>
            </w:r>
          </w:p>
        </w:tc>
        <w:tc>
          <w:tcPr>
            <w:tcW w:w="1780" w:type="dxa"/>
            <w:tcBorders>
              <w:top w:val="single" w:sz="4" w:space="0" w:color="auto"/>
            </w:tcBorders>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9.402 (12.026)</w:t>
            </w:r>
          </w:p>
        </w:tc>
        <w:tc>
          <w:tcPr>
            <w:tcW w:w="1256" w:type="dxa"/>
            <w:tcBorders>
              <w:top w:val="single" w:sz="4" w:space="0" w:color="auto"/>
            </w:tcBorders>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0.219</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Small</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9.963 (14.128)</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10.638 (14.590)</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10.241 (14.318)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0.422</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Macro</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46.459 (25.315)</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36.134 (27.220)</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40.956 (26.778)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0.009</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Credit</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Micro</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9.291 (12.113)</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9.747 (11.760)</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9.402 (12.026)</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0.517</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Small</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10.224 (14.333)</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10.289 (14.300)</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10.241 (14.318)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0.944</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Macro</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42.543 (26.465)</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35.667 (27.453)</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40.956 (26.778)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0.145</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Savings</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Micro</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9.527 (12.016)</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9.149 (12.054)</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9.402 (12.026)</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0.556</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Small</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10.330 (14.372)</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10.063 (14.226)</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10.241 (14.318)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0.761</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Macro</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42.809 (26.727)</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38.125 (26.793)</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40.956 (26.778)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0.25</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Insurance</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Micro</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9.114 (11.739)</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16.061 (16.111)</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9.402 (12.026)</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&lt;0.001</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Small</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10.053 (14.006)</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11.966 (16.881)</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10.241 (14.318)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0.168</w:t>
            </w:r>
          </w:p>
        </w:tc>
      </w:tr>
      <w:tr w:rsidR="00DA2EA1" w:rsidRPr="00DA2EA1" w:rsidTr="00DA2EA1">
        <w:trPr>
          <w:trHeight w:val="362"/>
        </w:trPr>
        <w:tc>
          <w:tcPr>
            <w:tcW w:w="1425"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 </w:t>
            </w:r>
          </w:p>
        </w:tc>
        <w:tc>
          <w:tcPr>
            <w:tcW w:w="1256"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Macro</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44.706 (25.308)</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27.205 (27.840)</w:t>
            </w:r>
          </w:p>
        </w:tc>
        <w:tc>
          <w:tcPr>
            <w:tcW w:w="1780" w:type="dxa"/>
            <w:shd w:val="clear" w:color="auto" w:fill="auto"/>
            <w:noWrap/>
            <w:vAlign w:val="bottom"/>
            <w:hideMark/>
          </w:tcPr>
          <w:p w:rsidR="00DA2EA1" w:rsidRPr="00DA2EA1" w:rsidRDefault="00DA2EA1" w:rsidP="00DA2EA1">
            <w:pPr>
              <w:rPr>
                <w:color w:val="000000"/>
                <w:sz w:val="22"/>
                <w:szCs w:val="22"/>
              </w:rPr>
            </w:pPr>
            <w:r w:rsidRPr="00DA2EA1">
              <w:rPr>
                <w:color w:val="000000"/>
                <w:sz w:val="22"/>
                <w:szCs w:val="22"/>
              </w:rPr>
              <w:t>40.956 (26.778)</w:t>
            </w:r>
          </w:p>
        </w:tc>
        <w:tc>
          <w:tcPr>
            <w:tcW w:w="1256" w:type="dxa"/>
            <w:shd w:val="clear" w:color="auto" w:fill="auto"/>
            <w:noWrap/>
            <w:vAlign w:val="bottom"/>
            <w:hideMark/>
          </w:tcPr>
          <w:p w:rsidR="00DA2EA1" w:rsidRPr="00DA2EA1" w:rsidRDefault="00DA2EA1" w:rsidP="00DA2EA1">
            <w:pPr>
              <w:jc w:val="center"/>
              <w:rPr>
                <w:color w:val="000000"/>
                <w:sz w:val="22"/>
                <w:szCs w:val="22"/>
              </w:rPr>
            </w:pPr>
            <w:r w:rsidRPr="00DA2EA1">
              <w:rPr>
                <w:color w:val="000000"/>
                <w:sz w:val="22"/>
                <w:szCs w:val="22"/>
              </w:rPr>
              <w:t>&lt;0.001</w:t>
            </w:r>
          </w:p>
        </w:tc>
      </w:tr>
    </w:tbl>
    <w:p w:rsidR="005033DC" w:rsidRPr="00746D97" w:rsidRDefault="005033DC" w:rsidP="00746D97">
      <w:pPr>
        <w:spacing w:before="240" w:after="240" w:line="360" w:lineRule="auto"/>
        <w:jc w:val="both"/>
        <w:rPr>
          <w:b/>
          <w:i/>
        </w:rPr>
      </w:pPr>
      <w:r w:rsidRPr="00746D97">
        <w:rPr>
          <w:b/>
          <w:i/>
        </w:rPr>
        <w:t>4.3</w:t>
      </w:r>
      <w:r w:rsidRPr="00746D97">
        <w:rPr>
          <w:b/>
          <w:i/>
        </w:rPr>
        <w:tab/>
        <w:t>Endogenous treatment effect of financial services uptake on profit efficiency</w:t>
      </w:r>
    </w:p>
    <w:p w:rsidR="005033DC" w:rsidRPr="00746D97" w:rsidRDefault="00E4212E" w:rsidP="00746D97">
      <w:pPr>
        <w:spacing w:before="240" w:after="240" w:line="360" w:lineRule="auto"/>
        <w:jc w:val="both"/>
      </w:pPr>
      <w:r w:rsidRPr="00746D97">
        <w:t>Th</w:t>
      </w:r>
      <w:r w:rsidR="00150002">
        <w:t>e ESR model results from Table 4</w:t>
      </w:r>
      <w:r w:rsidRPr="00746D97">
        <w:t xml:space="preserve"> indicate a significantly positive relationship between the use of financial services and profit efficiency scores. More specifically, the estimates for overall financial services access, credit, and savings are positive and significant at the one percent level (p &lt; .01), suggesting that businesses utilizing these services are more profit-efficient. For example, access to financial services is associated with a 23.9% increase in the efficiency score, compared to credit and savings, which correlate with increases of 26.7% and 24.6%, respectively. Conversely, insurance uptake, while positively correlated, is not statistically significant in its impact on efficiency (p &gt; .05). These results reinforce the existing literature that associates financial inclusion with enhanced enterprise productivity, investment, and risk diversification coverage (Beck, Demirgüç-Kunt, &amp; Levine, 2007; Karlan &amp; Morduch, 2010). Additionally, SMED support, business experience, and access to piped water significantly relate to higher efficiency, underscoring the role of institutional support and infrastructure (La Porta &amp; Shleifer, 2014).</w:t>
      </w:r>
    </w:p>
    <w:p w:rsidR="00971C00" w:rsidRPr="00746D97" w:rsidRDefault="00150002" w:rsidP="00483B06">
      <w:pPr>
        <w:spacing w:line="276" w:lineRule="auto"/>
        <w:jc w:val="both"/>
      </w:pPr>
      <w:r>
        <w:rPr>
          <w:b/>
        </w:rPr>
        <w:lastRenderedPageBreak/>
        <w:t>Table 4</w:t>
      </w:r>
      <w:r w:rsidR="00971C00" w:rsidRPr="00746D97">
        <w:rPr>
          <w:b/>
        </w:rPr>
        <w:t>:</w:t>
      </w:r>
      <w:r w:rsidR="00971C00" w:rsidRPr="00746D97">
        <w:t xml:space="preserve"> </w:t>
      </w:r>
      <w:r w:rsidR="000F7BF1" w:rsidRPr="00746D97">
        <w:t>Results of the ESR and comparative models</w:t>
      </w:r>
      <w:r w:rsidR="00695DFC" w:rsidRPr="00746D97">
        <w:t xml:space="preserve"> (OLS, Tobit</w:t>
      </w:r>
      <w:r w:rsidR="006F6FF7" w:rsidRPr="00746D97">
        <w:t>,</w:t>
      </w:r>
      <w:r w:rsidR="00695DFC" w:rsidRPr="00746D97">
        <w:t xml:space="preserve"> and PSM)</w:t>
      </w:r>
    </w:p>
    <w:tbl>
      <w:tblPr>
        <w:tblStyle w:val="TableGrid"/>
        <w:tblW w:w="9352" w:type="dxa"/>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1135"/>
        <w:gridCol w:w="655"/>
        <w:gridCol w:w="1071"/>
        <w:gridCol w:w="638"/>
        <w:gridCol w:w="996"/>
        <w:gridCol w:w="637"/>
        <w:gridCol w:w="1043"/>
        <w:gridCol w:w="568"/>
      </w:tblGrid>
      <w:tr w:rsidR="000F7BF1" w:rsidRPr="00483B06" w:rsidTr="000F7BF1">
        <w:trPr>
          <w:trHeight w:val="692"/>
        </w:trPr>
        <w:tc>
          <w:tcPr>
            <w:tcW w:w="2609" w:type="dxa"/>
            <w:tcBorders>
              <w:top w:val="single" w:sz="4" w:space="0" w:color="auto"/>
              <w:bottom w:val="single" w:sz="4" w:space="0" w:color="auto"/>
            </w:tcBorders>
            <w:vAlign w:val="center"/>
          </w:tcPr>
          <w:p w:rsidR="000F7BF1" w:rsidRPr="00483B06" w:rsidRDefault="000F7BF1" w:rsidP="00483B06">
            <w:pPr>
              <w:spacing w:line="276" w:lineRule="auto"/>
              <w:rPr>
                <w:b/>
                <w:sz w:val="22"/>
                <w:szCs w:val="22"/>
              </w:rPr>
            </w:pPr>
            <w:r w:rsidRPr="00483B06">
              <w:rPr>
                <w:b/>
                <w:sz w:val="22"/>
                <w:szCs w:val="22"/>
              </w:rPr>
              <w:t>Model</w:t>
            </w:r>
          </w:p>
        </w:tc>
        <w:tc>
          <w:tcPr>
            <w:tcW w:w="1790" w:type="dxa"/>
            <w:gridSpan w:val="2"/>
            <w:tcBorders>
              <w:top w:val="single" w:sz="4" w:space="0" w:color="auto"/>
              <w:bottom w:val="single" w:sz="4" w:space="0" w:color="auto"/>
            </w:tcBorders>
            <w:vAlign w:val="center"/>
            <w:hideMark/>
          </w:tcPr>
          <w:p w:rsidR="000F7BF1" w:rsidRPr="00483B06" w:rsidRDefault="00740DA1" w:rsidP="00483B06">
            <w:pPr>
              <w:spacing w:line="276" w:lineRule="auto"/>
              <w:jc w:val="center"/>
              <w:rPr>
                <w:b/>
                <w:sz w:val="22"/>
                <w:szCs w:val="22"/>
              </w:rPr>
            </w:pPr>
            <w:r w:rsidRPr="00483B06">
              <w:rPr>
                <w:b/>
                <w:sz w:val="22"/>
                <w:szCs w:val="22"/>
              </w:rPr>
              <w:t>PE</w:t>
            </w:r>
            <w:r w:rsidR="00CF06B7" w:rsidRPr="00483B06">
              <w:rPr>
                <w:b/>
                <w:sz w:val="22"/>
                <w:szCs w:val="22"/>
                <w:vertAlign w:val="superscript"/>
              </w:rPr>
              <w:t>*</w:t>
            </w:r>
            <w:r w:rsidR="000F7BF1" w:rsidRPr="00483B06">
              <w:rPr>
                <w:b/>
                <w:sz w:val="22"/>
                <w:szCs w:val="22"/>
              </w:rPr>
              <w:t xml:space="preserve"> scores vs overall FSU </w:t>
            </w:r>
          </w:p>
        </w:tc>
        <w:tc>
          <w:tcPr>
            <w:tcW w:w="1709" w:type="dxa"/>
            <w:gridSpan w:val="2"/>
            <w:tcBorders>
              <w:top w:val="single" w:sz="4" w:space="0" w:color="auto"/>
              <w:bottom w:val="single" w:sz="4" w:space="0" w:color="auto"/>
            </w:tcBorders>
            <w:vAlign w:val="center"/>
            <w:hideMark/>
          </w:tcPr>
          <w:p w:rsidR="000F7BF1" w:rsidRPr="00483B06" w:rsidRDefault="000F7BF1" w:rsidP="00483B06">
            <w:pPr>
              <w:spacing w:line="276" w:lineRule="auto"/>
              <w:rPr>
                <w:b/>
                <w:sz w:val="22"/>
                <w:szCs w:val="22"/>
              </w:rPr>
            </w:pPr>
            <w:r w:rsidRPr="00483B06">
              <w:rPr>
                <w:b/>
                <w:sz w:val="22"/>
                <w:szCs w:val="22"/>
              </w:rPr>
              <w:t>PE</w:t>
            </w:r>
            <w:r w:rsidR="00CF06B7" w:rsidRPr="00483B06">
              <w:rPr>
                <w:b/>
                <w:sz w:val="22"/>
                <w:szCs w:val="22"/>
                <w:vertAlign w:val="superscript"/>
              </w:rPr>
              <w:t>*</w:t>
            </w:r>
            <w:r w:rsidRPr="00483B06">
              <w:rPr>
                <w:b/>
                <w:sz w:val="22"/>
                <w:szCs w:val="22"/>
              </w:rPr>
              <w:t xml:space="preserve"> scores vs  Credit</w:t>
            </w:r>
          </w:p>
        </w:tc>
        <w:tc>
          <w:tcPr>
            <w:tcW w:w="1633" w:type="dxa"/>
            <w:gridSpan w:val="2"/>
            <w:tcBorders>
              <w:top w:val="single" w:sz="4" w:space="0" w:color="auto"/>
              <w:bottom w:val="single" w:sz="4" w:space="0" w:color="auto"/>
            </w:tcBorders>
            <w:vAlign w:val="center"/>
            <w:hideMark/>
          </w:tcPr>
          <w:p w:rsidR="000F7BF1" w:rsidRPr="00483B06" w:rsidRDefault="000F7BF1" w:rsidP="00483B06">
            <w:pPr>
              <w:spacing w:line="276" w:lineRule="auto"/>
              <w:rPr>
                <w:b/>
                <w:sz w:val="22"/>
                <w:szCs w:val="22"/>
              </w:rPr>
            </w:pPr>
            <w:r w:rsidRPr="00483B06">
              <w:rPr>
                <w:b/>
                <w:sz w:val="22"/>
                <w:szCs w:val="22"/>
              </w:rPr>
              <w:t>PE</w:t>
            </w:r>
            <w:r w:rsidR="00CF06B7" w:rsidRPr="00483B06">
              <w:rPr>
                <w:b/>
                <w:sz w:val="22"/>
                <w:szCs w:val="22"/>
                <w:vertAlign w:val="superscript"/>
              </w:rPr>
              <w:t>*</w:t>
            </w:r>
            <w:r w:rsidRPr="00483B06">
              <w:rPr>
                <w:b/>
                <w:sz w:val="22"/>
                <w:szCs w:val="22"/>
              </w:rPr>
              <w:t xml:space="preserve"> scores vs  Savings</w:t>
            </w:r>
          </w:p>
        </w:tc>
        <w:tc>
          <w:tcPr>
            <w:tcW w:w="1611" w:type="dxa"/>
            <w:gridSpan w:val="2"/>
            <w:tcBorders>
              <w:top w:val="single" w:sz="4" w:space="0" w:color="auto"/>
              <w:bottom w:val="single" w:sz="4" w:space="0" w:color="auto"/>
            </w:tcBorders>
            <w:vAlign w:val="center"/>
            <w:hideMark/>
          </w:tcPr>
          <w:p w:rsidR="000F7BF1" w:rsidRPr="00483B06" w:rsidRDefault="000F7BF1" w:rsidP="00483B06">
            <w:pPr>
              <w:spacing w:line="276" w:lineRule="auto"/>
              <w:rPr>
                <w:b/>
                <w:sz w:val="22"/>
                <w:szCs w:val="22"/>
              </w:rPr>
            </w:pPr>
            <w:r w:rsidRPr="00483B06">
              <w:rPr>
                <w:b/>
                <w:sz w:val="22"/>
                <w:szCs w:val="22"/>
              </w:rPr>
              <w:t>PE</w:t>
            </w:r>
            <w:r w:rsidR="00CF06B7" w:rsidRPr="00483B06">
              <w:rPr>
                <w:b/>
                <w:sz w:val="22"/>
                <w:szCs w:val="22"/>
                <w:vertAlign w:val="superscript"/>
              </w:rPr>
              <w:t>*</w:t>
            </w:r>
            <w:r w:rsidRPr="00483B06">
              <w:rPr>
                <w:b/>
                <w:sz w:val="22"/>
                <w:szCs w:val="22"/>
              </w:rPr>
              <w:t xml:space="preserve"> scores vs Insurance</w:t>
            </w:r>
          </w:p>
        </w:tc>
      </w:tr>
      <w:tr w:rsidR="000F7BF1" w:rsidRPr="00483B06" w:rsidTr="000F7BF1">
        <w:trPr>
          <w:trHeight w:val="217"/>
        </w:trPr>
        <w:tc>
          <w:tcPr>
            <w:tcW w:w="2609" w:type="dxa"/>
            <w:tcBorders>
              <w:top w:val="single" w:sz="4" w:space="0" w:color="auto"/>
            </w:tcBorders>
          </w:tcPr>
          <w:p w:rsidR="000F7BF1" w:rsidRPr="00483B06" w:rsidRDefault="000F7BF1" w:rsidP="00483B06">
            <w:pPr>
              <w:spacing w:line="276" w:lineRule="auto"/>
              <w:rPr>
                <w:b/>
                <w:sz w:val="22"/>
                <w:szCs w:val="22"/>
              </w:rPr>
            </w:pPr>
            <w:r w:rsidRPr="00483B06">
              <w:rPr>
                <w:b/>
                <w:sz w:val="22"/>
                <w:szCs w:val="22"/>
              </w:rPr>
              <w:t>OLS model.</w:t>
            </w:r>
          </w:p>
        </w:tc>
        <w:tc>
          <w:tcPr>
            <w:tcW w:w="1790" w:type="dxa"/>
            <w:gridSpan w:val="2"/>
            <w:tcBorders>
              <w:top w:val="single" w:sz="4" w:space="0" w:color="auto"/>
            </w:tcBorders>
            <w:vAlign w:val="bottom"/>
          </w:tcPr>
          <w:p w:rsidR="000F7BF1" w:rsidRPr="00483B06" w:rsidRDefault="000F7BF1" w:rsidP="00483B06">
            <w:pPr>
              <w:spacing w:line="276" w:lineRule="auto"/>
              <w:jc w:val="center"/>
              <w:rPr>
                <w:sz w:val="22"/>
                <w:szCs w:val="22"/>
              </w:rPr>
            </w:pPr>
          </w:p>
        </w:tc>
        <w:tc>
          <w:tcPr>
            <w:tcW w:w="1709" w:type="dxa"/>
            <w:gridSpan w:val="2"/>
            <w:tcBorders>
              <w:top w:val="single" w:sz="4" w:space="0" w:color="auto"/>
            </w:tcBorders>
          </w:tcPr>
          <w:p w:rsidR="000F7BF1" w:rsidRPr="00483B06" w:rsidRDefault="000F7BF1" w:rsidP="00483B06">
            <w:pPr>
              <w:spacing w:line="276" w:lineRule="auto"/>
              <w:rPr>
                <w:sz w:val="22"/>
                <w:szCs w:val="22"/>
              </w:rPr>
            </w:pPr>
          </w:p>
        </w:tc>
        <w:tc>
          <w:tcPr>
            <w:tcW w:w="1633" w:type="dxa"/>
            <w:gridSpan w:val="2"/>
            <w:tcBorders>
              <w:top w:val="single" w:sz="4" w:space="0" w:color="auto"/>
            </w:tcBorders>
          </w:tcPr>
          <w:p w:rsidR="000F7BF1" w:rsidRPr="00483B06" w:rsidRDefault="000F7BF1" w:rsidP="00483B06">
            <w:pPr>
              <w:spacing w:line="276" w:lineRule="auto"/>
              <w:rPr>
                <w:sz w:val="22"/>
                <w:szCs w:val="22"/>
              </w:rPr>
            </w:pPr>
          </w:p>
        </w:tc>
        <w:tc>
          <w:tcPr>
            <w:tcW w:w="1611" w:type="dxa"/>
            <w:gridSpan w:val="2"/>
            <w:tcBorders>
              <w:top w:val="single" w:sz="4" w:space="0" w:color="auto"/>
            </w:tcBorders>
          </w:tcPr>
          <w:p w:rsidR="000F7BF1" w:rsidRPr="00483B06" w:rsidRDefault="000F7BF1" w:rsidP="00483B06">
            <w:pPr>
              <w:spacing w:line="276" w:lineRule="auto"/>
              <w:rPr>
                <w:sz w:val="22"/>
                <w:szCs w:val="22"/>
              </w:rPr>
            </w:pPr>
          </w:p>
        </w:tc>
      </w:tr>
      <w:tr w:rsidR="00B02609" w:rsidRPr="00483B06" w:rsidTr="000F7BF1">
        <w:trPr>
          <w:trHeight w:val="332"/>
        </w:trPr>
        <w:tc>
          <w:tcPr>
            <w:tcW w:w="2609" w:type="dxa"/>
            <w:vAlign w:val="center"/>
            <w:hideMark/>
          </w:tcPr>
          <w:p w:rsidR="000F7BF1" w:rsidRPr="00483B06" w:rsidRDefault="000F7BF1" w:rsidP="00483B06">
            <w:pPr>
              <w:spacing w:line="276" w:lineRule="auto"/>
              <w:rPr>
                <w:sz w:val="22"/>
                <w:szCs w:val="22"/>
              </w:rPr>
            </w:pPr>
            <w:r w:rsidRPr="00483B06">
              <w:rPr>
                <w:sz w:val="22"/>
                <w:szCs w:val="22"/>
              </w:rPr>
              <w:t xml:space="preserve">Financial services </w:t>
            </w:r>
          </w:p>
        </w:tc>
        <w:tc>
          <w:tcPr>
            <w:tcW w:w="1135" w:type="dxa"/>
            <w:vAlign w:val="center"/>
            <w:hideMark/>
          </w:tcPr>
          <w:p w:rsidR="000F7BF1" w:rsidRPr="00483B06" w:rsidRDefault="000F7BF1" w:rsidP="00483B06">
            <w:pPr>
              <w:spacing w:line="276" w:lineRule="auto"/>
              <w:jc w:val="right"/>
              <w:rPr>
                <w:sz w:val="22"/>
                <w:szCs w:val="22"/>
              </w:rPr>
            </w:pPr>
            <w:r w:rsidRPr="00483B06">
              <w:rPr>
                <w:sz w:val="22"/>
                <w:szCs w:val="22"/>
              </w:rPr>
              <w:t>0.003</w:t>
            </w:r>
          </w:p>
        </w:tc>
        <w:tc>
          <w:tcPr>
            <w:tcW w:w="655" w:type="dxa"/>
            <w:vAlign w:val="center"/>
          </w:tcPr>
          <w:p w:rsidR="000F7BF1" w:rsidRPr="00483B06" w:rsidRDefault="000F7BF1" w:rsidP="00483B06">
            <w:pPr>
              <w:spacing w:line="276" w:lineRule="auto"/>
              <w:rPr>
                <w:sz w:val="22"/>
                <w:szCs w:val="22"/>
              </w:rPr>
            </w:pPr>
          </w:p>
        </w:tc>
        <w:tc>
          <w:tcPr>
            <w:tcW w:w="1071" w:type="dxa"/>
            <w:vAlign w:val="center"/>
          </w:tcPr>
          <w:p w:rsidR="000F7BF1" w:rsidRPr="00483B06" w:rsidRDefault="000F7BF1" w:rsidP="00483B06">
            <w:pPr>
              <w:spacing w:line="276" w:lineRule="auto"/>
              <w:jc w:val="right"/>
              <w:rPr>
                <w:sz w:val="22"/>
                <w:szCs w:val="22"/>
              </w:rPr>
            </w:pPr>
            <w:r w:rsidRPr="00483B06">
              <w:rPr>
                <w:sz w:val="22"/>
                <w:szCs w:val="22"/>
              </w:rPr>
              <w:t>-0.011</w:t>
            </w:r>
          </w:p>
        </w:tc>
        <w:tc>
          <w:tcPr>
            <w:tcW w:w="638" w:type="dxa"/>
            <w:vAlign w:val="center"/>
          </w:tcPr>
          <w:p w:rsidR="000F7BF1" w:rsidRPr="00483B06" w:rsidRDefault="000F7BF1" w:rsidP="00483B06">
            <w:pPr>
              <w:spacing w:line="276" w:lineRule="auto"/>
              <w:rPr>
                <w:sz w:val="22"/>
                <w:szCs w:val="22"/>
              </w:rPr>
            </w:pPr>
          </w:p>
        </w:tc>
        <w:tc>
          <w:tcPr>
            <w:tcW w:w="996" w:type="dxa"/>
            <w:vAlign w:val="center"/>
          </w:tcPr>
          <w:p w:rsidR="000F7BF1" w:rsidRPr="00483B06" w:rsidRDefault="000F7BF1" w:rsidP="00483B06">
            <w:pPr>
              <w:spacing w:line="276" w:lineRule="auto"/>
              <w:jc w:val="right"/>
              <w:rPr>
                <w:sz w:val="22"/>
                <w:szCs w:val="22"/>
              </w:rPr>
            </w:pPr>
            <w:r w:rsidRPr="00483B06">
              <w:rPr>
                <w:sz w:val="22"/>
                <w:szCs w:val="22"/>
              </w:rPr>
              <w:t>-0.002</w:t>
            </w:r>
          </w:p>
        </w:tc>
        <w:tc>
          <w:tcPr>
            <w:tcW w:w="637" w:type="dxa"/>
            <w:vAlign w:val="center"/>
          </w:tcPr>
          <w:p w:rsidR="000F7BF1" w:rsidRPr="00483B06" w:rsidRDefault="000F7BF1" w:rsidP="00483B06">
            <w:pPr>
              <w:spacing w:line="276" w:lineRule="auto"/>
              <w:rPr>
                <w:sz w:val="22"/>
                <w:szCs w:val="22"/>
              </w:rPr>
            </w:pPr>
          </w:p>
        </w:tc>
        <w:tc>
          <w:tcPr>
            <w:tcW w:w="1043" w:type="dxa"/>
            <w:vAlign w:val="center"/>
          </w:tcPr>
          <w:p w:rsidR="000F7BF1" w:rsidRPr="00483B06" w:rsidRDefault="000F7BF1" w:rsidP="00483B06">
            <w:pPr>
              <w:spacing w:line="276" w:lineRule="auto"/>
              <w:jc w:val="right"/>
              <w:rPr>
                <w:sz w:val="22"/>
                <w:szCs w:val="22"/>
              </w:rPr>
            </w:pPr>
            <w:r w:rsidRPr="00483B06">
              <w:rPr>
                <w:sz w:val="22"/>
                <w:szCs w:val="22"/>
              </w:rPr>
              <w:t>0.022</w:t>
            </w:r>
          </w:p>
        </w:tc>
        <w:tc>
          <w:tcPr>
            <w:tcW w:w="568" w:type="dxa"/>
            <w:vAlign w:val="center"/>
          </w:tcPr>
          <w:p w:rsidR="000F7BF1" w:rsidRPr="00483B06" w:rsidRDefault="000F7BF1" w:rsidP="00483B06">
            <w:pPr>
              <w:spacing w:line="276" w:lineRule="auto"/>
              <w:rPr>
                <w:sz w:val="22"/>
                <w:szCs w:val="22"/>
              </w:rPr>
            </w:pPr>
          </w:p>
        </w:tc>
      </w:tr>
      <w:tr w:rsidR="00B02609" w:rsidRPr="00483B06" w:rsidTr="000F7BF1">
        <w:trPr>
          <w:trHeight w:val="217"/>
        </w:trPr>
        <w:tc>
          <w:tcPr>
            <w:tcW w:w="2609" w:type="dxa"/>
            <w:vAlign w:val="bottom"/>
            <w:hideMark/>
          </w:tcPr>
          <w:p w:rsidR="000F7BF1" w:rsidRPr="00483B06" w:rsidRDefault="000F7BF1" w:rsidP="00483B06">
            <w:pPr>
              <w:spacing w:line="276" w:lineRule="auto"/>
              <w:rPr>
                <w:sz w:val="22"/>
                <w:szCs w:val="22"/>
              </w:rPr>
            </w:pPr>
            <w:r w:rsidRPr="00483B06">
              <w:rPr>
                <w:sz w:val="22"/>
                <w:szCs w:val="22"/>
              </w:rPr>
              <w:t>Intercept</w:t>
            </w: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0.073</w:t>
            </w:r>
          </w:p>
        </w:tc>
        <w:tc>
          <w:tcPr>
            <w:tcW w:w="655" w:type="dxa"/>
            <w:vAlign w:val="bottom"/>
            <w:hideMark/>
          </w:tcPr>
          <w:p w:rsidR="000F7BF1" w:rsidRPr="00483B06" w:rsidRDefault="000F7BF1" w:rsidP="00483B06">
            <w:pPr>
              <w:spacing w:line="276" w:lineRule="auto"/>
              <w:rPr>
                <w:sz w:val="22"/>
                <w:szCs w:val="22"/>
              </w:rPr>
            </w:pPr>
            <w:r w:rsidRPr="00483B06">
              <w:rPr>
                <w:sz w:val="22"/>
                <w:szCs w:val="22"/>
              </w:rPr>
              <w:t>**</w:t>
            </w: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0.076</w:t>
            </w:r>
          </w:p>
        </w:tc>
        <w:tc>
          <w:tcPr>
            <w:tcW w:w="638" w:type="dxa"/>
            <w:vAlign w:val="bottom"/>
            <w:hideMark/>
          </w:tcPr>
          <w:p w:rsidR="000F7BF1" w:rsidRPr="00483B06" w:rsidRDefault="000F7BF1" w:rsidP="00483B06">
            <w:pPr>
              <w:spacing w:line="276" w:lineRule="auto"/>
              <w:rPr>
                <w:sz w:val="22"/>
                <w:szCs w:val="22"/>
              </w:rPr>
            </w:pPr>
            <w:r w:rsidRPr="00483B06">
              <w:rPr>
                <w:sz w:val="22"/>
                <w:szCs w:val="22"/>
              </w:rPr>
              <w:t>**</w:t>
            </w: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0.075</w:t>
            </w:r>
          </w:p>
        </w:tc>
        <w:tc>
          <w:tcPr>
            <w:tcW w:w="637" w:type="dxa"/>
            <w:vAlign w:val="bottom"/>
            <w:hideMark/>
          </w:tcPr>
          <w:p w:rsidR="000F7BF1" w:rsidRPr="00483B06" w:rsidRDefault="000F7BF1" w:rsidP="00483B06">
            <w:pPr>
              <w:spacing w:line="276" w:lineRule="auto"/>
              <w:rPr>
                <w:sz w:val="22"/>
                <w:szCs w:val="22"/>
              </w:rPr>
            </w:pPr>
            <w:r w:rsidRPr="00483B06">
              <w:rPr>
                <w:sz w:val="22"/>
                <w:szCs w:val="22"/>
              </w:rPr>
              <w:t>**</w:t>
            </w: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0.074</w:t>
            </w:r>
          </w:p>
        </w:tc>
        <w:tc>
          <w:tcPr>
            <w:tcW w:w="568" w:type="dxa"/>
            <w:vAlign w:val="bottom"/>
            <w:hideMark/>
          </w:tcPr>
          <w:p w:rsidR="000F7BF1" w:rsidRPr="00483B06" w:rsidRDefault="000F7BF1" w:rsidP="00483B06">
            <w:pPr>
              <w:spacing w:line="276" w:lineRule="auto"/>
              <w:rPr>
                <w:sz w:val="22"/>
                <w:szCs w:val="22"/>
              </w:rPr>
            </w:pPr>
            <w:r w:rsidRPr="00483B06">
              <w:rPr>
                <w:sz w:val="22"/>
                <w:szCs w:val="22"/>
              </w:rPr>
              <w:t>**</w:t>
            </w:r>
          </w:p>
        </w:tc>
      </w:tr>
      <w:tr w:rsidR="00B02609" w:rsidRPr="00483B06" w:rsidTr="000F7BF1">
        <w:trPr>
          <w:trHeight w:val="217"/>
        </w:trPr>
        <w:tc>
          <w:tcPr>
            <w:tcW w:w="2609" w:type="dxa"/>
          </w:tcPr>
          <w:p w:rsidR="000F7BF1" w:rsidRPr="00483B06" w:rsidRDefault="000F7BF1" w:rsidP="00483B06">
            <w:pPr>
              <w:spacing w:line="276" w:lineRule="auto"/>
              <w:rPr>
                <w:sz w:val="22"/>
                <w:szCs w:val="22"/>
              </w:rPr>
            </w:pP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655" w:type="dxa"/>
          </w:tcPr>
          <w:p w:rsidR="000F7BF1" w:rsidRPr="00483B06" w:rsidRDefault="000F7BF1" w:rsidP="00483B06">
            <w:pPr>
              <w:spacing w:line="276" w:lineRule="auto"/>
              <w:rPr>
                <w:sz w:val="22"/>
                <w:szCs w:val="22"/>
              </w:rPr>
            </w:pP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638" w:type="dxa"/>
          </w:tcPr>
          <w:p w:rsidR="000F7BF1" w:rsidRPr="00483B06" w:rsidRDefault="000F7BF1" w:rsidP="00483B06">
            <w:pPr>
              <w:spacing w:line="276" w:lineRule="auto"/>
              <w:rPr>
                <w:sz w:val="22"/>
                <w:szCs w:val="22"/>
              </w:rPr>
            </w:pP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637" w:type="dxa"/>
          </w:tcPr>
          <w:p w:rsidR="000F7BF1" w:rsidRPr="00483B06" w:rsidRDefault="000F7BF1" w:rsidP="00483B06">
            <w:pPr>
              <w:spacing w:line="276" w:lineRule="auto"/>
              <w:rPr>
                <w:sz w:val="22"/>
                <w:szCs w:val="22"/>
              </w:rPr>
            </w:pP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568" w:type="dxa"/>
          </w:tcPr>
          <w:p w:rsidR="000F7BF1" w:rsidRPr="00483B06" w:rsidRDefault="000F7BF1" w:rsidP="00483B06">
            <w:pPr>
              <w:spacing w:line="276" w:lineRule="auto"/>
              <w:rPr>
                <w:sz w:val="22"/>
                <w:szCs w:val="22"/>
              </w:rPr>
            </w:pPr>
          </w:p>
        </w:tc>
      </w:tr>
      <w:tr w:rsidR="000F7BF1" w:rsidRPr="00483B06" w:rsidTr="000F7BF1">
        <w:trPr>
          <w:trHeight w:val="217"/>
        </w:trPr>
        <w:tc>
          <w:tcPr>
            <w:tcW w:w="9352" w:type="dxa"/>
            <w:gridSpan w:val="9"/>
            <w:hideMark/>
          </w:tcPr>
          <w:p w:rsidR="000F7BF1" w:rsidRPr="00483B06" w:rsidRDefault="000F7BF1" w:rsidP="00483B06">
            <w:pPr>
              <w:spacing w:line="276" w:lineRule="auto"/>
              <w:rPr>
                <w:b/>
                <w:sz w:val="22"/>
                <w:szCs w:val="22"/>
              </w:rPr>
            </w:pPr>
            <w:r w:rsidRPr="00483B06">
              <w:rPr>
                <w:b/>
                <w:sz w:val="22"/>
                <w:szCs w:val="22"/>
              </w:rPr>
              <w:t>Tobit regression model.</w:t>
            </w:r>
          </w:p>
        </w:tc>
      </w:tr>
      <w:tr w:rsidR="00B02609" w:rsidRPr="00483B06" w:rsidTr="000F7BF1">
        <w:trPr>
          <w:trHeight w:val="251"/>
        </w:trPr>
        <w:tc>
          <w:tcPr>
            <w:tcW w:w="2609" w:type="dxa"/>
            <w:vAlign w:val="center"/>
            <w:hideMark/>
          </w:tcPr>
          <w:p w:rsidR="000F7BF1" w:rsidRPr="00483B06" w:rsidRDefault="000F7BF1" w:rsidP="00483B06">
            <w:pPr>
              <w:spacing w:line="276" w:lineRule="auto"/>
              <w:rPr>
                <w:sz w:val="22"/>
                <w:szCs w:val="22"/>
              </w:rPr>
            </w:pPr>
            <w:r w:rsidRPr="00483B06">
              <w:rPr>
                <w:sz w:val="22"/>
                <w:szCs w:val="22"/>
              </w:rPr>
              <w:t xml:space="preserve">Financial services </w:t>
            </w:r>
          </w:p>
        </w:tc>
        <w:tc>
          <w:tcPr>
            <w:tcW w:w="1135" w:type="dxa"/>
            <w:vAlign w:val="center"/>
            <w:hideMark/>
          </w:tcPr>
          <w:p w:rsidR="000F7BF1" w:rsidRPr="00483B06" w:rsidRDefault="000F7BF1" w:rsidP="00483B06">
            <w:pPr>
              <w:spacing w:line="276" w:lineRule="auto"/>
              <w:jc w:val="right"/>
              <w:rPr>
                <w:sz w:val="22"/>
                <w:szCs w:val="22"/>
              </w:rPr>
            </w:pPr>
            <w:r w:rsidRPr="00483B06">
              <w:rPr>
                <w:sz w:val="22"/>
                <w:szCs w:val="22"/>
              </w:rPr>
              <w:t>0.004</w:t>
            </w:r>
          </w:p>
        </w:tc>
        <w:tc>
          <w:tcPr>
            <w:tcW w:w="655" w:type="dxa"/>
            <w:vAlign w:val="center"/>
          </w:tcPr>
          <w:p w:rsidR="000F7BF1" w:rsidRPr="00483B06" w:rsidRDefault="000F7BF1" w:rsidP="00483B06">
            <w:pPr>
              <w:spacing w:line="276" w:lineRule="auto"/>
              <w:rPr>
                <w:sz w:val="22"/>
                <w:szCs w:val="22"/>
              </w:rPr>
            </w:pPr>
          </w:p>
        </w:tc>
        <w:tc>
          <w:tcPr>
            <w:tcW w:w="1071" w:type="dxa"/>
            <w:vAlign w:val="center"/>
          </w:tcPr>
          <w:p w:rsidR="000F7BF1" w:rsidRPr="00483B06" w:rsidRDefault="000F7BF1" w:rsidP="00483B06">
            <w:pPr>
              <w:spacing w:line="276" w:lineRule="auto"/>
              <w:jc w:val="right"/>
              <w:rPr>
                <w:sz w:val="22"/>
                <w:szCs w:val="22"/>
              </w:rPr>
            </w:pPr>
            <w:r w:rsidRPr="00483B06">
              <w:rPr>
                <w:sz w:val="22"/>
                <w:szCs w:val="22"/>
              </w:rPr>
              <w:t>-0.011</w:t>
            </w:r>
          </w:p>
        </w:tc>
        <w:tc>
          <w:tcPr>
            <w:tcW w:w="638" w:type="dxa"/>
            <w:vAlign w:val="center"/>
          </w:tcPr>
          <w:p w:rsidR="000F7BF1" w:rsidRPr="00483B06" w:rsidRDefault="000F7BF1" w:rsidP="00483B06">
            <w:pPr>
              <w:spacing w:line="276" w:lineRule="auto"/>
              <w:rPr>
                <w:sz w:val="22"/>
                <w:szCs w:val="22"/>
              </w:rPr>
            </w:pPr>
          </w:p>
        </w:tc>
        <w:tc>
          <w:tcPr>
            <w:tcW w:w="996" w:type="dxa"/>
            <w:vAlign w:val="center"/>
          </w:tcPr>
          <w:p w:rsidR="000F7BF1" w:rsidRPr="00483B06" w:rsidRDefault="000F7BF1" w:rsidP="00483B06">
            <w:pPr>
              <w:spacing w:line="276" w:lineRule="auto"/>
              <w:jc w:val="right"/>
              <w:rPr>
                <w:sz w:val="22"/>
                <w:szCs w:val="22"/>
              </w:rPr>
            </w:pPr>
            <w:r w:rsidRPr="00483B06">
              <w:rPr>
                <w:sz w:val="22"/>
                <w:szCs w:val="22"/>
              </w:rPr>
              <w:t>-0.002</w:t>
            </w:r>
          </w:p>
        </w:tc>
        <w:tc>
          <w:tcPr>
            <w:tcW w:w="637" w:type="dxa"/>
            <w:vAlign w:val="center"/>
          </w:tcPr>
          <w:p w:rsidR="000F7BF1" w:rsidRPr="00483B06" w:rsidRDefault="000F7BF1" w:rsidP="00483B06">
            <w:pPr>
              <w:spacing w:line="276" w:lineRule="auto"/>
              <w:rPr>
                <w:sz w:val="22"/>
                <w:szCs w:val="22"/>
              </w:rPr>
            </w:pPr>
          </w:p>
        </w:tc>
        <w:tc>
          <w:tcPr>
            <w:tcW w:w="1043" w:type="dxa"/>
            <w:vAlign w:val="center"/>
          </w:tcPr>
          <w:p w:rsidR="000F7BF1" w:rsidRPr="00483B06" w:rsidRDefault="000F7BF1" w:rsidP="00483B06">
            <w:pPr>
              <w:spacing w:line="276" w:lineRule="auto"/>
              <w:jc w:val="right"/>
              <w:rPr>
                <w:sz w:val="22"/>
                <w:szCs w:val="22"/>
              </w:rPr>
            </w:pPr>
            <w:r w:rsidRPr="00483B06">
              <w:rPr>
                <w:sz w:val="22"/>
                <w:szCs w:val="22"/>
              </w:rPr>
              <w:t>0.022</w:t>
            </w:r>
          </w:p>
        </w:tc>
        <w:tc>
          <w:tcPr>
            <w:tcW w:w="568" w:type="dxa"/>
            <w:vAlign w:val="center"/>
          </w:tcPr>
          <w:p w:rsidR="000F7BF1" w:rsidRPr="00483B06" w:rsidRDefault="000F7BF1" w:rsidP="00483B06">
            <w:pPr>
              <w:spacing w:line="276" w:lineRule="auto"/>
              <w:rPr>
                <w:sz w:val="22"/>
                <w:szCs w:val="22"/>
              </w:rPr>
            </w:pPr>
          </w:p>
        </w:tc>
      </w:tr>
      <w:tr w:rsidR="00B02609" w:rsidRPr="00483B06" w:rsidTr="000F7BF1">
        <w:trPr>
          <w:trHeight w:val="217"/>
        </w:trPr>
        <w:tc>
          <w:tcPr>
            <w:tcW w:w="2609" w:type="dxa"/>
          </w:tcPr>
          <w:p w:rsidR="000F7BF1" w:rsidRPr="00483B06" w:rsidRDefault="000F7BF1" w:rsidP="00483B06">
            <w:pPr>
              <w:spacing w:line="276" w:lineRule="auto"/>
              <w:rPr>
                <w:sz w:val="22"/>
                <w:szCs w:val="22"/>
              </w:rPr>
            </w:pP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(0.006)</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sz w:val="22"/>
                <w:szCs w:val="22"/>
              </w:rPr>
              <w:t>(0.007)</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r w:rsidRPr="00483B06">
              <w:rPr>
                <w:sz w:val="22"/>
                <w:szCs w:val="22"/>
              </w:rPr>
              <w:t>(0.007)</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r w:rsidRPr="00483B06">
              <w:rPr>
                <w:sz w:val="22"/>
                <w:szCs w:val="22"/>
              </w:rPr>
              <w:t>(0.013)</w:t>
            </w:r>
          </w:p>
        </w:tc>
        <w:tc>
          <w:tcPr>
            <w:tcW w:w="568" w:type="dxa"/>
          </w:tcPr>
          <w:p w:rsidR="000F7BF1" w:rsidRPr="00483B06" w:rsidRDefault="000F7BF1" w:rsidP="00483B06">
            <w:pPr>
              <w:spacing w:line="276" w:lineRule="auto"/>
              <w:rPr>
                <w:sz w:val="22"/>
                <w:szCs w:val="22"/>
              </w:rPr>
            </w:pPr>
          </w:p>
        </w:tc>
      </w:tr>
      <w:tr w:rsidR="00B02609" w:rsidRPr="00483B06" w:rsidTr="000F7BF1">
        <w:trPr>
          <w:trHeight w:val="217"/>
        </w:trPr>
        <w:tc>
          <w:tcPr>
            <w:tcW w:w="2609" w:type="dxa"/>
            <w:vAlign w:val="bottom"/>
            <w:hideMark/>
          </w:tcPr>
          <w:p w:rsidR="000F7BF1" w:rsidRPr="00483B06" w:rsidRDefault="000F7BF1" w:rsidP="00483B06">
            <w:pPr>
              <w:spacing w:line="276" w:lineRule="auto"/>
              <w:rPr>
                <w:sz w:val="22"/>
                <w:szCs w:val="22"/>
              </w:rPr>
            </w:pPr>
            <w:r w:rsidRPr="00483B06">
              <w:rPr>
                <w:sz w:val="22"/>
                <w:szCs w:val="22"/>
              </w:rPr>
              <w:t>Intercept</w:t>
            </w: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0.073</w:t>
            </w:r>
          </w:p>
        </w:tc>
        <w:tc>
          <w:tcPr>
            <w:tcW w:w="655" w:type="dxa"/>
            <w:vAlign w:val="bottom"/>
            <w:hideMark/>
          </w:tcPr>
          <w:p w:rsidR="000F7BF1" w:rsidRPr="00483B06" w:rsidRDefault="000F7BF1" w:rsidP="00483B06">
            <w:pPr>
              <w:spacing w:line="276" w:lineRule="auto"/>
              <w:rPr>
                <w:sz w:val="22"/>
                <w:szCs w:val="22"/>
              </w:rPr>
            </w:pPr>
            <w:r w:rsidRPr="00483B06">
              <w:rPr>
                <w:sz w:val="22"/>
                <w:szCs w:val="22"/>
              </w:rPr>
              <w:t>**</w:t>
            </w: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0.076</w:t>
            </w:r>
          </w:p>
        </w:tc>
        <w:tc>
          <w:tcPr>
            <w:tcW w:w="638" w:type="dxa"/>
            <w:vAlign w:val="bottom"/>
            <w:hideMark/>
          </w:tcPr>
          <w:p w:rsidR="000F7BF1" w:rsidRPr="00483B06" w:rsidRDefault="000F7BF1" w:rsidP="00483B06">
            <w:pPr>
              <w:spacing w:line="276" w:lineRule="auto"/>
              <w:rPr>
                <w:sz w:val="22"/>
                <w:szCs w:val="22"/>
              </w:rPr>
            </w:pPr>
            <w:r w:rsidRPr="00483B06">
              <w:rPr>
                <w:sz w:val="22"/>
                <w:szCs w:val="22"/>
              </w:rPr>
              <w:t>**</w:t>
            </w: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0.075</w:t>
            </w:r>
          </w:p>
        </w:tc>
        <w:tc>
          <w:tcPr>
            <w:tcW w:w="637" w:type="dxa"/>
            <w:vAlign w:val="bottom"/>
            <w:hideMark/>
          </w:tcPr>
          <w:p w:rsidR="000F7BF1" w:rsidRPr="00483B06" w:rsidRDefault="000F7BF1" w:rsidP="00483B06">
            <w:pPr>
              <w:spacing w:line="276" w:lineRule="auto"/>
              <w:rPr>
                <w:sz w:val="22"/>
                <w:szCs w:val="22"/>
              </w:rPr>
            </w:pPr>
            <w:r w:rsidRPr="00483B06">
              <w:rPr>
                <w:sz w:val="22"/>
                <w:szCs w:val="22"/>
              </w:rPr>
              <w:t>**</w:t>
            </w: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0.074</w:t>
            </w:r>
          </w:p>
        </w:tc>
        <w:tc>
          <w:tcPr>
            <w:tcW w:w="568" w:type="dxa"/>
            <w:vAlign w:val="bottom"/>
            <w:hideMark/>
          </w:tcPr>
          <w:p w:rsidR="000F7BF1" w:rsidRPr="00483B06" w:rsidRDefault="000F7BF1" w:rsidP="00483B06">
            <w:pPr>
              <w:spacing w:line="276" w:lineRule="auto"/>
              <w:rPr>
                <w:sz w:val="22"/>
                <w:szCs w:val="22"/>
              </w:rPr>
            </w:pPr>
            <w:r w:rsidRPr="00483B06">
              <w:rPr>
                <w:sz w:val="22"/>
                <w:szCs w:val="22"/>
              </w:rPr>
              <w:t>**</w:t>
            </w:r>
          </w:p>
        </w:tc>
      </w:tr>
      <w:tr w:rsidR="00B02609" w:rsidRPr="00483B06" w:rsidTr="000F7BF1">
        <w:trPr>
          <w:trHeight w:val="217"/>
        </w:trPr>
        <w:tc>
          <w:tcPr>
            <w:tcW w:w="2609" w:type="dxa"/>
          </w:tcPr>
          <w:p w:rsidR="000F7BF1" w:rsidRPr="00483B06" w:rsidRDefault="000F7BF1" w:rsidP="00483B06">
            <w:pPr>
              <w:spacing w:line="276" w:lineRule="auto"/>
              <w:rPr>
                <w:sz w:val="22"/>
                <w:szCs w:val="22"/>
              </w:rPr>
            </w:pP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655" w:type="dxa"/>
          </w:tcPr>
          <w:p w:rsidR="000F7BF1" w:rsidRPr="00483B06" w:rsidRDefault="000F7BF1" w:rsidP="00483B06">
            <w:pPr>
              <w:spacing w:line="276" w:lineRule="auto"/>
              <w:rPr>
                <w:sz w:val="22"/>
                <w:szCs w:val="22"/>
              </w:rPr>
            </w:pP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638" w:type="dxa"/>
          </w:tcPr>
          <w:p w:rsidR="000F7BF1" w:rsidRPr="00483B06" w:rsidRDefault="000F7BF1" w:rsidP="00483B06">
            <w:pPr>
              <w:spacing w:line="276" w:lineRule="auto"/>
              <w:rPr>
                <w:sz w:val="22"/>
                <w:szCs w:val="22"/>
              </w:rPr>
            </w:pP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637" w:type="dxa"/>
          </w:tcPr>
          <w:p w:rsidR="000F7BF1" w:rsidRPr="00483B06" w:rsidRDefault="000F7BF1" w:rsidP="00483B06">
            <w:pPr>
              <w:spacing w:line="276" w:lineRule="auto"/>
              <w:rPr>
                <w:sz w:val="22"/>
                <w:szCs w:val="22"/>
              </w:rPr>
            </w:pP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568" w:type="dxa"/>
          </w:tcPr>
          <w:p w:rsidR="000F7BF1" w:rsidRPr="00483B06" w:rsidRDefault="000F7BF1" w:rsidP="00483B06">
            <w:pPr>
              <w:spacing w:line="276" w:lineRule="auto"/>
              <w:rPr>
                <w:sz w:val="22"/>
                <w:szCs w:val="22"/>
              </w:rPr>
            </w:pPr>
          </w:p>
        </w:tc>
      </w:tr>
      <w:tr w:rsidR="00B02609" w:rsidRPr="00483B06" w:rsidTr="000F7BF1">
        <w:trPr>
          <w:trHeight w:val="217"/>
        </w:trPr>
        <w:tc>
          <w:tcPr>
            <w:tcW w:w="2609" w:type="dxa"/>
            <w:vAlign w:val="bottom"/>
            <w:hideMark/>
          </w:tcPr>
          <w:p w:rsidR="000F7BF1" w:rsidRPr="00483B06" w:rsidRDefault="000F7BF1" w:rsidP="00483B06">
            <w:pPr>
              <w:spacing w:line="276" w:lineRule="auto"/>
              <w:rPr>
                <w:sz w:val="22"/>
                <w:szCs w:val="22"/>
              </w:rPr>
            </w:pPr>
            <w:r w:rsidRPr="00483B06">
              <w:rPr>
                <w:sz w:val="22"/>
                <w:szCs w:val="22"/>
              </w:rPr>
              <w:t>var(e.eff_G_1)</w:t>
            </w: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0.025</w:t>
            </w:r>
          </w:p>
        </w:tc>
        <w:tc>
          <w:tcPr>
            <w:tcW w:w="655" w:type="dxa"/>
          </w:tcPr>
          <w:p w:rsidR="000F7BF1" w:rsidRPr="00483B06" w:rsidRDefault="000F7BF1" w:rsidP="00483B06">
            <w:pPr>
              <w:spacing w:line="276" w:lineRule="auto"/>
              <w:rPr>
                <w:sz w:val="22"/>
                <w:szCs w:val="22"/>
              </w:rPr>
            </w:pP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0.025</w:t>
            </w:r>
          </w:p>
        </w:tc>
        <w:tc>
          <w:tcPr>
            <w:tcW w:w="638" w:type="dxa"/>
          </w:tcPr>
          <w:p w:rsidR="000F7BF1" w:rsidRPr="00483B06" w:rsidRDefault="000F7BF1" w:rsidP="00483B06">
            <w:pPr>
              <w:spacing w:line="276" w:lineRule="auto"/>
              <w:rPr>
                <w:sz w:val="22"/>
                <w:szCs w:val="22"/>
              </w:rPr>
            </w:pP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0.025</w:t>
            </w:r>
          </w:p>
        </w:tc>
        <w:tc>
          <w:tcPr>
            <w:tcW w:w="637" w:type="dxa"/>
          </w:tcPr>
          <w:p w:rsidR="000F7BF1" w:rsidRPr="00483B06" w:rsidRDefault="000F7BF1" w:rsidP="00483B06">
            <w:pPr>
              <w:spacing w:line="276" w:lineRule="auto"/>
              <w:rPr>
                <w:sz w:val="22"/>
                <w:szCs w:val="22"/>
              </w:rPr>
            </w:pP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0.025</w:t>
            </w:r>
          </w:p>
        </w:tc>
        <w:tc>
          <w:tcPr>
            <w:tcW w:w="568" w:type="dxa"/>
          </w:tcPr>
          <w:p w:rsidR="000F7BF1" w:rsidRPr="00483B06" w:rsidRDefault="000F7BF1" w:rsidP="00483B06">
            <w:pPr>
              <w:spacing w:line="276" w:lineRule="auto"/>
              <w:rPr>
                <w:sz w:val="22"/>
                <w:szCs w:val="22"/>
              </w:rPr>
            </w:pPr>
          </w:p>
        </w:tc>
      </w:tr>
      <w:tr w:rsidR="00B02609" w:rsidRPr="00483B06" w:rsidTr="000F7BF1">
        <w:trPr>
          <w:trHeight w:val="217"/>
        </w:trPr>
        <w:tc>
          <w:tcPr>
            <w:tcW w:w="2609" w:type="dxa"/>
          </w:tcPr>
          <w:p w:rsidR="000F7BF1" w:rsidRPr="00483B06" w:rsidRDefault="000F7BF1" w:rsidP="00483B06">
            <w:pPr>
              <w:spacing w:line="276" w:lineRule="auto"/>
              <w:rPr>
                <w:sz w:val="22"/>
                <w:szCs w:val="22"/>
              </w:rPr>
            </w:pP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(0.001)</w:t>
            </w:r>
          </w:p>
        </w:tc>
        <w:tc>
          <w:tcPr>
            <w:tcW w:w="655" w:type="dxa"/>
          </w:tcPr>
          <w:p w:rsidR="000F7BF1" w:rsidRPr="00483B06" w:rsidRDefault="000F7BF1" w:rsidP="00483B06">
            <w:pPr>
              <w:spacing w:line="276" w:lineRule="auto"/>
              <w:rPr>
                <w:sz w:val="22"/>
                <w:szCs w:val="22"/>
              </w:rPr>
            </w:pP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(0.001)</w:t>
            </w:r>
          </w:p>
        </w:tc>
        <w:tc>
          <w:tcPr>
            <w:tcW w:w="638" w:type="dxa"/>
          </w:tcPr>
          <w:p w:rsidR="000F7BF1" w:rsidRPr="00483B06" w:rsidRDefault="000F7BF1" w:rsidP="00483B06">
            <w:pPr>
              <w:spacing w:line="276" w:lineRule="auto"/>
              <w:rPr>
                <w:sz w:val="22"/>
                <w:szCs w:val="22"/>
              </w:rPr>
            </w:pP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(0.001)</w:t>
            </w:r>
          </w:p>
        </w:tc>
        <w:tc>
          <w:tcPr>
            <w:tcW w:w="637" w:type="dxa"/>
          </w:tcPr>
          <w:p w:rsidR="000F7BF1" w:rsidRPr="00483B06" w:rsidRDefault="000F7BF1" w:rsidP="00483B06">
            <w:pPr>
              <w:spacing w:line="276" w:lineRule="auto"/>
              <w:rPr>
                <w:sz w:val="22"/>
                <w:szCs w:val="22"/>
              </w:rPr>
            </w:pP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(0.001)</w:t>
            </w:r>
          </w:p>
        </w:tc>
        <w:tc>
          <w:tcPr>
            <w:tcW w:w="568" w:type="dxa"/>
          </w:tcPr>
          <w:p w:rsidR="000F7BF1" w:rsidRPr="00483B06" w:rsidRDefault="000F7BF1" w:rsidP="00483B06">
            <w:pPr>
              <w:spacing w:line="276" w:lineRule="auto"/>
              <w:rPr>
                <w:sz w:val="22"/>
                <w:szCs w:val="22"/>
              </w:rPr>
            </w:pPr>
          </w:p>
        </w:tc>
      </w:tr>
      <w:tr w:rsidR="000F7BF1" w:rsidRPr="00483B06" w:rsidTr="000F7BF1">
        <w:trPr>
          <w:trHeight w:val="217"/>
        </w:trPr>
        <w:tc>
          <w:tcPr>
            <w:tcW w:w="2609" w:type="dxa"/>
            <w:vAlign w:val="bottom"/>
          </w:tcPr>
          <w:p w:rsidR="000F7BF1" w:rsidRPr="00483B06" w:rsidRDefault="000F7BF1" w:rsidP="00483B06">
            <w:pPr>
              <w:spacing w:line="276" w:lineRule="auto"/>
              <w:rPr>
                <w:sz w:val="22"/>
                <w:szCs w:val="22"/>
              </w:rPr>
            </w:pPr>
          </w:p>
        </w:tc>
        <w:tc>
          <w:tcPr>
            <w:tcW w:w="1135" w:type="dxa"/>
            <w:vAlign w:val="bottom"/>
          </w:tcPr>
          <w:p w:rsidR="000F7BF1" w:rsidRPr="00483B06" w:rsidRDefault="000F7BF1" w:rsidP="00483B06">
            <w:pPr>
              <w:spacing w:line="276" w:lineRule="auto"/>
              <w:jc w:val="right"/>
              <w:rPr>
                <w:sz w:val="22"/>
                <w:szCs w:val="22"/>
              </w:rPr>
            </w:pP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p>
        </w:tc>
        <w:tc>
          <w:tcPr>
            <w:tcW w:w="568" w:type="dxa"/>
          </w:tcPr>
          <w:p w:rsidR="000F7BF1" w:rsidRPr="00483B06" w:rsidRDefault="000F7BF1" w:rsidP="00483B06">
            <w:pPr>
              <w:spacing w:line="276" w:lineRule="auto"/>
              <w:rPr>
                <w:sz w:val="22"/>
                <w:szCs w:val="22"/>
              </w:rPr>
            </w:pPr>
          </w:p>
        </w:tc>
      </w:tr>
      <w:tr w:rsidR="000F7BF1" w:rsidRPr="00483B06" w:rsidTr="000F7BF1">
        <w:trPr>
          <w:tblHeader/>
        </w:trPr>
        <w:tc>
          <w:tcPr>
            <w:tcW w:w="2609" w:type="dxa"/>
            <w:vAlign w:val="center"/>
          </w:tcPr>
          <w:p w:rsidR="000F7BF1" w:rsidRPr="00483B06" w:rsidRDefault="000F7BF1" w:rsidP="00483B06">
            <w:pPr>
              <w:spacing w:line="276" w:lineRule="auto"/>
              <w:rPr>
                <w:b/>
                <w:sz w:val="22"/>
                <w:szCs w:val="22"/>
              </w:rPr>
            </w:pPr>
            <w:r w:rsidRPr="00483B06">
              <w:rPr>
                <w:b/>
                <w:sz w:val="22"/>
                <w:szCs w:val="22"/>
              </w:rPr>
              <w:t>ESR model</w:t>
            </w:r>
          </w:p>
        </w:tc>
        <w:tc>
          <w:tcPr>
            <w:tcW w:w="1790" w:type="dxa"/>
            <w:gridSpan w:val="2"/>
            <w:vAlign w:val="center"/>
          </w:tcPr>
          <w:p w:rsidR="000F7BF1" w:rsidRPr="00483B06" w:rsidRDefault="000F7BF1" w:rsidP="00483B06">
            <w:pPr>
              <w:spacing w:line="276" w:lineRule="auto"/>
              <w:jc w:val="center"/>
              <w:rPr>
                <w:b/>
                <w:sz w:val="22"/>
                <w:szCs w:val="22"/>
              </w:rPr>
            </w:pPr>
          </w:p>
        </w:tc>
        <w:tc>
          <w:tcPr>
            <w:tcW w:w="1709" w:type="dxa"/>
            <w:gridSpan w:val="2"/>
            <w:vAlign w:val="center"/>
          </w:tcPr>
          <w:p w:rsidR="000F7BF1" w:rsidRPr="00483B06" w:rsidRDefault="000F7BF1" w:rsidP="00483B06">
            <w:pPr>
              <w:spacing w:line="276" w:lineRule="auto"/>
              <w:jc w:val="center"/>
              <w:rPr>
                <w:b/>
                <w:sz w:val="22"/>
                <w:szCs w:val="22"/>
              </w:rPr>
            </w:pPr>
          </w:p>
        </w:tc>
        <w:tc>
          <w:tcPr>
            <w:tcW w:w="1633" w:type="dxa"/>
            <w:gridSpan w:val="2"/>
            <w:vAlign w:val="center"/>
          </w:tcPr>
          <w:p w:rsidR="000F7BF1" w:rsidRPr="00483B06" w:rsidRDefault="000F7BF1" w:rsidP="00483B06">
            <w:pPr>
              <w:spacing w:line="276" w:lineRule="auto"/>
              <w:jc w:val="center"/>
              <w:rPr>
                <w:b/>
                <w:sz w:val="22"/>
                <w:szCs w:val="22"/>
              </w:rPr>
            </w:pPr>
          </w:p>
        </w:tc>
        <w:tc>
          <w:tcPr>
            <w:tcW w:w="1611" w:type="dxa"/>
            <w:gridSpan w:val="2"/>
            <w:vAlign w:val="center"/>
          </w:tcPr>
          <w:p w:rsidR="000F7BF1" w:rsidRPr="00483B06" w:rsidRDefault="000F7BF1" w:rsidP="00483B06">
            <w:pPr>
              <w:spacing w:line="276" w:lineRule="auto"/>
              <w:jc w:val="center"/>
              <w:rPr>
                <w:b/>
                <w:sz w:val="22"/>
                <w:szCs w:val="22"/>
              </w:rPr>
            </w:pPr>
          </w:p>
        </w:tc>
      </w:tr>
      <w:tr w:rsidR="000F7BF1" w:rsidRPr="00483B06" w:rsidTr="000F7BF1">
        <w:tc>
          <w:tcPr>
            <w:tcW w:w="2609" w:type="dxa"/>
            <w:vAlign w:val="center"/>
            <w:hideMark/>
          </w:tcPr>
          <w:p w:rsidR="000F7BF1" w:rsidRPr="00483B06" w:rsidRDefault="000F7BF1" w:rsidP="00483B06">
            <w:pPr>
              <w:spacing w:line="276" w:lineRule="auto"/>
              <w:rPr>
                <w:sz w:val="22"/>
                <w:szCs w:val="22"/>
              </w:rPr>
            </w:pPr>
            <w:r w:rsidRPr="00483B06">
              <w:rPr>
                <w:sz w:val="22"/>
                <w:szCs w:val="22"/>
              </w:rPr>
              <w:t xml:space="preserve">Yes = Financial services </w:t>
            </w:r>
          </w:p>
        </w:tc>
        <w:tc>
          <w:tcPr>
            <w:tcW w:w="1135" w:type="dxa"/>
            <w:vAlign w:val="center"/>
            <w:hideMark/>
          </w:tcPr>
          <w:p w:rsidR="000F7BF1" w:rsidRPr="00483B06" w:rsidRDefault="000F7BF1" w:rsidP="00483B06">
            <w:pPr>
              <w:spacing w:line="276" w:lineRule="auto"/>
              <w:jc w:val="right"/>
              <w:rPr>
                <w:sz w:val="22"/>
                <w:szCs w:val="22"/>
              </w:rPr>
            </w:pPr>
            <w:r w:rsidRPr="00483B06">
              <w:rPr>
                <w:sz w:val="22"/>
                <w:szCs w:val="22"/>
              </w:rPr>
              <w:t>0.239</w:t>
            </w:r>
          </w:p>
        </w:tc>
        <w:tc>
          <w:tcPr>
            <w:tcW w:w="655" w:type="dxa"/>
            <w:vAlign w:val="center"/>
            <w:hideMark/>
          </w:tcPr>
          <w:p w:rsidR="000F7BF1" w:rsidRPr="00483B06" w:rsidRDefault="000F7BF1" w:rsidP="00483B06">
            <w:pPr>
              <w:spacing w:line="276" w:lineRule="auto"/>
              <w:rPr>
                <w:sz w:val="22"/>
                <w:szCs w:val="22"/>
              </w:rPr>
            </w:pPr>
            <w:r w:rsidRPr="00483B06">
              <w:rPr>
                <w:sz w:val="22"/>
                <w:szCs w:val="22"/>
              </w:rPr>
              <w:t>**</w:t>
            </w:r>
          </w:p>
        </w:tc>
        <w:tc>
          <w:tcPr>
            <w:tcW w:w="1071" w:type="dxa"/>
            <w:vAlign w:val="center"/>
          </w:tcPr>
          <w:p w:rsidR="000F7BF1" w:rsidRPr="00483B06" w:rsidRDefault="000F7BF1" w:rsidP="00483B06">
            <w:pPr>
              <w:spacing w:line="276" w:lineRule="auto"/>
              <w:jc w:val="right"/>
              <w:rPr>
                <w:sz w:val="22"/>
                <w:szCs w:val="22"/>
              </w:rPr>
            </w:pPr>
            <w:r w:rsidRPr="00483B06">
              <w:rPr>
                <w:sz w:val="22"/>
                <w:szCs w:val="22"/>
              </w:rPr>
              <w:t>0.267</w:t>
            </w:r>
          </w:p>
        </w:tc>
        <w:tc>
          <w:tcPr>
            <w:tcW w:w="638" w:type="dxa"/>
            <w:vAlign w:val="center"/>
          </w:tcPr>
          <w:p w:rsidR="000F7BF1" w:rsidRPr="00483B06" w:rsidRDefault="000F7BF1" w:rsidP="00483B06">
            <w:pPr>
              <w:spacing w:line="276" w:lineRule="auto"/>
              <w:rPr>
                <w:sz w:val="22"/>
                <w:szCs w:val="22"/>
              </w:rPr>
            </w:pPr>
            <w:r w:rsidRPr="00483B06">
              <w:rPr>
                <w:sz w:val="22"/>
                <w:szCs w:val="22"/>
              </w:rPr>
              <w:t>**</w:t>
            </w:r>
          </w:p>
        </w:tc>
        <w:tc>
          <w:tcPr>
            <w:tcW w:w="996" w:type="dxa"/>
            <w:vAlign w:val="center"/>
          </w:tcPr>
          <w:p w:rsidR="000F7BF1" w:rsidRPr="00483B06" w:rsidRDefault="000F7BF1" w:rsidP="00483B06">
            <w:pPr>
              <w:spacing w:line="276" w:lineRule="auto"/>
              <w:jc w:val="right"/>
              <w:rPr>
                <w:sz w:val="22"/>
                <w:szCs w:val="22"/>
              </w:rPr>
            </w:pPr>
            <w:r w:rsidRPr="00483B06">
              <w:rPr>
                <w:sz w:val="22"/>
                <w:szCs w:val="22"/>
              </w:rPr>
              <w:t>0.246</w:t>
            </w:r>
          </w:p>
        </w:tc>
        <w:tc>
          <w:tcPr>
            <w:tcW w:w="637" w:type="dxa"/>
            <w:vAlign w:val="center"/>
          </w:tcPr>
          <w:p w:rsidR="000F7BF1" w:rsidRPr="00483B06" w:rsidRDefault="000F7BF1" w:rsidP="00483B06">
            <w:pPr>
              <w:spacing w:line="276" w:lineRule="auto"/>
              <w:rPr>
                <w:sz w:val="22"/>
                <w:szCs w:val="22"/>
              </w:rPr>
            </w:pPr>
            <w:r w:rsidRPr="00483B06">
              <w:rPr>
                <w:sz w:val="22"/>
                <w:szCs w:val="22"/>
              </w:rPr>
              <w:t>**</w:t>
            </w:r>
          </w:p>
        </w:tc>
        <w:tc>
          <w:tcPr>
            <w:tcW w:w="1043" w:type="dxa"/>
            <w:vAlign w:val="center"/>
          </w:tcPr>
          <w:p w:rsidR="000F7BF1" w:rsidRPr="00483B06" w:rsidRDefault="000F7BF1" w:rsidP="00483B06">
            <w:pPr>
              <w:spacing w:line="276" w:lineRule="auto"/>
              <w:jc w:val="right"/>
              <w:rPr>
                <w:sz w:val="22"/>
                <w:szCs w:val="22"/>
              </w:rPr>
            </w:pPr>
            <w:r w:rsidRPr="00483B06">
              <w:rPr>
                <w:sz w:val="22"/>
                <w:szCs w:val="22"/>
              </w:rPr>
              <w:t>0.018</w:t>
            </w:r>
          </w:p>
        </w:tc>
        <w:tc>
          <w:tcPr>
            <w:tcW w:w="568" w:type="dxa"/>
            <w:vAlign w:val="center"/>
          </w:tcPr>
          <w:p w:rsidR="000F7BF1" w:rsidRPr="00483B06" w:rsidRDefault="000F7BF1" w:rsidP="00483B06">
            <w:pPr>
              <w:spacing w:line="276" w:lineRule="auto"/>
              <w:rPr>
                <w:sz w:val="22"/>
                <w:szCs w:val="22"/>
              </w:rPr>
            </w:pPr>
          </w:p>
        </w:tc>
      </w:tr>
      <w:tr w:rsidR="000F7BF1" w:rsidRPr="00483B06" w:rsidTr="000F7BF1">
        <w:tc>
          <w:tcPr>
            <w:tcW w:w="2609" w:type="dxa"/>
          </w:tcPr>
          <w:p w:rsidR="000F7BF1" w:rsidRPr="00483B06" w:rsidRDefault="000F7BF1" w:rsidP="00483B06">
            <w:pPr>
              <w:spacing w:line="276" w:lineRule="auto"/>
              <w:rPr>
                <w:sz w:val="22"/>
                <w:szCs w:val="22"/>
              </w:rPr>
            </w:pP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(0.014)</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sz w:val="22"/>
                <w:szCs w:val="22"/>
              </w:rPr>
              <w:t>(0.010)</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r w:rsidRPr="00483B06">
              <w:rPr>
                <w:sz w:val="22"/>
                <w:szCs w:val="22"/>
              </w:rPr>
              <w:t>(0.012)</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r w:rsidRPr="00483B06">
              <w:rPr>
                <w:sz w:val="22"/>
                <w:szCs w:val="22"/>
              </w:rPr>
              <w:t>(0.027)</w:t>
            </w: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tcPr>
          <w:p w:rsidR="000F7BF1" w:rsidRPr="00483B06" w:rsidRDefault="000F7BF1" w:rsidP="00483B06">
            <w:pPr>
              <w:spacing w:line="276" w:lineRule="auto"/>
              <w:rPr>
                <w:sz w:val="22"/>
                <w:szCs w:val="22"/>
              </w:rPr>
            </w:pPr>
          </w:p>
        </w:tc>
        <w:tc>
          <w:tcPr>
            <w:tcW w:w="1135" w:type="dxa"/>
          </w:tcPr>
          <w:p w:rsidR="000F7BF1" w:rsidRPr="00483B06" w:rsidRDefault="000F7BF1" w:rsidP="00483B06">
            <w:pPr>
              <w:spacing w:line="276" w:lineRule="auto"/>
              <w:rPr>
                <w:sz w:val="22"/>
                <w:szCs w:val="22"/>
              </w:rPr>
            </w:pPr>
          </w:p>
        </w:tc>
        <w:tc>
          <w:tcPr>
            <w:tcW w:w="655" w:type="dxa"/>
          </w:tcPr>
          <w:p w:rsidR="000F7BF1" w:rsidRPr="00483B06" w:rsidRDefault="000F7BF1" w:rsidP="00483B06">
            <w:pPr>
              <w:spacing w:line="276" w:lineRule="auto"/>
              <w:rPr>
                <w:sz w:val="22"/>
                <w:szCs w:val="22"/>
              </w:rPr>
            </w:pPr>
          </w:p>
        </w:tc>
        <w:tc>
          <w:tcPr>
            <w:tcW w:w="1071" w:type="dxa"/>
          </w:tcPr>
          <w:p w:rsidR="000F7BF1" w:rsidRPr="00483B06" w:rsidRDefault="000F7BF1" w:rsidP="00483B06">
            <w:pPr>
              <w:spacing w:line="276" w:lineRule="auto"/>
              <w:rPr>
                <w:sz w:val="22"/>
                <w:szCs w:val="22"/>
              </w:rPr>
            </w:pPr>
          </w:p>
        </w:tc>
        <w:tc>
          <w:tcPr>
            <w:tcW w:w="638" w:type="dxa"/>
          </w:tcPr>
          <w:p w:rsidR="000F7BF1" w:rsidRPr="00483B06" w:rsidRDefault="000F7BF1" w:rsidP="00483B06">
            <w:pPr>
              <w:spacing w:line="276" w:lineRule="auto"/>
              <w:rPr>
                <w:sz w:val="22"/>
                <w:szCs w:val="22"/>
              </w:rPr>
            </w:pPr>
          </w:p>
        </w:tc>
        <w:tc>
          <w:tcPr>
            <w:tcW w:w="996" w:type="dxa"/>
          </w:tcPr>
          <w:p w:rsidR="000F7BF1" w:rsidRPr="00483B06" w:rsidRDefault="000F7BF1" w:rsidP="00483B06">
            <w:pPr>
              <w:spacing w:line="276" w:lineRule="auto"/>
              <w:rPr>
                <w:sz w:val="22"/>
                <w:szCs w:val="22"/>
              </w:rPr>
            </w:pP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hideMark/>
          </w:tcPr>
          <w:p w:rsidR="000F7BF1" w:rsidRPr="00483B06" w:rsidRDefault="000F7BF1" w:rsidP="00483B06">
            <w:pPr>
              <w:spacing w:line="276" w:lineRule="auto"/>
              <w:rPr>
                <w:sz w:val="22"/>
                <w:szCs w:val="22"/>
              </w:rPr>
            </w:pPr>
            <w:r w:rsidRPr="00483B06">
              <w:rPr>
                <w:sz w:val="22"/>
                <w:szCs w:val="22"/>
              </w:rPr>
              <w:t>Intercept</w:t>
            </w: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0.004</w:t>
            </w:r>
          </w:p>
        </w:tc>
        <w:tc>
          <w:tcPr>
            <w:tcW w:w="655" w:type="dxa"/>
          </w:tcPr>
          <w:p w:rsidR="000F7BF1" w:rsidRPr="00483B06" w:rsidRDefault="000F7BF1" w:rsidP="00483B06">
            <w:pPr>
              <w:spacing w:line="276" w:lineRule="auto"/>
              <w:rPr>
                <w:sz w:val="22"/>
                <w:szCs w:val="22"/>
              </w:rPr>
            </w:pP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0.034</w:t>
            </w:r>
          </w:p>
        </w:tc>
        <w:tc>
          <w:tcPr>
            <w:tcW w:w="638" w:type="dxa"/>
            <w:vAlign w:val="bottom"/>
            <w:hideMark/>
          </w:tcPr>
          <w:p w:rsidR="000F7BF1" w:rsidRPr="00483B06" w:rsidRDefault="000F7BF1" w:rsidP="00483B06">
            <w:pPr>
              <w:spacing w:line="276" w:lineRule="auto"/>
              <w:rPr>
                <w:sz w:val="22"/>
                <w:szCs w:val="22"/>
              </w:rPr>
            </w:pPr>
            <w:r w:rsidRPr="00483B06">
              <w:rPr>
                <w:sz w:val="22"/>
                <w:szCs w:val="22"/>
              </w:rPr>
              <w:t>**</w:t>
            </w: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0.007</w:t>
            </w:r>
          </w:p>
        </w:tc>
        <w:tc>
          <w:tcPr>
            <w:tcW w:w="637" w:type="dxa"/>
          </w:tcPr>
          <w:p w:rsidR="000F7BF1" w:rsidRPr="00483B06" w:rsidRDefault="000F7BF1" w:rsidP="00483B06">
            <w:pPr>
              <w:spacing w:line="276" w:lineRule="auto"/>
              <w:rPr>
                <w:sz w:val="22"/>
                <w:szCs w:val="22"/>
              </w:rPr>
            </w:pP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0.078</w:t>
            </w:r>
          </w:p>
        </w:tc>
        <w:tc>
          <w:tcPr>
            <w:tcW w:w="568" w:type="dxa"/>
            <w:vAlign w:val="bottom"/>
            <w:hideMark/>
          </w:tcPr>
          <w:p w:rsidR="000F7BF1" w:rsidRPr="00483B06" w:rsidRDefault="000F7BF1" w:rsidP="00483B06">
            <w:pPr>
              <w:spacing w:line="276" w:lineRule="auto"/>
              <w:rPr>
                <w:sz w:val="22"/>
                <w:szCs w:val="22"/>
              </w:rPr>
            </w:pPr>
            <w:r w:rsidRPr="00483B06">
              <w:rPr>
                <w:sz w:val="22"/>
                <w:szCs w:val="22"/>
              </w:rPr>
              <w:t>**</w:t>
            </w:r>
          </w:p>
        </w:tc>
      </w:tr>
      <w:tr w:rsidR="000F7BF1" w:rsidRPr="00483B06" w:rsidTr="000F7BF1">
        <w:tc>
          <w:tcPr>
            <w:tcW w:w="2609" w:type="dxa"/>
          </w:tcPr>
          <w:p w:rsidR="000F7BF1" w:rsidRPr="00483B06" w:rsidRDefault="000F7BF1" w:rsidP="00483B06">
            <w:pPr>
              <w:spacing w:line="276" w:lineRule="auto"/>
              <w:rPr>
                <w:sz w:val="22"/>
                <w:szCs w:val="22"/>
              </w:rPr>
            </w:pP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(0.011)</w:t>
            </w:r>
          </w:p>
        </w:tc>
        <w:tc>
          <w:tcPr>
            <w:tcW w:w="655" w:type="dxa"/>
          </w:tcPr>
          <w:p w:rsidR="000F7BF1" w:rsidRPr="00483B06" w:rsidRDefault="000F7BF1" w:rsidP="00483B06">
            <w:pPr>
              <w:spacing w:line="276" w:lineRule="auto"/>
              <w:rPr>
                <w:sz w:val="22"/>
                <w:szCs w:val="22"/>
              </w:rPr>
            </w:pPr>
          </w:p>
        </w:tc>
        <w:tc>
          <w:tcPr>
            <w:tcW w:w="1071" w:type="dxa"/>
            <w:vAlign w:val="bottom"/>
            <w:hideMark/>
          </w:tcPr>
          <w:p w:rsidR="000F7BF1" w:rsidRPr="00483B06" w:rsidRDefault="000F7BF1" w:rsidP="00483B06">
            <w:pPr>
              <w:spacing w:line="276" w:lineRule="auto"/>
              <w:jc w:val="right"/>
              <w:rPr>
                <w:sz w:val="22"/>
                <w:szCs w:val="22"/>
              </w:rPr>
            </w:pPr>
            <w:r w:rsidRPr="00483B06">
              <w:rPr>
                <w:sz w:val="22"/>
                <w:szCs w:val="22"/>
              </w:rPr>
              <w:t>(0.010)</w:t>
            </w:r>
          </w:p>
        </w:tc>
        <w:tc>
          <w:tcPr>
            <w:tcW w:w="638" w:type="dxa"/>
          </w:tcPr>
          <w:p w:rsidR="000F7BF1" w:rsidRPr="00483B06" w:rsidRDefault="000F7BF1" w:rsidP="00483B06">
            <w:pPr>
              <w:spacing w:line="276" w:lineRule="auto"/>
              <w:rPr>
                <w:sz w:val="22"/>
                <w:szCs w:val="22"/>
              </w:rPr>
            </w:pPr>
          </w:p>
        </w:tc>
        <w:tc>
          <w:tcPr>
            <w:tcW w:w="996" w:type="dxa"/>
            <w:vAlign w:val="bottom"/>
            <w:hideMark/>
          </w:tcPr>
          <w:p w:rsidR="000F7BF1" w:rsidRPr="00483B06" w:rsidRDefault="000F7BF1" w:rsidP="00483B06">
            <w:pPr>
              <w:spacing w:line="276" w:lineRule="auto"/>
              <w:jc w:val="right"/>
              <w:rPr>
                <w:sz w:val="22"/>
                <w:szCs w:val="22"/>
              </w:rPr>
            </w:pPr>
            <w:r w:rsidRPr="00483B06">
              <w:rPr>
                <w:sz w:val="22"/>
                <w:szCs w:val="22"/>
              </w:rPr>
              <w:t>(0.011)</w:t>
            </w:r>
          </w:p>
        </w:tc>
        <w:tc>
          <w:tcPr>
            <w:tcW w:w="637" w:type="dxa"/>
          </w:tcPr>
          <w:p w:rsidR="000F7BF1" w:rsidRPr="00483B06" w:rsidRDefault="000F7BF1" w:rsidP="00483B06">
            <w:pPr>
              <w:spacing w:line="276" w:lineRule="auto"/>
              <w:rPr>
                <w:sz w:val="22"/>
                <w:szCs w:val="22"/>
              </w:rPr>
            </w:pPr>
          </w:p>
        </w:tc>
        <w:tc>
          <w:tcPr>
            <w:tcW w:w="1043" w:type="dxa"/>
            <w:vAlign w:val="bottom"/>
            <w:hideMark/>
          </w:tcPr>
          <w:p w:rsidR="000F7BF1" w:rsidRPr="00483B06" w:rsidRDefault="000F7BF1" w:rsidP="00483B06">
            <w:pPr>
              <w:spacing w:line="276" w:lineRule="auto"/>
              <w:jc w:val="right"/>
              <w:rPr>
                <w:sz w:val="22"/>
                <w:szCs w:val="22"/>
              </w:rPr>
            </w:pPr>
            <w:r w:rsidRPr="00483B06">
              <w:rPr>
                <w:sz w:val="22"/>
                <w:szCs w:val="22"/>
              </w:rPr>
              <w:t>(0.009)</w:t>
            </w: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hideMark/>
          </w:tcPr>
          <w:p w:rsidR="000F7BF1" w:rsidRPr="00483B06" w:rsidRDefault="000F7BF1" w:rsidP="00483B06">
            <w:pPr>
              <w:spacing w:line="276" w:lineRule="auto"/>
              <w:rPr>
                <w:sz w:val="22"/>
                <w:szCs w:val="22"/>
              </w:rPr>
            </w:pPr>
            <w:r w:rsidRPr="00483B06">
              <w:rPr>
                <w:sz w:val="22"/>
                <w:szCs w:val="22"/>
              </w:rPr>
              <w:t>Intercept-selection model</w:t>
            </w: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-0.506</w:t>
            </w:r>
          </w:p>
        </w:tc>
        <w:tc>
          <w:tcPr>
            <w:tcW w:w="655" w:type="dxa"/>
            <w:vAlign w:val="bottom"/>
            <w:hideMark/>
          </w:tcPr>
          <w:p w:rsidR="000F7BF1" w:rsidRPr="00483B06" w:rsidRDefault="000F7BF1" w:rsidP="00483B06">
            <w:pPr>
              <w:spacing w:line="276" w:lineRule="auto"/>
              <w:rPr>
                <w:sz w:val="22"/>
                <w:szCs w:val="22"/>
              </w:rPr>
            </w:pPr>
            <w:r w:rsidRPr="00483B06">
              <w:rPr>
                <w:sz w:val="22"/>
                <w:szCs w:val="22"/>
              </w:rPr>
              <w:t>**</w:t>
            </w:r>
          </w:p>
        </w:tc>
        <w:tc>
          <w:tcPr>
            <w:tcW w:w="1071" w:type="dxa"/>
            <w:vAlign w:val="bottom"/>
          </w:tcPr>
          <w:p w:rsidR="000F7BF1" w:rsidRPr="00483B06" w:rsidRDefault="000F7BF1" w:rsidP="00483B06">
            <w:pPr>
              <w:spacing w:line="276" w:lineRule="auto"/>
              <w:jc w:val="right"/>
              <w:rPr>
                <w:sz w:val="22"/>
                <w:szCs w:val="22"/>
              </w:rPr>
            </w:pPr>
            <w:r w:rsidRPr="00483B06">
              <w:rPr>
                <w:sz w:val="22"/>
                <w:szCs w:val="22"/>
              </w:rPr>
              <w:t>-0.841</w:t>
            </w:r>
          </w:p>
        </w:tc>
        <w:tc>
          <w:tcPr>
            <w:tcW w:w="638" w:type="dxa"/>
            <w:vAlign w:val="bottom"/>
          </w:tcPr>
          <w:p w:rsidR="000F7BF1" w:rsidRPr="00483B06" w:rsidRDefault="000F7BF1" w:rsidP="00483B06">
            <w:pPr>
              <w:spacing w:line="276" w:lineRule="auto"/>
              <w:rPr>
                <w:sz w:val="22"/>
                <w:szCs w:val="22"/>
              </w:rPr>
            </w:pPr>
            <w:r w:rsidRPr="00483B06">
              <w:rPr>
                <w:sz w:val="22"/>
                <w:szCs w:val="22"/>
              </w:rPr>
              <w:t>**</w:t>
            </w:r>
          </w:p>
        </w:tc>
        <w:tc>
          <w:tcPr>
            <w:tcW w:w="996" w:type="dxa"/>
            <w:vAlign w:val="bottom"/>
          </w:tcPr>
          <w:p w:rsidR="000F7BF1" w:rsidRPr="00483B06" w:rsidRDefault="000F7BF1" w:rsidP="00483B06">
            <w:pPr>
              <w:spacing w:line="276" w:lineRule="auto"/>
              <w:jc w:val="right"/>
              <w:rPr>
                <w:sz w:val="22"/>
                <w:szCs w:val="22"/>
              </w:rPr>
            </w:pPr>
            <w:r w:rsidRPr="00483B06">
              <w:rPr>
                <w:sz w:val="22"/>
                <w:szCs w:val="22"/>
              </w:rPr>
              <w:t>-0.541</w:t>
            </w:r>
          </w:p>
        </w:tc>
        <w:tc>
          <w:tcPr>
            <w:tcW w:w="637" w:type="dxa"/>
            <w:vAlign w:val="bottom"/>
          </w:tcPr>
          <w:p w:rsidR="000F7BF1" w:rsidRPr="00483B06" w:rsidRDefault="000F7BF1" w:rsidP="00483B06">
            <w:pPr>
              <w:spacing w:line="276" w:lineRule="auto"/>
              <w:rPr>
                <w:sz w:val="22"/>
                <w:szCs w:val="22"/>
              </w:rPr>
            </w:pPr>
            <w:r w:rsidRPr="00483B06">
              <w:rPr>
                <w:sz w:val="22"/>
                <w:szCs w:val="22"/>
              </w:rPr>
              <w:t>**</w:t>
            </w:r>
          </w:p>
        </w:tc>
        <w:tc>
          <w:tcPr>
            <w:tcW w:w="1043" w:type="dxa"/>
            <w:vAlign w:val="bottom"/>
          </w:tcPr>
          <w:p w:rsidR="000F7BF1" w:rsidRPr="00483B06" w:rsidRDefault="000F7BF1" w:rsidP="00483B06">
            <w:pPr>
              <w:spacing w:line="276" w:lineRule="auto"/>
              <w:jc w:val="right"/>
              <w:rPr>
                <w:sz w:val="22"/>
                <w:szCs w:val="22"/>
              </w:rPr>
            </w:pPr>
            <w:r w:rsidRPr="00483B06">
              <w:rPr>
                <w:sz w:val="22"/>
                <w:szCs w:val="22"/>
              </w:rPr>
              <w:t>-2.074</w:t>
            </w:r>
          </w:p>
        </w:tc>
        <w:tc>
          <w:tcPr>
            <w:tcW w:w="568" w:type="dxa"/>
            <w:vAlign w:val="bottom"/>
          </w:tcPr>
          <w:p w:rsidR="000F7BF1" w:rsidRPr="00483B06" w:rsidRDefault="000F7BF1" w:rsidP="00483B06">
            <w:pPr>
              <w:spacing w:line="276" w:lineRule="auto"/>
              <w:rPr>
                <w:sz w:val="22"/>
                <w:szCs w:val="22"/>
              </w:rPr>
            </w:pPr>
            <w:r w:rsidRPr="00483B06">
              <w:rPr>
                <w:sz w:val="22"/>
                <w:szCs w:val="22"/>
              </w:rPr>
              <w:t>**</w:t>
            </w:r>
          </w:p>
        </w:tc>
      </w:tr>
      <w:tr w:rsidR="000F7BF1" w:rsidRPr="00483B06" w:rsidTr="000F7BF1">
        <w:tc>
          <w:tcPr>
            <w:tcW w:w="2609" w:type="dxa"/>
          </w:tcPr>
          <w:p w:rsidR="000F7BF1" w:rsidRPr="00483B06" w:rsidRDefault="000F7BF1" w:rsidP="00483B06">
            <w:pPr>
              <w:spacing w:line="276" w:lineRule="auto"/>
              <w:rPr>
                <w:sz w:val="22"/>
                <w:szCs w:val="22"/>
              </w:rPr>
            </w:pPr>
          </w:p>
        </w:tc>
        <w:tc>
          <w:tcPr>
            <w:tcW w:w="1135" w:type="dxa"/>
            <w:vAlign w:val="bottom"/>
            <w:hideMark/>
          </w:tcPr>
          <w:p w:rsidR="000F7BF1" w:rsidRPr="00483B06" w:rsidRDefault="000F7BF1" w:rsidP="00483B06">
            <w:pPr>
              <w:spacing w:line="276" w:lineRule="auto"/>
              <w:jc w:val="right"/>
              <w:rPr>
                <w:sz w:val="22"/>
                <w:szCs w:val="22"/>
              </w:rPr>
            </w:pPr>
            <w:r w:rsidRPr="00483B06">
              <w:rPr>
                <w:sz w:val="22"/>
                <w:szCs w:val="22"/>
              </w:rPr>
              <w:t>(0.061)</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sz w:val="22"/>
                <w:szCs w:val="22"/>
              </w:rPr>
              <w:t>(0.065)</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r w:rsidRPr="00483B06">
              <w:rPr>
                <w:sz w:val="22"/>
                <w:szCs w:val="22"/>
              </w:rPr>
              <w:t>(0.061)</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r w:rsidRPr="00483B06">
              <w:rPr>
                <w:sz w:val="22"/>
                <w:szCs w:val="22"/>
              </w:rPr>
              <w:t>(0.125)</w:t>
            </w: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tcPr>
          <w:p w:rsidR="000F7BF1" w:rsidRPr="00483B06" w:rsidRDefault="000F7BF1" w:rsidP="00483B06">
            <w:pPr>
              <w:spacing w:line="276" w:lineRule="auto"/>
              <w:rPr>
                <w:sz w:val="22"/>
                <w:szCs w:val="22"/>
              </w:rPr>
            </w:pPr>
          </w:p>
        </w:tc>
        <w:tc>
          <w:tcPr>
            <w:tcW w:w="1135" w:type="dxa"/>
            <w:vAlign w:val="bottom"/>
          </w:tcPr>
          <w:p w:rsidR="000F7BF1" w:rsidRPr="00483B06" w:rsidRDefault="000F7BF1" w:rsidP="00483B06">
            <w:pPr>
              <w:spacing w:line="276" w:lineRule="auto"/>
              <w:jc w:val="right"/>
              <w:rPr>
                <w:sz w:val="22"/>
                <w:szCs w:val="22"/>
              </w:rPr>
            </w:pP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tcPr>
          <w:p w:rsidR="000F7BF1" w:rsidRPr="00483B06" w:rsidRDefault="000F7BF1" w:rsidP="00483B06">
            <w:pPr>
              <w:spacing w:line="276" w:lineRule="auto"/>
              <w:rPr>
                <w:b/>
                <w:sz w:val="22"/>
                <w:szCs w:val="22"/>
              </w:rPr>
            </w:pPr>
            <w:r w:rsidRPr="00483B06">
              <w:rPr>
                <w:b/>
                <w:sz w:val="22"/>
                <w:szCs w:val="22"/>
              </w:rPr>
              <w:t>PSM model</w:t>
            </w:r>
          </w:p>
        </w:tc>
        <w:tc>
          <w:tcPr>
            <w:tcW w:w="1135" w:type="dxa"/>
            <w:vAlign w:val="bottom"/>
          </w:tcPr>
          <w:p w:rsidR="000F7BF1" w:rsidRPr="00483B06" w:rsidRDefault="000F7BF1" w:rsidP="00483B06">
            <w:pPr>
              <w:spacing w:line="276" w:lineRule="auto"/>
              <w:jc w:val="right"/>
              <w:rPr>
                <w:b/>
                <w:sz w:val="22"/>
                <w:szCs w:val="22"/>
              </w:rPr>
            </w:pPr>
          </w:p>
        </w:tc>
        <w:tc>
          <w:tcPr>
            <w:tcW w:w="655" w:type="dxa"/>
          </w:tcPr>
          <w:p w:rsidR="000F7BF1" w:rsidRPr="00483B06" w:rsidRDefault="000F7BF1" w:rsidP="00483B06">
            <w:pPr>
              <w:spacing w:line="276" w:lineRule="auto"/>
              <w:rPr>
                <w:b/>
                <w:sz w:val="22"/>
                <w:szCs w:val="22"/>
              </w:rPr>
            </w:pPr>
          </w:p>
        </w:tc>
        <w:tc>
          <w:tcPr>
            <w:tcW w:w="1071" w:type="dxa"/>
            <w:vAlign w:val="bottom"/>
          </w:tcPr>
          <w:p w:rsidR="000F7BF1" w:rsidRPr="00483B06" w:rsidRDefault="000F7BF1" w:rsidP="00483B06">
            <w:pPr>
              <w:spacing w:line="276" w:lineRule="auto"/>
              <w:jc w:val="right"/>
              <w:rPr>
                <w:b/>
                <w:sz w:val="22"/>
                <w:szCs w:val="22"/>
              </w:rPr>
            </w:pPr>
          </w:p>
        </w:tc>
        <w:tc>
          <w:tcPr>
            <w:tcW w:w="638" w:type="dxa"/>
          </w:tcPr>
          <w:p w:rsidR="000F7BF1" w:rsidRPr="00483B06" w:rsidRDefault="000F7BF1" w:rsidP="00483B06">
            <w:pPr>
              <w:spacing w:line="276" w:lineRule="auto"/>
              <w:rPr>
                <w:b/>
                <w:sz w:val="22"/>
                <w:szCs w:val="22"/>
              </w:rPr>
            </w:pPr>
          </w:p>
        </w:tc>
        <w:tc>
          <w:tcPr>
            <w:tcW w:w="996" w:type="dxa"/>
            <w:vAlign w:val="bottom"/>
          </w:tcPr>
          <w:p w:rsidR="000F7BF1" w:rsidRPr="00483B06" w:rsidRDefault="000F7BF1" w:rsidP="00483B06">
            <w:pPr>
              <w:spacing w:line="276" w:lineRule="auto"/>
              <w:jc w:val="right"/>
              <w:rPr>
                <w:b/>
                <w:sz w:val="22"/>
                <w:szCs w:val="22"/>
              </w:rPr>
            </w:pPr>
          </w:p>
        </w:tc>
        <w:tc>
          <w:tcPr>
            <w:tcW w:w="637" w:type="dxa"/>
          </w:tcPr>
          <w:p w:rsidR="000F7BF1" w:rsidRPr="00483B06" w:rsidRDefault="000F7BF1" w:rsidP="00483B06">
            <w:pPr>
              <w:spacing w:line="276" w:lineRule="auto"/>
              <w:rPr>
                <w:b/>
                <w:sz w:val="22"/>
                <w:szCs w:val="22"/>
              </w:rPr>
            </w:pPr>
          </w:p>
        </w:tc>
        <w:tc>
          <w:tcPr>
            <w:tcW w:w="1043" w:type="dxa"/>
            <w:vAlign w:val="bottom"/>
          </w:tcPr>
          <w:p w:rsidR="000F7BF1" w:rsidRPr="00483B06" w:rsidRDefault="000F7BF1" w:rsidP="00483B06">
            <w:pPr>
              <w:spacing w:line="276" w:lineRule="auto"/>
              <w:jc w:val="right"/>
              <w:rPr>
                <w:b/>
                <w:sz w:val="22"/>
                <w:szCs w:val="22"/>
              </w:rPr>
            </w:pPr>
          </w:p>
        </w:tc>
        <w:tc>
          <w:tcPr>
            <w:tcW w:w="568" w:type="dxa"/>
          </w:tcPr>
          <w:p w:rsidR="000F7BF1" w:rsidRPr="00483B06" w:rsidRDefault="000F7BF1" w:rsidP="00483B06">
            <w:pPr>
              <w:spacing w:line="276" w:lineRule="auto"/>
              <w:rPr>
                <w:b/>
                <w:sz w:val="22"/>
                <w:szCs w:val="22"/>
              </w:rPr>
            </w:pPr>
          </w:p>
        </w:tc>
      </w:tr>
      <w:tr w:rsidR="000F7BF1" w:rsidRPr="00483B06" w:rsidTr="000F7BF1">
        <w:tc>
          <w:tcPr>
            <w:tcW w:w="2609" w:type="dxa"/>
            <w:vAlign w:val="bottom"/>
          </w:tcPr>
          <w:p w:rsidR="000F7BF1" w:rsidRPr="00483B06" w:rsidRDefault="000F7BF1" w:rsidP="00483B06">
            <w:pPr>
              <w:spacing w:line="276" w:lineRule="auto"/>
              <w:rPr>
                <w:color w:val="000000"/>
                <w:sz w:val="22"/>
                <w:szCs w:val="22"/>
              </w:rPr>
            </w:pPr>
            <w:r w:rsidRPr="00483B06">
              <w:rPr>
                <w:color w:val="000000"/>
                <w:sz w:val="22"/>
                <w:szCs w:val="22"/>
              </w:rPr>
              <w:t>Unmatched</w:t>
            </w:r>
          </w:p>
        </w:tc>
        <w:tc>
          <w:tcPr>
            <w:tcW w:w="1135" w:type="dxa"/>
            <w:vAlign w:val="bottom"/>
          </w:tcPr>
          <w:p w:rsidR="000F7BF1" w:rsidRPr="00483B06" w:rsidRDefault="000F7BF1" w:rsidP="00483B06">
            <w:pPr>
              <w:spacing w:line="276" w:lineRule="auto"/>
              <w:jc w:val="right"/>
              <w:rPr>
                <w:sz w:val="22"/>
                <w:szCs w:val="22"/>
              </w:rPr>
            </w:pPr>
            <w:r w:rsidRPr="00483B06">
              <w:rPr>
                <w:color w:val="000000"/>
                <w:sz w:val="22"/>
                <w:szCs w:val="22"/>
              </w:rPr>
              <w:t>0.1232</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color w:val="000000"/>
                <w:sz w:val="22"/>
                <w:szCs w:val="22"/>
              </w:rPr>
              <w:t>0.1144</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color w:val="000000"/>
                <w:sz w:val="22"/>
                <w:szCs w:val="22"/>
              </w:rPr>
            </w:pPr>
            <w:r w:rsidRPr="00483B06">
              <w:rPr>
                <w:color w:val="000000"/>
                <w:sz w:val="22"/>
                <w:szCs w:val="22"/>
              </w:rPr>
              <w:t>0.1161</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r w:rsidRPr="00483B06">
              <w:rPr>
                <w:color w:val="000000"/>
                <w:sz w:val="22"/>
                <w:szCs w:val="22"/>
              </w:rPr>
              <w:t>0.1585</w:t>
            </w:r>
          </w:p>
        </w:tc>
        <w:tc>
          <w:tcPr>
            <w:tcW w:w="568" w:type="dxa"/>
          </w:tcPr>
          <w:p w:rsidR="000F7BF1" w:rsidRPr="00483B06" w:rsidRDefault="000F7BF1" w:rsidP="00483B06">
            <w:pPr>
              <w:spacing w:line="276" w:lineRule="auto"/>
              <w:rPr>
                <w:sz w:val="22"/>
                <w:szCs w:val="22"/>
              </w:rPr>
            </w:pPr>
            <w:r w:rsidRPr="00483B06">
              <w:rPr>
                <w:sz w:val="22"/>
                <w:szCs w:val="22"/>
              </w:rPr>
              <w:t>**</w:t>
            </w:r>
          </w:p>
        </w:tc>
      </w:tr>
      <w:tr w:rsidR="000F7BF1" w:rsidRPr="00483B06" w:rsidTr="000F7BF1">
        <w:tc>
          <w:tcPr>
            <w:tcW w:w="2609" w:type="dxa"/>
            <w:vAlign w:val="bottom"/>
          </w:tcPr>
          <w:p w:rsidR="000F7BF1" w:rsidRPr="00483B06" w:rsidRDefault="000F7BF1" w:rsidP="00483B06">
            <w:pPr>
              <w:spacing w:line="276" w:lineRule="auto"/>
              <w:rPr>
                <w:color w:val="000000"/>
                <w:sz w:val="22"/>
                <w:szCs w:val="22"/>
              </w:rPr>
            </w:pPr>
          </w:p>
        </w:tc>
        <w:tc>
          <w:tcPr>
            <w:tcW w:w="1135" w:type="dxa"/>
            <w:vAlign w:val="bottom"/>
          </w:tcPr>
          <w:p w:rsidR="000F7BF1" w:rsidRPr="00483B06" w:rsidRDefault="000F7BF1" w:rsidP="00483B06">
            <w:pPr>
              <w:spacing w:line="276" w:lineRule="auto"/>
              <w:jc w:val="right"/>
              <w:rPr>
                <w:sz w:val="22"/>
                <w:szCs w:val="22"/>
              </w:rPr>
            </w:pPr>
            <w:r w:rsidRPr="00483B06">
              <w:rPr>
                <w:color w:val="000000"/>
                <w:sz w:val="22"/>
                <w:szCs w:val="22"/>
              </w:rPr>
              <w:t>(0.0060)</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color w:val="000000"/>
                <w:sz w:val="22"/>
                <w:szCs w:val="22"/>
              </w:rPr>
              <w:t>(0.0068)</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color w:val="000000"/>
                <w:sz w:val="22"/>
                <w:szCs w:val="22"/>
              </w:rPr>
            </w:pPr>
            <w:r w:rsidRPr="00483B06">
              <w:rPr>
                <w:color w:val="000000"/>
                <w:sz w:val="22"/>
                <w:szCs w:val="22"/>
              </w:rPr>
              <w:t>(0.0063)</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color w:val="000000"/>
                <w:sz w:val="22"/>
                <w:szCs w:val="22"/>
              </w:rPr>
            </w:pPr>
            <w:r w:rsidRPr="00483B06">
              <w:rPr>
                <w:color w:val="000000"/>
                <w:sz w:val="22"/>
                <w:szCs w:val="22"/>
              </w:rPr>
              <w:t>(0.0112)</w:t>
            </w: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tcPr>
          <w:p w:rsidR="000F7BF1" w:rsidRPr="00483B06" w:rsidRDefault="000F7BF1" w:rsidP="00483B06">
            <w:pPr>
              <w:spacing w:line="276" w:lineRule="auto"/>
              <w:rPr>
                <w:color w:val="000000"/>
                <w:sz w:val="22"/>
                <w:szCs w:val="22"/>
              </w:rPr>
            </w:pPr>
            <w:r w:rsidRPr="00483B06">
              <w:rPr>
                <w:color w:val="000000"/>
                <w:sz w:val="22"/>
                <w:szCs w:val="22"/>
              </w:rPr>
              <w:t>ATT</w:t>
            </w:r>
          </w:p>
        </w:tc>
        <w:tc>
          <w:tcPr>
            <w:tcW w:w="1135" w:type="dxa"/>
            <w:vAlign w:val="bottom"/>
          </w:tcPr>
          <w:p w:rsidR="000F7BF1" w:rsidRPr="00483B06" w:rsidRDefault="000F7BF1" w:rsidP="00483B06">
            <w:pPr>
              <w:spacing w:line="276" w:lineRule="auto"/>
              <w:jc w:val="right"/>
              <w:rPr>
                <w:sz w:val="22"/>
                <w:szCs w:val="22"/>
              </w:rPr>
            </w:pPr>
            <w:r w:rsidRPr="00483B06">
              <w:rPr>
                <w:color w:val="000000"/>
                <w:sz w:val="22"/>
                <w:szCs w:val="22"/>
              </w:rPr>
              <w:t>0.1232</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color w:val="000000"/>
                <w:sz w:val="22"/>
                <w:szCs w:val="22"/>
              </w:rPr>
              <w:t>0.1144</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color w:val="000000"/>
                <w:sz w:val="22"/>
                <w:szCs w:val="22"/>
              </w:rPr>
            </w:pPr>
            <w:r w:rsidRPr="00483B06">
              <w:rPr>
                <w:color w:val="000000"/>
                <w:sz w:val="22"/>
                <w:szCs w:val="22"/>
              </w:rPr>
              <w:t>0.1161</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r w:rsidRPr="00483B06">
              <w:rPr>
                <w:color w:val="000000"/>
                <w:sz w:val="22"/>
                <w:szCs w:val="22"/>
              </w:rPr>
              <w:t>0.1134</w:t>
            </w: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tcPr>
          <w:p w:rsidR="000F7BF1" w:rsidRPr="00483B06" w:rsidRDefault="000F7BF1" w:rsidP="00483B06">
            <w:pPr>
              <w:spacing w:line="276" w:lineRule="auto"/>
              <w:rPr>
                <w:color w:val="000000"/>
                <w:sz w:val="22"/>
                <w:szCs w:val="22"/>
              </w:rPr>
            </w:pPr>
          </w:p>
        </w:tc>
        <w:tc>
          <w:tcPr>
            <w:tcW w:w="1135" w:type="dxa"/>
            <w:vAlign w:val="bottom"/>
          </w:tcPr>
          <w:p w:rsidR="000F7BF1" w:rsidRPr="00483B06" w:rsidRDefault="000F7BF1" w:rsidP="00483B06">
            <w:pPr>
              <w:spacing w:line="276" w:lineRule="auto"/>
              <w:jc w:val="right"/>
              <w:rPr>
                <w:sz w:val="22"/>
                <w:szCs w:val="22"/>
              </w:rPr>
            </w:pPr>
            <w:r w:rsidRPr="00483B06">
              <w:rPr>
                <w:color w:val="000000"/>
                <w:sz w:val="22"/>
                <w:szCs w:val="22"/>
              </w:rPr>
              <w:t>(0.0073)</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color w:val="000000"/>
                <w:sz w:val="22"/>
                <w:szCs w:val="22"/>
              </w:rPr>
              <w:t>(0.0062)</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r w:rsidRPr="00483B06">
              <w:rPr>
                <w:color w:val="000000"/>
                <w:sz w:val="22"/>
                <w:szCs w:val="22"/>
              </w:rPr>
              <w:t>(0.0057)</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r w:rsidRPr="00483B06">
              <w:rPr>
                <w:color w:val="000000"/>
                <w:sz w:val="22"/>
                <w:szCs w:val="22"/>
              </w:rPr>
              <w:t>(0.0393)</w:t>
            </w: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tcPr>
          <w:p w:rsidR="000F7BF1" w:rsidRPr="00483B06" w:rsidRDefault="000F7BF1" w:rsidP="00483B06">
            <w:pPr>
              <w:spacing w:line="276" w:lineRule="auto"/>
              <w:rPr>
                <w:color w:val="000000"/>
                <w:sz w:val="22"/>
                <w:szCs w:val="22"/>
              </w:rPr>
            </w:pPr>
          </w:p>
        </w:tc>
        <w:tc>
          <w:tcPr>
            <w:tcW w:w="1135" w:type="dxa"/>
            <w:vAlign w:val="bottom"/>
          </w:tcPr>
          <w:p w:rsidR="000F7BF1" w:rsidRPr="00483B06" w:rsidRDefault="000F7BF1" w:rsidP="00483B06">
            <w:pPr>
              <w:spacing w:line="276" w:lineRule="auto"/>
              <w:jc w:val="right"/>
              <w:rPr>
                <w:sz w:val="22"/>
                <w:szCs w:val="22"/>
              </w:rPr>
            </w:pP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p>
        </w:tc>
        <w:tc>
          <w:tcPr>
            <w:tcW w:w="568" w:type="dxa"/>
          </w:tcPr>
          <w:p w:rsidR="000F7BF1" w:rsidRPr="00483B06" w:rsidRDefault="000F7BF1" w:rsidP="00483B06">
            <w:pPr>
              <w:spacing w:line="276" w:lineRule="auto"/>
              <w:rPr>
                <w:sz w:val="22"/>
                <w:szCs w:val="22"/>
              </w:rPr>
            </w:pPr>
          </w:p>
        </w:tc>
      </w:tr>
      <w:tr w:rsidR="000F7BF1" w:rsidRPr="00483B06" w:rsidTr="000F7BF1">
        <w:tc>
          <w:tcPr>
            <w:tcW w:w="2609" w:type="dxa"/>
            <w:vAlign w:val="bottom"/>
          </w:tcPr>
          <w:p w:rsidR="000F7BF1" w:rsidRPr="00483B06" w:rsidRDefault="000F7BF1" w:rsidP="00483B06">
            <w:pPr>
              <w:spacing w:line="276" w:lineRule="auto"/>
              <w:rPr>
                <w:sz w:val="22"/>
                <w:szCs w:val="22"/>
              </w:rPr>
            </w:pPr>
            <w:r w:rsidRPr="00483B06">
              <w:rPr>
                <w:sz w:val="22"/>
                <w:szCs w:val="22"/>
              </w:rPr>
              <w:t>Number of observations</w:t>
            </w:r>
          </w:p>
        </w:tc>
        <w:tc>
          <w:tcPr>
            <w:tcW w:w="1135" w:type="dxa"/>
            <w:vAlign w:val="bottom"/>
          </w:tcPr>
          <w:p w:rsidR="000F7BF1" w:rsidRPr="00483B06" w:rsidRDefault="000F7BF1" w:rsidP="00483B06">
            <w:pPr>
              <w:spacing w:line="276" w:lineRule="auto"/>
              <w:jc w:val="right"/>
              <w:rPr>
                <w:sz w:val="22"/>
                <w:szCs w:val="22"/>
              </w:rPr>
            </w:pPr>
            <w:r w:rsidRPr="00483B06">
              <w:rPr>
                <w:sz w:val="22"/>
                <w:szCs w:val="22"/>
              </w:rPr>
              <w:t>2666</w:t>
            </w:r>
          </w:p>
        </w:tc>
        <w:tc>
          <w:tcPr>
            <w:tcW w:w="655" w:type="dxa"/>
          </w:tcPr>
          <w:p w:rsidR="000F7BF1" w:rsidRPr="00483B06" w:rsidRDefault="000F7BF1" w:rsidP="00483B06">
            <w:pPr>
              <w:spacing w:line="276" w:lineRule="auto"/>
              <w:rPr>
                <w:sz w:val="22"/>
                <w:szCs w:val="22"/>
              </w:rPr>
            </w:pPr>
          </w:p>
        </w:tc>
        <w:tc>
          <w:tcPr>
            <w:tcW w:w="1071" w:type="dxa"/>
            <w:vAlign w:val="bottom"/>
          </w:tcPr>
          <w:p w:rsidR="000F7BF1" w:rsidRPr="00483B06" w:rsidRDefault="000F7BF1" w:rsidP="00483B06">
            <w:pPr>
              <w:spacing w:line="276" w:lineRule="auto"/>
              <w:jc w:val="right"/>
              <w:rPr>
                <w:sz w:val="22"/>
                <w:szCs w:val="22"/>
              </w:rPr>
            </w:pPr>
            <w:r w:rsidRPr="00483B06">
              <w:rPr>
                <w:sz w:val="22"/>
                <w:szCs w:val="22"/>
              </w:rPr>
              <w:t>2666</w:t>
            </w:r>
          </w:p>
        </w:tc>
        <w:tc>
          <w:tcPr>
            <w:tcW w:w="638" w:type="dxa"/>
          </w:tcPr>
          <w:p w:rsidR="000F7BF1" w:rsidRPr="00483B06" w:rsidRDefault="000F7BF1" w:rsidP="00483B06">
            <w:pPr>
              <w:spacing w:line="276" w:lineRule="auto"/>
              <w:rPr>
                <w:sz w:val="22"/>
                <w:szCs w:val="22"/>
              </w:rPr>
            </w:pPr>
          </w:p>
        </w:tc>
        <w:tc>
          <w:tcPr>
            <w:tcW w:w="996" w:type="dxa"/>
            <w:vAlign w:val="bottom"/>
          </w:tcPr>
          <w:p w:rsidR="000F7BF1" w:rsidRPr="00483B06" w:rsidRDefault="000F7BF1" w:rsidP="00483B06">
            <w:pPr>
              <w:spacing w:line="276" w:lineRule="auto"/>
              <w:jc w:val="right"/>
              <w:rPr>
                <w:sz w:val="22"/>
                <w:szCs w:val="22"/>
              </w:rPr>
            </w:pPr>
            <w:r w:rsidRPr="00483B06">
              <w:rPr>
                <w:sz w:val="22"/>
                <w:szCs w:val="22"/>
              </w:rPr>
              <w:t>2666</w:t>
            </w:r>
          </w:p>
        </w:tc>
        <w:tc>
          <w:tcPr>
            <w:tcW w:w="637" w:type="dxa"/>
          </w:tcPr>
          <w:p w:rsidR="000F7BF1" w:rsidRPr="00483B06" w:rsidRDefault="000F7BF1" w:rsidP="00483B06">
            <w:pPr>
              <w:spacing w:line="276" w:lineRule="auto"/>
              <w:rPr>
                <w:sz w:val="22"/>
                <w:szCs w:val="22"/>
              </w:rPr>
            </w:pPr>
          </w:p>
        </w:tc>
        <w:tc>
          <w:tcPr>
            <w:tcW w:w="1043" w:type="dxa"/>
            <w:vAlign w:val="bottom"/>
          </w:tcPr>
          <w:p w:rsidR="000F7BF1" w:rsidRPr="00483B06" w:rsidRDefault="000F7BF1" w:rsidP="00483B06">
            <w:pPr>
              <w:spacing w:line="276" w:lineRule="auto"/>
              <w:jc w:val="right"/>
              <w:rPr>
                <w:sz w:val="22"/>
                <w:szCs w:val="22"/>
              </w:rPr>
            </w:pPr>
            <w:r w:rsidRPr="00483B06">
              <w:rPr>
                <w:sz w:val="22"/>
                <w:szCs w:val="22"/>
              </w:rPr>
              <w:t>2666</w:t>
            </w:r>
          </w:p>
        </w:tc>
        <w:tc>
          <w:tcPr>
            <w:tcW w:w="568" w:type="dxa"/>
          </w:tcPr>
          <w:p w:rsidR="000F7BF1" w:rsidRPr="00483B06" w:rsidRDefault="000F7BF1" w:rsidP="00483B06">
            <w:pPr>
              <w:spacing w:line="276" w:lineRule="auto"/>
              <w:rPr>
                <w:sz w:val="22"/>
                <w:szCs w:val="22"/>
              </w:rPr>
            </w:pPr>
          </w:p>
        </w:tc>
      </w:tr>
    </w:tbl>
    <w:p w:rsidR="000F7BF1" w:rsidRPr="00483B06" w:rsidRDefault="00CF06B7" w:rsidP="00483B06">
      <w:pPr>
        <w:spacing w:line="276" w:lineRule="auto"/>
        <w:jc w:val="both"/>
        <w:rPr>
          <w:sz w:val="22"/>
          <w:szCs w:val="22"/>
        </w:rPr>
      </w:pPr>
      <w:r w:rsidRPr="00483B06">
        <w:rPr>
          <w:sz w:val="22"/>
          <w:szCs w:val="22"/>
        </w:rPr>
        <w:t xml:space="preserve">* PE stands for Profit </w:t>
      </w:r>
      <w:r w:rsidR="00807A4E" w:rsidRPr="00483B06">
        <w:rPr>
          <w:sz w:val="22"/>
          <w:szCs w:val="22"/>
        </w:rPr>
        <w:t>Efficiency ** p&lt;.01, * p&lt;.05</w:t>
      </w:r>
    </w:p>
    <w:p w:rsidR="00800510" w:rsidRPr="00483B06" w:rsidRDefault="00800510" w:rsidP="00483B06">
      <w:pPr>
        <w:spacing w:line="276" w:lineRule="auto"/>
        <w:jc w:val="both"/>
        <w:rPr>
          <w:b/>
          <w:i/>
          <w:sz w:val="22"/>
          <w:szCs w:val="22"/>
        </w:rPr>
      </w:pPr>
    </w:p>
    <w:p w:rsidR="00D17D40" w:rsidRPr="00746D97" w:rsidRDefault="00DD39B3" w:rsidP="00746D97">
      <w:pPr>
        <w:spacing w:line="360" w:lineRule="auto"/>
        <w:jc w:val="both"/>
        <w:rPr>
          <w:b/>
          <w:i/>
        </w:rPr>
      </w:pPr>
      <w:r w:rsidRPr="00746D97">
        <w:rPr>
          <w:b/>
          <w:i/>
        </w:rPr>
        <w:t>4.3</w:t>
      </w:r>
      <w:r w:rsidR="00D17D40" w:rsidRPr="00746D97">
        <w:rPr>
          <w:b/>
          <w:i/>
        </w:rPr>
        <w:tab/>
        <w:t>Robustness checks</w:t>
      </w:r>
    </w:p>
    <w:p w:rsidR="00D17D40" w:rsidRPr="00746D97" w:rsidRDefault="00150002" w:rsidP="00746D97">
      <w:pPr>
        <w:spacing w:before="240" w:after="240" w:line="360" w:lineRule="auto"/>
        <w:jc w:val="both"/>
      </w:pPr>
      <w:r>
        <w:rPr>
          <w:b/>
        </w:rPr>
        <w:t>Table 4</w:t>
      </w:r>
      <w:r w:rsidR="00C04D5E" w:rsidRPr="00746D97">
        <w:rPr>
          <w:b/>
        </w:rPr>
        <w:t xml:space="preserve"> </w:t>
      </w:r>
      <w:r w:rsidR="00C04D5E" w:rsidRPr="00746D97">
        <w:t xml:space="preserve">indicates that the financial services utilization coefficient was consistently considered statistically insignificant, implying no treatment effects when selection bias is not adequately addressed in the OLS and Tobit models. For example, financial service utilization did not positively influence profit efficiency in the OLS and Tobit models (β = 0.003 and 0.004 with SE = 0.006 for both), demonstrating a lack of impact (see </w:t>
      </w:r>
      <w:r w:rsidR="00C04D5E" w:rsidRPr="00746D97">
        <w:rPr>
          <w:b/>
        </w:rPr>
        <w:t>appendices 7-8</w:t>
      </w:r>
      <w:r w:rsidR="00C04D5E" w:rsidRPr="00746D97">
        <w:t xml:space="preserve">). Unlike other models, the ESR model approaches financial inclusion decisions uniquely by simultaneously considering </w:t>
      </w:r>
      <w:r w:rsidR="00C04D5E" w:rsidRPr="00746D97">
        <w:lastRenderedPageBreak/>
        <w:t xml:space="preserve">participation and outcome equations. This method </w:t>
      </w:r>
      <w:r w:rsidR="00393CB8">
        <w:t>excludes</w:t>
      </w:r>
      <w:r w:rsidR="00C04D5E" w:rsidRPr="00746D97">
        <w:t xml:space="preserve"> unobserved latent differences within a population and assumes that error terms are random and correlated (Lokshin &amp; Sajaia, 2004; Di Falco, Veronesi, &amp; Yesuf, 2011). The results of ESR also revealed significant variations in the effects of treatments on profit efficiency among firms utilizing insured and banking services, which experienced substantial gains. These gains were obscured in the OLS single-equation system and Tobit models due to their failure to account for treatment effect heterogeneity and selection biases, thus limiting their applicability (Maddala, 1983; Wooldridge, 2010). Simpler models can serve as helpful benchmarks, but the lack of consideration for unobservable selection may lead to biased treatment effects. By relying on the unrestricted ESR model, the framework offers a more appropriate strategy for estimating the complex impacts that financial services uptake has on MSMEs’ productivity in Malawi.</w:t>
      </w:r>
    </w:p>
    <w:p w:rsidR="00750F56" w:rsidRPr="00746D97" w:rsidRDefault="00D17D40" w:rsidP="00746D97">
      <w:pPr>
        <w:spacing w:before="240" w:after="240" w:line="360" w:lineRule="auto"/>
        <w:jc w:val="both"/>
      </w:pPr>
      <w:r w:rsidRPr="00746D97">
        <w:t>The results of the PSM model (</w:t>
      </w:r>
      <w:r w:rsidR="00150002">
        <w:rPr>
          <w:b/>
        </w:rPr>
        <w:t>Table 4</w:t>
      </w:r>
      <w:r w:rsidRPr="00746D97">
        <w:rPr>
          <w:b/>
        </w:rPr>
        <w:t>),</w:t>
      </w:r>
      <w:r w:rsidRPr="00746D97">
        <w:t xml:space="preserve"> which provides a robustness check for the effects of financial services uptake on firm profit efficiency, show that for most categories, the ATT estimates are statistically insignificant because of extremely low in t-values (e.g., FSU: t = 1.46; credit: t = 0.51; savings: t = 0.17; insurance: t = 1.15)</w:t>
      </w:r>
      <w:r w:rsidR="006B4B65" w:rsidRPr="00746D97">
        <w:t xml:space="preserve"> (</w:t>
      </w:r>
      <w:r w:rsidR="00750F56" w:rsidRPr="00746D97">
        <w:rPr>
          <w:b/>
        </w:rPr>
        <w:t xml:space="preserve">Appendix </w:t>
      </w:r>
      <w:r w:rsidR="00C04D5E" w:rsidRPr="00746D97">
        <w:rPr>
          <w:b/>
        </w:rPr>
        <w:t>6</w:t>
      </w:r>
      <w:r w:rsidR="006B4B65" w:rsidRPr="00746D97">
        <w:t>)</w:t>
      </w:r>
      <w:r w:rsidRPr="00746D97">
        <w:t>. These estimates indicate no substantial evidence that firms' profit efficiency improved with the uptake of financial services after matching</w:t>
      </w:r>
      <w:r w:rsidR="007B0130" w:rsidRPr="00746D97">
        <w:t xml:space="preserve"> (</w:t>
      </w:r>
      <w:r w:rsidR="007B0130" w:rsidRPr="00746D97">
        <w:rPr>
          <w:b/>
        </w:rPr>
        <w:t>Appendices 3-4</w:t>
      </w:r>
      <w:r w:rsidR="007B0130" w:rsidRPr="00746D97">
        <w:t>)</w:t>
      </w:r>
      <w:r w:rsidRPr="00746D97">
        <w:t xml:space="preserve">. However, these findings sharply contrast with the results from the ESR model, our main specification, where all other financial services, except for insurance, were found to have statistically significant positive impacts on efficiency (FSU: 0.239, p&lt;.01; credit: 0.267, p&lt;.01; savings: 0.246, p&lt;.01). This discrepancy indicates that while PSM adjusts for only observable confounders (Rosenbaum &amp; Rubin, 1983), the ESR model accounts for both unobservable and observable heterogeneity (Lokshin &amp; Sajaia, 2004), such as entrepreneurial or financial skills. That suggests that firms engaging with financial services may possess unexplained factors that PSM does not account for. </w:t>
      </w:r>
    </w:p>
    <w:p w:rsidR="005033DC" w:rsidRPr="00746D97" w:rsidRDefault="00DD39B3" w:rsidP="00746D97">
      <w:pPr>
        <w:spacing w:before="240" w:after="240" w:line="360" w:lineRule="auto"/>
        <w:jc w:val="both"/>
      </w:pPr>
      <w:r w:rsidRPr="00746D97">
        <w:rPr>
          <w:b/>
          <w:i/>
        </w:rPr>
        <w:t>4.4</w:t>
      </w:r>
      <w:r w:rsidR="005033DC" w:rsidRPr="00746D97">
        <w:rPr>
          <w:b/>
          <w:i/>
        </w:rPr>
        <w:tab/>
        <w:t>Instruments validity</w:t>
      </w:r>
    </w:p>
    <w:p w:rsidR="008417A7" w:rsidRPr="00746D97" w:rsidRDefault="00150002" w:rsidP="00746D97">
      <w:pPr>
        <w:spacing w:before="240" w:line="360" w:lineRule="auto"/>
        <w:jc w:val="both"/>
        <w:rPr>
          <w:shd w:val="clear" w:color="auto" w:fill="FFFFFF"/>
        </w:rPr>
      </w:pPr>
      <w:r>
        <w:rPr>
          <w:b/>
          <w:shd w:val="clear" w:color="auto" w:fill="FFFFFF"/>
        </w:rPr>
        <w:t>Table 5</w:t>
      </w:r>
      <w:r w:rsidR="00133738" w:rsidRPr="00746D97">
        <w:rPr>
          <w:shd w:val="clear" w:color="auto" w:fill="FFFFFF"/>
        </w:rPr>
        <w:t xml:space="preserve"> indicates that the uptake of financial services shows significant selection bias, as evidenced by athrho of -0.975 (p&lt;0.01), which justifies the use of ESR (Lokshin &amp; Sajaia, 2004). Rho values reflect the negative relationship and correlation of unobservable factors influencing selection and outcome. This indicates that the effect of financial services on profit efficiency would </w:t>
      </w:r>
      <w:r w:rsidR="00133738" w:rsidRPr="00746D97">
        <w:rPr>
          <w:shd w:val="clear" w:color="auto" w:fill="FFFFFF"/>
        </w:rPr>
        <w:lastRenderedPageBreak/>
        <w:t>be inaccurately estimated if the bias is not addressed. Lambda, or the Inverse Mills Ratio, captures the expected value of the selection bias term, and its significance further reinforces the necessity of controlling for endogeneity stemming from non-random participation (Maddala, 1983).</w:t>
      </w:r>
    </w:p>
    <w:p w:rsidR="008417A7" w:rsidRPr="00746D97" w:rsidRDefault="008417A7" w:rsidP="00746D97">
      <w:pPr>
        <w:spacing w:before="240" w:line="360" w:lineRule="auto"/>
        <w:jc w:val="both"/>
        <w:rPr>
          <w:shd w:val="clear" w:color="auto" w:fill="FFFFFF"/>
        </w:rPr>
      </w:pPr>
      <w:r w:rsidRPr="00746D97">
        <w:rPr>
          <w:shd w:val="clear" w:color="auto" w:fill="FFFFFF"/>
        </w:rPr>
        <w:t>The lnsigma and sigma parameters represent the standard deviation of residuals in the outcome equations</w:t>
      </w:r>
      <w:r w:rsidR="000F6BA5" w:rsidRPr="00746D97">
        <w:rPr>
          <w:shd w:val="clear" w:color="auto" w:fill="FFFFFF"/>
        </w:rPr>
        <w:t xml:space="preserve"> </w:t>
      </w:r>
      <w:r w:rsidR="00150002">
        <w:rPr>
          <w:b/>
          <w:shd w:val="clear" w:color="auto" w:fill="FFFFFF"/>
        </w:rPr>
        <w:t>(Table 5</w:t>
      </w:r>
      <w:r w:rsidR="000F6BA5" w:rsidRPr="00746D97">
        <w:rPr>
          <w:shd w:val="clear" w:color="auto" w:fill="FFFFFF"/>
        </w:rPr>
        <w:t>)</w:t>
      </w:r>
      <w:r w:rsidRPr="00746D97">
        <w:rPr>
          <w:shd w:val="clear" w:color="auto" w:fill="FFFFFF"/>
        </w:rPr>
        <w:t xml:space="preserve">. Their significance indicates model precision while highlighting that the lnsigma values were also significantly estimated (all p &lt; .01). The sigma values, such as 0.197 for financial services uptake, provide insight into the variability of efficiency scores after selection correction. However, the significance of athrho and lambda sustains the ESR structure, confirming the argument for the relevance of exclusion restrictions or instruments. The </w:t>
      </w:r>
      <w:r w:rsidRPr="00746D97">
        <w:rPr>
          <w:i/>
          <w:shd w:val="clear" w:color="auto" w:fill="FFFFFF"/>
        </w:rPr>
        <w:t>business network, internet access, and keeping financial records</w:t>
      </w:r>
      <w:r w:rsidRPr="00746D97">
        <w:rPr>
          <w:shd w:val="clear" w:color="auto" w:fill="FFFFFF"/>
        </w:rPr>
        <w:t xml:space="preserve"> are significant predic</w:t>
      </w:r>
      <w:r w:rsidR="00585E4B" w:rsidRPr="00746D97">
        <w:rPr>
          <w:shd w:val="clear" w:color="auto" w:fill="FFFFFF"/>
        </w:rPr>
        <w:t>tors of the selection equation</w:t>
      </w:r>
      <w:r w:rsidRPr="00746D97">
        <w:rPr>
          <w:shd w:val="clear" w:color="auto" w:fill="FFFFFF"/>
        </w:rPr>
        <w:t>. They are un</w:t>
      </w:r>
      <w:r w:rsidR="00585E4B" w:rsidRPr="00746D97">
        <w:rPr>
          <w:shd w:val="clear" w:color="auto" w:fill="FFFFFF"/>
        </w:rPr>
        <w:t>correlated with</w:t>
      </w:r>
      <w:r w:rsidRPr="00746D97">
        <w:rPr>
          <w:shd w:val="clear" w:color="auto" w:fill="FFFFFF"/>
        </w:rPr>
        <w:t xml:space="preserve"> other key predictors in the outcome</w:t>
      </w:r>
      <w:r w:rsidR="00585E4B" w:rsidRPr="00746D97">
        <w:rPr>
          <w:shd w:val="clear" w:color="auto" w:fill="FFFFFF"/>
        </w:rPr>
        <w:t xml:space="preserve"> equation</w:t>
      </w:r>
      <w:r w:rsidRPr="00746D97">
        <w:rPr>
          <w:shd w:val="clear" w:color="auto" w:fill="FFFFFF"/>
        </w:rPr>
        <w:t>, such as SMED helped or business years, which allows them to attain and directly influence efficiency scores, thus meeting the exogeneity criteria (Wooldridge, 2010; Di Falco et al., 2011). These instrument behaviors strengthen the defense for the relationship between financial service uptake and firm efficiency by clarifying the effects of financial service uptake on firm efficiency.</w:t>
      </w:r>
    </w:p>
    <w:p w:rsidR="000B59FE" w:rsidRPr="00483B06" w:rsidRDefault="000B59FE" w:rsidP="00483B06">
      <w:pPr>
        <w:spacing w:line="276" w:lineRule="auto"/>
        <w:jc w:val="both"/>
        <w:rPr>
          <w:b/>
          <w:sz w:val="22"/>
          <w:szCs w:val="22"/>
        </w:rPr>
      </w:pPr>
    </w:p>
    <w:p w:rsidR="001D492C" w:rsidRPr="00483B06" w:rsidRDefault="00F56CFD" w:rsidP="00483B06">
      <w:pPr>
        <w:spacing w:line="276" w:lineRule="auto"/>
        <w:jc w:val="both"/>
        <w:rPr>
          <w:sz w:val="22"/>
          <w:szCs w:val="22"/>
        </w:rPr>
      </w:pPr>
      <w:r w:rsidRPr="00483B06">
        <w:rPr>
          <w:b/>
          <w:sz w:val="22"/>
          <w:szCs w:val="22"/>
        </w:rPr>
        <w:t>Table</w:t>
      </w:r>
      <w:r w:rsidR="000B59FE" w:rsidRPr="00483B06">
        <w:rPr>
          <w:b/>
          <w:sz w:val="22"/>
          <w:szCs w:val="22"/>
        </w:rPr>
        <w:t xml:space="preserve"> </w:t>
      </w:r>
      <w:r w:rsidR="00150002">
        <w:rPr>
          <w:b/>
          <w:sz w:val="22"/>
          <w:szCs w:val="22"/>
        </w:rPr>
        <w:t>5</w:t>
      </w:r>
      <w:r w:rsidR="000B59FE" w:rsidRPr="00483B06">
        <w:rPr>
          <w:b/>
          <w:sz w:val="22"/>
          <w:szCs w:val="22"/>
        </w:rPr>
        <w:t>.</w:t>
      </w:r>
      <w:r w:rsidR="000B59FE" w:rsidRPr="00483B06">
        <w:rPr>
          <w:sz w:val="22"/>
          <w:szCs w:val="22"/>
        </w:rPr>
        <w:t xml:space="preserve"> Results of the Endogenous Switching Regression Model.</w:t>
      </w:r>
    </w:p>
    <w:tbl>
      <w:tblPr>
        <w:tblStyle w:val="TableGrid"/>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940"/>
        <w:gridCol w:w="787"/>
        <w:gridCol w:w="940"/>
        <w:gridCol w:w="787"/>
        <w:gridCol w:w="940"/>
        <w:gridCol w:w="787"/>
        <w:gridCol w:w="940"/>
        <w:gridCol w:w="787"/>
      </w:tblGrid>
      <w:tr w:rsidR="001D492C" w:rsidRPr="00483B06" w:rsidTr="00C928D0">
        <w:trPr>
          <w:tblHeader/>
        </w:trPr>
        <w:tc>
          <w:tcPr>
            <w:tcW w:w="2442" w:type="dxa"/>
            <w:tcBorders>
              <w:top w:val="single" w:sz="4" w:space="0" w:color="auto"/>
              <w:bottom w:val="single" w:sz="4" w:space="0" w:color="auto"/>
            </w:tcBorders>
            <w:vAlign w:val="center"/>
          </w:tcPr>
          <w:p w:rsidR="001D492C" w:rsidRPr="00483B06" w:rsidRDefault="001D492C" w:rsidP="00483B06">
            <w:pPr>
              <w:spacing w:line="276" w:lineRule="auto"/>
              <w:rPr>
                <w:b/>
                <w:sz w:val="22"/>
                <w:szCs w:val="22"/>
              </w:rPr>
            </w:pPr>
            <w:r w:rsidRPr="00483B06">
              <w:rPr>
                <w:b/>
                <w:sz w:val="22"/>
                <w:szCs w:val="22"/>
              </w:rPr>
              <w:t>Variables</w:t>
            </w:r>
          </w:p>
        </w:tc>
        <w:tc>
          <w:tcPr>
            <w:tcW w:w="1727" w:type="dxa"/>
            <w:gridSpan w:val="2"/>
            <w:tcBorders>
              <w:top w:val="single" w:sz="4" w:space="0" w:color="auto"/>
              <w:bottom w:val="single" w:sz="4" w:space="0" w:color="auto"/>
            </w:tcBorders>
            <w:vAlign w:val="center"/>
            <w:hideMark/>
          </w:tcPr>
          <w:p w:rsidR="001D492C" w:rsidRPr="00483B06" w:rsidRDefault="00C9693E" w:rsidP="00483B06">
            <w:pPr>
              <w:spacing w:line="276" w:lineRule="auto"/>
              <w:jc w:val="center"/>
              <w:rPr>
                <w:b/>
                <w:sz w:val="22"/>
                <w:szCs w:val="22"/>
              </w:rPr>
            </w:pPr>
            <w:r w:rsidRPr="00483B06">
              <w:rPr>
                <w:b/>
                <w:sz w:val="22"/>
                <w:szCs w:val="22"/>
              </w:rPr>
              <w:t xml:space="preserve">PE </w:t>
            </w:r>
            <w:r w:rsidR="001D492C" w:rsidRPr="00483B06">
              <w:rPr>
                <w:b/>
                <w:sz w:val="22"/>
                <w:szCs w:val="22"/>
              </w:rPr>
              <w:t xml:space="preserve">scores vs </w:t>
            </w:r>
            <w:r w:rsidRPr="00483B06">
              <w:rPr>
                <w:b/>
                <w:sz w:val="22"/>
                <w:szCs w:val="22"/>
              </w:rPr>
              <w:t>FSU</w:t>
            </w:r>
          </w:p>
        </w:tc>
        <w:tc>
          <w:tcPr>
            <w:tcW w:w="1727" w:type="dxa"/>
            <w:gridSpan w:val="2"/>
            <w:tcBorders>
              <w:top w:val="single" w:sz="4" w:space="0" w:color="auto"/>
              <w:bottom w:val="single" w:sz="4" w:space="0" w:color="auto"/>
            </w:tcBorders>
            <w:vAlign w:val="center"/>
            <w:hideMark/>
          </w:tcPr>
          <w:p w:rsidR="001D492C" w:rsidRPr="00483B06" w:rsidRDefault="00C9693E" w:rsidP="00483B06">
            <w:pPr>
              <w:spacing w:line="276" w:lineRule="auto"/>
              <w:jc w:val="center"/>
              <w:rPr>
                <w:b/>
                <w:sz w:val="22"/>
                <w:szCs w:val="22"/>
              </w:rPr>
            </w:pPr>
            <w:r w:rsidRPr="00483B06">
              <w:rPr>
                <w:b/>
                <w:sz w:val="22"/>
                <w:szCs w:val="22"/>
              </w:rPr>
              <w:t xml:space="preserve">PE scores vs Credit </w:t>
            </w:r>
          </w:p>
        </w:tc>
        <w:tc>
          <w:tcPr>
            <w:tcW w:w="1727" w:type="dxa"/>
            <w:gridSpan w:val="2"/>
            <w:tcBorders>
              <w:top w:val="single" w:sz="4" w:space="0" w:color="auto"/>
              <w:bottom w:val="single" w:sz="4" w:space="0" w:color="auto"/>
            </w:tcBorders>
            <w:vAlign w:val="center"/>
            <w:hideMark/>
          </w:tcPr>
          <w:p w:rsidR="001D492C" w:rsidRPr="00483B06" w:rsidRDefault="00C9693E" w:rsidP="00483B06">
            <w:pPr>
              <w:spacing w:line="276" w:lineRule="auto"/>
              <w:jc w:val="center"/>
              <w:rPr>
                <w:b/>
                <w:sz w:val="22"/>
                <w:szCs w:val="22"/>
              </w:rPr>
            </w:pPr>
            <w:r w:rsidRPr="00483B06">
              <w:rPr>
                <w:b/>
                <w:sz w:val="22"/>
                <w:szCs w:val="22"/>
              </w:rPr>
              <w:t xml:space="preserve">PE scores vs Savings </w:t>
            </w:r>
          </w:p>
        </w:tc>
        <w:tc>
          <w:tcPr>
            <w:tcW w:w="1727" w:type="dxa"/>
            <w:gridSpan w:val="2"/>
            <w:tcBorders>
              <w:top w:val="single" w:sz="4" w:space="0" w:color="auto"/>
              <w:bottom w:val="single" w:sz="4" w:space="0" w:color="auto"/>
            </w:tcBorders>
            <w:vAlign w:val="center"/>
            <w:hideMark/>
          </w:tcPr>
          <w:p w:rsidR="001D492C" w:rsidRPr="00483B06" w:rsidRDefault="00C9693E" w:rsidP="00483B06">
            <w:pPr>
              <w:spacing w:line="276" w:lineRule="auto"/>
              <w:jc w:val="center"/>
              <w:rPr>
                <w:b/>
                <w:sz w:val="22"/>
                <w:szCs w:val="22"/>
              </w:rPr>
            </w:pPr>
            <w:r w:rsidRPr="00483B06">
              <w:rPr>
                <w:b/>
                <w:sz w:val="22"/>
                <w:szCs w:val="22"/>
              </w:rPr>
              <w:t>PE</w:t>
            </w:r>
            <w:r w:rsidR="001D492C" w:rsidRPr="00483B06">
              <w:rPr>
                <w:b/>
                <w:sz w:val="22"/>
                <w:szCs w:val="22"/>
              </w:rPr>
              <w:t xml:space="preserve"> scores vs Insurance</w:t>
            </w:r>
          </w:p>
        </w:tc>
      </w:tr>
      <w:tr w:rsidR="001D492C" w:rsidRPr="00483B06" w:rsidTr="00C928D0">
        <w:tc>
          <w:tcPr>
            <w:tcW w:w="2442" w:type="dxa"/>
            <w:tcBorders>
              <w:top w:val="single" w:sz="4" w:space="0" w:color="auto"/>
            </w:tcBorders>
            <w:vAlign w:val="bottom"/>
            <w:hideMark/>
          </w:tcPr>
          <w:p w:rsidR="001D492C" w:rsidRPr="00483B06" w:rsidRDefault="001D492C" w:rsidP="00483B06">
            <w:pPr>
              <w:spacing w:line="276" w:lineRule="auto"/>
              <w:rPr>
                <w:sz w:val="22"/>
                <w:szCs w:val="22"/>
              </w:rPr>
            </w:pPr>
            <w:r w:rsidRPr="00483B06">
              <w:rPr>
                <w:sz w:val="22"/>
                <w:szCs w:val="22"/>
              </w:rPr>
              <w:t>SMED helped</w:t>
            </w:r>
          </w:p>
        </w:tc>
        <w:tc>
          <w:tcPr>
            <w:tcW w:w="940" w:type="dxa"/>
            <w:tcBorders>
              <w:top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0.101</w:t>
            </w:r>
          </w:p>
        </w:tc>
        <w:tc>
          <w:tcPr>
            <w:tcW w:w="787" w:type="dxa"/>
            <w:tcBorders>
              <w:top w:val="single" w:sz="4" w:space="0" w:color="auto"/>
            </w:tcBorders>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tcBorders>
              <w:top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0.106</w:t>
            </w:r>
          </w:p>
        </w:tc>
        <w:tc>
          <w:tcPr>
            <w:tcW w:w="787" w:type="dxa"/>
            <w:tcBorders>
              <w:top w:val="single" w:sz="4" w:space="0" w:color="auto"/>
            </w:tcBorders>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tcBorders>
              <w:top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0.102</w:t>
            </w:r>
          </w:p>
        </w:tc>
        <w:tc>
          <w:tcPr>
            <w:tcW w:w="787" w:type="dxa"/>
            <w:tcBorders>
              <w:top w:val="single" w:sz="4" w:space="0" w:color="auto"/>
            </w:tcBorders>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tcBorders>
              <w:top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0.108</w:t>
            </w:r>
          </w:p>
        </w:tc>
        <w:tc>
          <w:tcPr>
            <w:tcW w:w="787" w:type="dxa"/>
            <w:tcBorders>
              <w:top w:val="single" w:sz="4" w:space="0" w:color="auto"/>
            </w:tcBorders>
            <w:vAlign w:val="bottom"/>
            <w:hideMark/>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(0.034)</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(0.033)</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(0.035)</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Business years</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0.002</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Business registration</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0.029</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0.043</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0.039</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(0.011)</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 xml:space="preserve">Electricity </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-0.006</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-0.005</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Piped water access</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0.029</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0.026</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0.031</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0.035</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Technology use</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-0.003</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0.018</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Total employees</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Business equipment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-0.002</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-0.003</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center"/>
            <w:hideMark/>
          </w:tcPr>
          <w:p w:rsidR="001D492C" w:rsidRPr="00483B06" w:rsidRDefault="001D492C" w:rsidP="00483B06">
            <w:pPr>
              <w:spacing w:line="276" w:lineRule="auto"/>
              <w:rPr>
                <w:sz w:val="22"/>
                <w:szCs w:val="22"/>
              </w:rPr>
            </w:pPr>
            <w:r w:rsidRPr="00483B06">
              <w:rPr>
                <w:sz w:val="22"/>
                <w:szCs w:val="22"/>
              </w:rPr>
              <w:t xml:space="preserve">Yes = Financial services uptake, Credit access, </w:t>
            </w:r>
            <w:r w:rsidRPr="00483B06">
              <w:rPr>
                <w:sz w:val="22"/>
                <w:szCs w:val="22"/>
              </w:rPr>
              <w:lastRenderedPageBreak/>
              <w:t>Savings access, Insurance</w:t>
            </w:r>
          </w:p>
        </w:tc>
        <w:tc>
          <w:tcPr>
            <w:tcW w:w="940" w:type="dxa"/>
            <w:vAlign w:val="center"/>
            <w:hideMark/>
          </w:tcPr>
          <w:p w:rsidR="001D492C" w:rsidRPr="00483B06" w:rsidRDefault="001D492C" w:rsidP="00483B06">
            <w:pPr>
              <w:spacing w:line="276" w:lineRule="auto"/>
              <w:jc w:val="right"/>
              <w:rPr>
                <w:sz w:val="22"/>
                <w:szCs w:val="22"/>
              </w:rPr>
            </w:pPr>
            <w:r w:rsidRPr="00483B06">
              <w:rPr>
                <w:sz w:val="22"/>
                <w:szCs w:val="22"/>
              </w:rPr>
              <w:lastRenderedPageBreak/>
              <w:t>0.239</w:t>
            </w:r>
          </w:p>
        </w:tc>
        <w:tc>
          <w:tcPr>
            <w:tcW w:w="787" w:type="dxa"/>
            <w:vAlign w:val="center"/>
            <w:hideMark/>
          </w:tcPr>
          <w:p w:rsidR="001D492C" w:rsidRPr="00483B06" w:rsidRDefault="001D492C" w:rsidP="00483B06">
            <w:pPr>
              <w:spacing w:line="276" w:lineRule="auto"/>
              <w:rPr>
                <w:sz w:val="22"/>
                <w:szCs w:val="22"/>
              </w:rPr>
            </w:pPr>
            <w:r w:rsidRPr="00483B06">
              <w:rPr>
                <w:sz w:val="22"/>
                <w:szCs w:val="22"/>
              </w:rPr>
              <w:t>**</w:t>
            </w:r>
          </w:p>
        </w:tc>
        <w:tc>
          <w:tcPr>
            <w:tcW w:w="940" w:type="dxa"/>
            <w:vAlign w:val="center"/>
          </w:tcPr>
          <w:p w:rsidR="001D492C" w:rsidRPr="00483B06" w:rsidRDefault="001D492C" w:rsidP="00483B06">
            <w:pPr>
              <w:spacing w:line="276" w:lineRule="auto"/>
              <w:jc w:val="right"/>
              <w:rPr>
                <w:sz w:val="22"/>
                <w:szCs w:val="22"/>
              </w:rPr>
            </w:pPr>
            <w:r w:rsidRPr="00483B06">
              <w:rPr>
                <w:sz w:val="22"/>
                <w:szCs w:val="22"/>
              </w:rPr>
              <w:t>0.267</w:t>
            </w:r>
          </w:p>
        </w:tc>
        <w:tc>
          <w:tcPr>
            <w:tcW w:w="787" w:type="dxa"/>
            <w:vAlign w:val="center"/>
          </w:tcPr>
          <w:p w:rsidR="001D492C" w:rsidRPr="00483B06" w:rsidRDefault="001D492C" w:rsidP="00483B06">
            <w:pPr>
              <w:spacing w:line="276" w:lineRule="auto"/>
              <w:rPr>
                <w:sz w:val="22"/>
                <w:szCs w:val="22"/>
              </w:rPr>
            </w:pPr>
            <w:r w:rsidRPr="00483B06">
              <w:rPr>
                <w:sz w:val="22"/>
                <w:szCs w:val="22"/>
              </w:rPr>
              <w:t>**</w:t>
            </w:r>
          </w:p>
        </w:tc>
        <w:tc>
          <w:tcPr>
            <w:tcW w:w="940" w:type="dxa"/>
            <w:vAlign w:val="center"/>
          </w:tcPr>
          <w:p w:rsidR="001D492C" w:rsidRPr="00483B06" w:rsidRDefault="001D492C" w:rsidP="00483B06">
            <w:pPr>
              <w:spacing w:line="276" w:lineRule="auto"/>
              <w:jc w:val="right"/>
              <w:rPr>
                <w:sz w:val="22"/>
                <w:szCs w:val="22"/>
              </w:rPr>
            </w:pPr>
            <w:r w:rsidRPr="00483B06">
              <w:rPr>
                <w:sz w:val="22"/>
                <w:szCs w:val="22"/>
              </w:rPr>
              <w:t>0.246</w:t>
            </w:r>
          </w:p>
        </w:tc>
        <w:tc>
          <w:tcPr>
            <w:tcW w:w="787" w:type="dxa"/>
            <w:vAlign w:val="center"/>
          </w:tcPr>
          <w:p w:rsidR="001D492C" w:rsidRPr="00483B06" w:rsidRDefault="001D492C" w:rsidP="00483B06">
            <w:pPr>
              <w:spacing w:line="276" w:lineRule="auto"/>
              <w:rPr>
                <w:sz w:val="22"/>
                <w:szCs w:val="22"/>
              </w:rPr>
            </w:pPr>
            <w:r w:rsidRPr="00483B06">
              <w:rPr>
                <w:sz w:val="22"/>
                <w:szCs w:val="22"/>
              </w:rPr>
              <w:t>**</w:t>
            </w:r>
          </w:p>
        </w:tc>
        <w:tc>
          <w:tcPr>
            <w:tcW w:w="940" w:type="dxa"/>
            <w:vAlign w:val="center"/>
          </w:tcPr>
          <w:p w:rsidR="001D492C" w:rsidRPr="00483B06" w:rsidRDefault="001D492C" w:rsidP="00483B06">
            <w:pPr>
              <w:spacing w:line="276" w:lineRule="auto"/>
              <w:jc w:val="right"/>
              <w:rPr>
                <w:sz w:val="22"/>
                <w:szCs w:val="22"/>
              </w:rPr>
            </w:pPr>
            <w:r w:rsidRPr="00483B06">
              <w:rPr>
                <w:sz w:val="22"/>
                <w:szCs w:val="22"/>
              </w:rPr>
              <w:t>0.018</w:t>
            </w:r>
          </w:p>
        </w:tc>
        <w:tc>
          <w:tcPr>
            <w:tcW w:w="787" w:type="dxa"/>
            <w:vAlign w:val="center"/>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(0.014)</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(0.010)</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(0.012)</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(0.027)</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tcPr>
          <w:p w:rsidR="001D492C" w:rsidRPr="00483B06" w:rsidRDefault="001D492C" w:rsidP="00483B06">
            <w:pPr>
              <w:spacing w:line="276" w:lineRule="auto"/>
              <w:rPr>
                <w:sz w:val="22"/>
                <w:szCs w:val="22"/>
              </w:rPr>
            </w:pPr>
          </w:p>
        </w:tc>
        <w:tc>
          <w:tcPr>
            <w:tcW w:w="787" w:type="dxa"/>
          </w:tcPr>
          <w:p w:rsidR="001D492C" w:rsidRPr="00483B06" w:rsidRDefault="001D492C" w:rsidP="00483B06">
            <w:pPr>
              <w:spacing w:line="276" w:lineRule="auto"/>
              <w:rPr>
                <w:sz w:val="22"/>
                <w:szCs w:val="22"/>
              </w:rPr>
            </w:pPr>
          </w:p>
        </w:tc>
        <w:tc>
          <w:tcPr>
            <w:tcW w:w="940" w:type="dxa"/>
          </w:tcPr>
          <w:p w:rsidR="001D492C" w:rsidRPr="00483B06" w:rsidRDefault="001D492C" w:rsidP="00483B06">
            <w:pPr>
              <w:spacing w:line="276" w:lineRule="auto"/>
              <w:rPr>
                <w:sz w:val="22"/>
                <w:szCs w:val="22"/>
              </w:rPr>
            </w:pPr>
          </w:p>
        </w:tc>
        <w:tc>
          <w:tcPr>
            <w:tcW w:w="787" w:type="dxa"/>
          </w:tcPr>
          <w:p w:rsidR="001D492C" w:rsidRPr="00483B06" w:rsidRDefault="001D492C" w:rsidP="00483B06">
            <w:pPr>
              <w:spacing w:line="276" w:lineRule="auto"/>
              <w:rPr>
                <w:sz w:val="22"/>
                <w:szCs w:val="22"/>
              </w:rPr>
            </w:pPr>
          </w:p>
        </w:tc>
        <w:tc>
          <w:tcPr>
            <w:tcW w:w="940" w:type="dxa"/>
          </w:tcPr>
          <w:p w:rsidR="001D492C" w:rsidRPr="00483B06" w:rsidRDefault="001D492C" w:rsidP="00483B06">
            <w:pPr>
              <w:spacing w:line="276" w:lineRule="auto"/>
              <w:rPr>
                <w:sz w:val="22"/>
                <w:szCs w:val="22"/>
              </w:rPr>
            </w:pP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Intercept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0.004</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0.034</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0.078</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Borders>
              <w:bottom w:val="single" w:sz="4" w:space="0" w:color="auto"/>
            </w:tcBorders>
          </w:tcPr>
          <w:p w:rsidR="001D492C" w:rsidRPr="00483B06" w:rsidRDefault="001D492C" w:rsidP="00483B06">
            <w:pPr>
              <w:spacing w:line="276" w:lineRule="auto"/>
              <w:rPr>
                <w:sz w:val="22"/>
                <w:szCs w:val="22"/>
              </w:rPr>
            </w:pPr>
          </w:p>
        </w:tc>
        <w:tc>
          <w:tcPr>
            <w:tcW w:w="940" w:type="dxa"/>
            <w:tcBorders>
              <w:bottom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(0.011)</w:t>
            </w:r>
          </w:p>
        </w:tc>
        <w:tc>
          <w:tcPr>
            <w:tcW w:w="787" w:type="dxa"/>
            <w:tcBorders>
              <w:bottom w:val="single" w:sz="4" w:space="0" w:color="auto"/>
            </w:tcBorders>
          </w:tcPr>
          <w:p w:rsidR="001D492C" w:rsidRPr="00483B06" w:rsidRDefault="001D492C" w:rsidP="00483B06">
            <w:pPr>
              <w:spacing w:line="276" w:lineRule="auto"/>
              <w:rPr>
                <w:sz w:val="22"/>
                <w:szCs w:val="22"/>
              </w:rPr>
            </w:pPr>
          </w:p>
        </w:tc>
        <w:tc>
          <w:tcPr>
            <w:tcW w:w="940" w:type="dxa"/>
            <w:tcBorders>
              <w:bottom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(0.010)</w:t>
            </w:r>
          </w:p>
        </w:tc>
        <w:tc>
          <w:tcPr>
            <w:tcW w:w="787" w:type="dxa"/>
            <w:tcBorders>
              <w:bottom w:val="single" w:sz="4" w:space="0" w:color="auto"/>
            </w:tcBorders>
          </w:tcPr>
          <w:p w:rsidR="001D492C" w:rsidRPr="00483B06" w:rsidRDefault="001D492C" w:rsidP="00483B06">
            <w:pPr>
              <w:spacing w:line="276" w:lineRule="auto"/>
              <w:rPr>
                <w:sz w:val="22"/>
                <w:szCs w:val="22"/>
              </w:rPr>
            </w:pPr>
          </w:p>
        </w:tc>
        <w:tc>
          <w:tcPr>
            <w:tcW w:w="940" w:type="dxa"/>
            <w:tcBorders>
              <w:bottom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(0.011)</w:t>
            </w:r>
          </w:p>
        </w:tc>
        <w:tc>
          <w:tcPr>
            <w:tcW w:w="787" w:type="dxa"/>
            <w:tcBorders>
              <w:bottom w:val="single" w:sz="4" w:space="0" w:color="auto"/>
            </w:tcBorders>
          </w:tcPr>
          <w:p w:rsidR="001D492C" w:rsidRPr="00483B06" w:rsidRDefault="001D492C" w:rsidP="00483B06">
            <w:pPr>
              <w:spacing w:line="276" w:lineRule="auto"/>
              <w:rPr>
                <w:sz w:val="22"/>
                <w:szCs w:val="22"/>
              </w:rPr>
            </w:pPr>
          </w:p>
        </w:tc>
        <w:tc>
          <w:tcPr>
            <w:tcW w:w="940" w:type="dxa"/>
            <w:tcBorders>
              <w:bottom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(0.009)</w:t>
            </w:r>
          </w:p>
        </w:tc>
        <w:tc>
          <w:tcPr>
            <w:tcW w:w="787" w:type="dxa"/>
            <w:tcBorders>
              <w:bottom w:val="single" w:sz="4" w:space="0" w:color="auto"/>
            </w:tcBorders>
          </w:tcPr>
          <w:p w:rsidR="001D492C" w:rsidRPr="00483B06" w:rsidRDefault="001D492C" w:rsidP="00483B06">
            <w:pPr>
              <w:spacing w:line="276" w:lineRule="auto"/>
              <w:rPr>
                <w:sz w:val="22"/>
                <w:szCs w:val="22"/>
              </w:rPr>
            </w:pPr>
          </w:p>
        </w:tc>
      </w:tr>
      <w:tr w:rsidR="001D492C" w:rsidRPr="00483B06" w:rsidTr="00C928D0">
        <w:tc>
          <w:tcPr>
            <w:tcW w:w="2442" w:type="dxa"/>
            <w:tcBorders>
              <w:top w:val="single" w:sz="4" w:space="0" w:color="auto"/>
              <w:bottom w:val="single" w:sz="4" w:space="0" w:color="auto"/>
            </w:tcBorders>
            <w:vAlign w:val="center"/>
          </w:tcPr>
          <w:p w:rsidR="001D492C" w:rsidRPr="00483B06" w:rsidRDefault="001D492C" w:rsidP="00483B06">
            <w:pPr>
              <w:spacing w:line="276" w:lineRule="auto"/>
              <w:rPr>
                <w:b/>
                <w:sz w:val="22"/>
                <w:szCs w:val="22"/>
              </w:rPr>
            </w:pPr>
            <w:r w:rsidRPr="00483B06">
              <w:rPr>
                <w:b/>
                <w:sz w:val="22"/>
                <w:szCs w:val="22"/>
              </w:rPr>
              <w:t>Selection Model</w:t>
            </w:r>
          </w:p>
        </w:tc>
        <w:tc>
          <w:tcPr>
            <w:tcW w:w="1727" w:type="dxa"/>
            <w:gridSpan w:val="2"/>
            <w:tcBorders>
              <w:top w:val="single" w:sz="4" w:space="0" w:color="auto"/>
              <w:bottom w:val="single" w:sz="4" w:space="0" w:color="auto"/>
            </w:tcBorders>
            <w:vAlign w:val="center"/>
          </w:tcPr>
          <w:p w:rsidR="001D492C" w:rsidRPr="00483B06" w:rsidRDefault="001D492C" w:rsidP="00483B06">
            <w:pPr>
              <w:spacing w:line="276" w:lineRule="auto"/>
              <w:rPr>
                <w:b/>
                <w:sz w:val="22"/>
                <w:szCs w:val="22"/>
              </w:rPr>
            </w:pPr>
            <w:r w:rsidRPr="00483B06">
              <w:rPr>
                <w:b/>
                <w:sz w:val="22"/>
                <w:szCs w:val="22"/>
              </w:rPr>
              <w:t>Financial services uptake</w:t>
            </w:r>
          </w:p>
        </w:tc>
        <w:tc>
          <w:tcPr>
            <w:tcW w:w="1727" w:type="dxa"/>
            <w:gridSpan w:val="2"/>
            <w:tcBorders>
              <w:top w:val="single" w:sz="4" w:space="0" w:color="auto"/>
              <w:bottom w:val="single" w:sz="4" w:space="0" w:color="auto"/>
            </w:tcBorders>
            <w:vAlign w:val="center"/>
          </w:tcPr>
          <w:p w:rsidR="001D492C" w:rsidRPr="00483B06" w:rsidRDefault="001D492C" w:rsidP="00483B06">
            <w:pPr>
              <w:spacing w:line="276" w:lineRule="auto"/>
              <w:rPr>
                <w:b/>
                <w:sz w:val="22"/>
                <w:szCs w:val="22"/>
              </w:rPr>
            </w:pPr>
            <w:r w:rsidRPr="00483B06">
              <w:rPr>
                <w:b/>
                <w:sz w:val="22"/>
                <w:szCs w:val="22"/>
              </w:rPr>
              <w:t>Credit access</w:t>
            </w:r>
          </w:p>
        </w:tc>
        <w:tc>
          <w:tcPr>
            <w:tcW w:w="1727" w:type="dxa"/>
            <w:gridSpan w:val="2"/>
            <w:tcBorders>
              <w:top w:val="single" w:sz="4" w:space="0" w:color="auto"/>
              <w:bottom w:val="single" w:sz="4" w:space="0" w:color="auto"/>
            </w:tcBorders>
            <w:vAlign w:val="center"/>
          </w:tcPr>
          <w:p w:rsidR="001D492C" w:rsidRPr="00483B06" w:rsidRDefault="001D492C" w:rsidP="00483B06">
            <w:pPr>
              <w:spacing w:line="276" w:lineRule="auto"/>
              <w:rPr>
                <w:b/>
                <w:sz w:val="22"/>
                <w:szCs w:val="22"/>
              </w:rPr>
            </w:pPr>
            <w:r w:rsidRPr="00483B06">
              <w:rPr>
                <w:b/>
                <w:sz w:val="22"/>
                <w:szCs w:val="22"/>
              </w:rPr>
              <w:t>Savings access</w:t>
            </w:r>
          </w:p>
        </w:tc>
        <w:tc>
          <w:tcPr>
            <w:tcW w:w="1727" w:type="dxa"/>
            <w:gridSpan w:val="2"/>
            <w:tcBorders>
              <w:top w:val="single" w:sz="4" w:space="0" w:color="auto"/>
              <w:bottom w:val="single" w:sz="4" w:space="0" w:color="auto"/>
            </w:tcBorders>
            <w:vAlign w:val="center"/>
          </w:tcPr>
          <w:p w:rsidR="001D492C" w:rsidRPr="00483B06" w:rsidRDefault="001D492C" w:rsidP="00483B06">
            <w:pPr>
              <w:spacing w:line="276" w:lineRule="auto"/>
              <w:rPr>
                <w:b/>
                <w:sz w:val="22"/>
                <w:szCs w:val="22"/>
              </w:rPr>
            </w:pPr>
            <w:r w:rsidRPr="00483B06">
              <w:rPr>
                <w:b/>
                <w:sz w:val="22"/>
                <w:szCs w:val="22"/>
              </w:rPr>
              <w:t>Insurance</w:t>
            </w:r>
          </w:p>
        </w:tc>
      </w:tr>
      <w:tr w:rsidR="001D492C" w:rsidRPr="00483B06" w:rsidTr="00C928D0">
        <w:tc>
          <w:tcPr>
            <w:tcW w:w="2442" w:type="dxa"/>
            <w:tcBorders>
              <w:top w:val="single" w:sz="4" w:space="0" w:color="auto"/>
            </w:tcBorders>
            <w:vAlign w:val="bottom"/>
            <w:hideMark/>
          </w:tcPr>
          <w:p w:rsidR="001D492C" w:rsidRPr="00483B06" w:rsidRDefault="001D492C" w:rsidP="00483B06">
            <w:pPr>
              <w:spacing w:line="276" w:lineRule="auto"/>
              <w:rPr>
                <w:sz w:val="22"/>
                <w:szCs w:val="22"/>
              </w:rPr>
            </w:pPr>
            <w:r w:rsidRPr="00483B06">
              <w:rPr>
                <w:sz w:val="22"/>
                <w:szCs w:val="22"/>
              </w:rPr>
              <w:t>Business registration</w:t>
            </w:r>
          </w:p>
        </w:tc>
        <w:tc>
          <w:tcPr>
            <w:tcW w:w="940" w:type="dxa"/>
            <w:tcBorders>
              <w:top w:val="single" w:sz="4" w:space="0" w:color="auto"/>
            </w:tcBorders>
            <w:vAlign w:val="bottom"/>
            <w:hideMark/>
          </w:tcPr>
          <w:p w:rsidR="001D492C" w:rsidRPr="00483B06" w:rsidRDefault="001D492C" w:rsidP="00483B06">
            <w:pPr>
              <w:spacing w:line="276" w:lineRule="auto"/>
              <w:jc w:val="right"/>
              <w:rPr>
                <w:sz w:val="22"/>
                <w:szCs w:val="22"/>
              </w:rPr>
            </w:pPr>
            <w:r w:rsidRPr="00483B06">
              <w:rPr>
                <w:sz w:val="22"/>
                <w:szCs w:val="22"/>
              </w:rPr>
              <w:t>0.298</w:t>
            </w:r>
          </w:p>
        </w:tc>
        <w:tc>
          <w:tcPr>
            <w:tcW w:w="787" w:type="dxa"/>
            <w:tcBorders>
              <w:top w:val="single" w:sz="4" w:space="0" w:color="auto"/>
            </w:tcBorders>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tcBorders>
              <w:top w:val="single" w:sz="4" w:space="0" w:color="auto"/>
            </w:tcBorders>
            <w:vAlign w:val="bottom"/>
          </w:tcPr>
          <w:p w:rsidR="001D492C" w:rsidRPr="00483B06" w:rsidRDefault="001D492C" w:rsidP="00483B06">
            <w:pPr>
              <w:spacing w:line="276" w:lineRule="auto"/>
              <w:jc w:val="right"/>
              <w:rPr>
                <w:sz w:val="22"/>
                <w:szCs w:val="22"/>
              </w:rPr>
            </w:pPr>
            <w:r w:rsidRPr="00483B06">
              <w:rPr>
                <w:sz w:val="22"/>
                <w:szCs w:val="22"/>
              </w:rPr>
              <w:t>0.041</w:t>
            </w:r>
          </w:p>
        </w:tc>
        <w:tc>
          <w:tcPr>
            <w:tcW w:w="787" w:type="dxa"/>
            <w:tcBorders>
              <w:top w:val="single" w:sz="4" w:space="0" w:color="auto"/>
            </w:tcBorders>
          </w:tcPr>
          <w:p w:rsidR="001D492C" w:rsidRPr="00483B06" w:rsidRDefault="001D492C" w:rsidP="00483B06">
            <w:pPr>
              <w:spacing w:line="276" w:lineRule="auto"/>
              <w:rPr>
                <w:sz w:val="22"/>
                <w:szCs w:val="22"/>
              </w:rPr>
            </w:pPr>
          </w:p>
        </w:tc>
        <w:tc>
          <w:tcPr>
            <w:tcW w:w="940" w:type="dxa"/>
            <w:tcBorders>
              <w:top w:val="single" w:sz="4" w:space="0" w:color="auto"/>
            </w:tcBorders>
            <w:vAlign w:val="bottom"/>
          </w:tcPr>
          <w:p w:rsidR="001D492C" w:rsidRPr="00483B06" w:rsidRDefault="001D492C" w:rsidP="00483B06">
            <w:pPr>
              <w:spacing w:line="276" w:lineRule="auto"/>
              <w:jc w:val="right"/>
              <w:rPr>
                <w:sz w:val="22"/>
                <w:szCs w:val="22"/>
              </w:rPr>
            </w:pPr>
            <w:r w:rsidRPr="00483B06">
              <w:rPr>
                <w:sz w:val="22"/>
                <w:szCs w:val="22"/>
              </w:rPr>
              <w:t>-0.089</w:t>
            </w:r>
          </w:p>
        </w:tc>
        <w:tc>
          <w:tcPr>
            <w:tcW w:w="787" w:type="dxa"/>
            <w:tcBorders>
              <w:top w:val="single" w:sz="4" w:space="0" w:color="auto"/>
            </w:tcBorders>
          </w:tcPr>
          <w:p w:rsidR="001D492C" w:rsidRPr="00483B06" w:rsidRDefault="001D492C" w:rsidP="00483B06">
            <w:pPr>
              <w:spacing w:line="276" w:lineRule="auto"/>
              <w:rPr>
                <w:sz w:val="22"/>
                <w:szCs w:val="22"/>
              </w:rPr>
            </w:pPr>
          </w:p>
        </w:tc>
        <w:tc>
          <w:tcPr>
            <w:tcW w:w="940" w:type="dxa"/>
            <w:tcBorders>
              <w:top w:val="single" w:sz="4" w:space="0" w:color="auto"/>
            </w:tcBorders>
            <w:vAlign w:val="bottom"/>
          </w:tcPr>
          <w:p w:rsidR="001D492C" w:rsidRPr="00483B06" w:rsidRDefault="001D492C" w:rsidP="00483B06">
            <w:pPr>
              <w:spacing w:line="276" w:lineRule="auto"/>
              <w:jc w:val="right"/>
              <w:rPr>
                <w:sz w:val="22"/>
                <w:szCs w:val="22"/>
              </w:rPr>
            </w:pPr>
            <w:r w:rsidRPr="00483B06">
              <w:rPr>
                <w:sz w:val="22"/>
                <w:szCs w:val="22"/>
              </w:rPr>
              <w:t>0.971</w:t>
            </w:r>
          </w:p>
        </w:tc>
        <w:tc>
          <w:tcPr>
            <w:tcW w:w="787" w:type="dxa"/>
            <w:tcBorders>
              <w:top w:val="single" w:sz="4" w:space="0" w:color="auto"/>
            </w:tcBorders>
            <w:vAlign w:val="bottom"/>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(0.068)</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(0.068)</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(0.069)</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(0.090)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Technology use</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0.184</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0.181</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0.145</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0.092</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(0.066)</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(0.069)</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(0.066)</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(0.131)</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Business plan</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0.133</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0.036</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0.135</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0.385</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(0.080)</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(0.072)</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(0.078)</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(0.120)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Technology-not mobile</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-0.030</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-0.021</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-0.136</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0.409</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(0.065)</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(0.061)</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(0.066)</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(0.107)</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Business network</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0.431</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0.222</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0.432</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0.113</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(0.102)</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(0.094)</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(0.095)</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(0.170)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Internet access</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0.458</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0.497</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0.257</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0.410</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(0.144)</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(0.115)</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(0.140)</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(0.193)</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Keep financial records</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0.091</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0.106</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0.047</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0.145</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(0.041)</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(0.039)</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(0.041)</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(0.090)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Intercept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-0.506</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-0.841</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-0.541</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-2.074</w:t>
            </w:r>
          </w:p>
        </w:tc>
        <w:tc>
          <w:tcPr>
            <w:tcW w:w="787" w:type="dxa"/>
            <w:vAlign w:val="bottom"/>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(0.061)</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(0.065)</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(0.061)</w:t>
            </w:r>
          </w:p>
        </w:tc>
        <w:tc>
          <w:tcPr>
            <w:tcW w:w="787" w:type="dxa"/>
          </w:tcPr>
          <w:p w:rsidR="001D492C" w:rsidRPr="00483B06" w:rsidRDefault="001D492C" w:rsidP="00483B06">
            <w:pPr>
              <w:spacing w:line="276" w:lineRule="auto"/>
              <w:rPr>
                <w:sz w:val="22"/>
                <w:szCs w:val="22"/>
              </w:rPr>
            </w:pPr>
          </w:p>
        </w:tc>
        <w:tc>
          <w:tcPr>
            <w:tcW w:w="940" w:type="dxa"/>
            <w:vAlign w:val="bottom"/>
          </w:tcPr>
          <w:p w:rsidR="001D492C" w:rsidRPr="00483B06" w:rsidRDefault="001D492C" w:rsidP="00483B06">
            <w:pPr>
              <w:spacing w:line="276" w:lineRule="auto"/>
              <w:jc w:val="right"/>
              <w:rPr>
                <w:sz w:val="22"/>
                <w:szCs w:val="22"/>
              </w:rPr>
            </w:pPr>
            <w:r w:rsidRPr="00483B06">
              <w:rPr>
                <w:sz w:val="22"/>
                <w:szCs w:val="22"/>
              </w:rPr>
              <w:t>(0.125)</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athrho</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-0.975</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-1.248</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-1.040</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0.014</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(0.061)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(0.046)</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(0.052)</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(0.080)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lnsigma</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-1.626</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-1.609</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-1.619</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-1.831</w:t>
            </w:r>
          </w:p>
        </w:tc>
        <w:tc>
          <w:tcPr>
            <w:tcW w:w="787" w:type="dxa"/>
            <w:vAlign w:val="bottom"/>
            <w:hideMark/>
          </w:tcPr>
          <w:p w:rsidR="001D492C" w:rsidRPr="00483B06" w:rsidRDefault="001D492C" w:rsidP="00483B06">
            <w:pPr>
              <w:spacing w:line="276" w:lineRule="auto"/>
              <w:rPr>
                <w:sz w:val="22"/>
                <w:szCs w:val="22"/>
              </w:rPr>
            </w:pPr>
            <w:r w:rsidRPr="00483B06">
              <w:rPr>
                <w:sz w:val="22"/>
                <w:szCs w:val="22"/>
              </w:rPr>
              <w:t>**</w:t>
            </w: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(0.025)</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(0.019)</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(0.022)</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(0.014)</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rho</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-0.751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-0.848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-0.778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0.014</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(0.027)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(0.013)</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(0.021)</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(0.080)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sigma</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0.197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0.200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0.198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0.160</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(0.005)</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(0.004)</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(0.004)</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(0.002)</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lambda</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-0.148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-0.170</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-0.154</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0.002</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(0.008)</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(0.005)</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(0.007)</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(0.013)</w:t>
            </w:r>
          </w:p>
        </w:tc>
        <w:tc>
          <w:tcPr>
            <w:tcW w:w="787" w:type="dxa"/>
          </w:tcPr>
          <w:p w:rsidR="001D492C" w:rsidRPr="00483B06" w:rsidRDefault="001D492C" w:rsidP="00483B06">
            <w:pPr>
              <w:spacing w:line="276" w:lineRule="auto"/>
              <w:rPr>
                <w:sz w:val="22"/>
                <w:szCs w:val="22"/>
              </w:rPr>
            </w:pPr>
          </w:p>
        </w:tc>
      </w:tr>
      <w:tr w:rsidR="001D492C" w:rsidRPr="00483B06" w:rsidTr="00C928D0">
        <w:tc>
          <w:tcPr>
            <w:tcW w:w="2442" w:type="dxa"/>
            <w:vAlign w:val="bottom"/>
            <w:hideMark/>
          </w:tcPr>
          <w:p w:rsidR="001D492C" w:rsidRPr="00483B06" w:rsidRDefault="001D492C" w:rsidP="00483B06">
            <w:pPr>
              <w:spacing w:line="276" w:lineRule="auto"/>
              <w:rPr>
                <w:sz w:val="22"/>
                <w:szCs w:val="22"/>
              </w:rPr>
            </w:pPr>
            <w:r w:rsidRPr="00483B06">
              <w:rPr>
                <w:sz w:val="22"/>
                <w:szCs w:val="22"/>
              </w:rPr>
              <w:t>Number of observations</w:t>
            </w: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2666</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2666</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2666</w:t>
            </w:r>
          </w:p>
        </w:tc>
        <w:tc>
          <w:tcPr>
            <w:tcW w:w="787" w:type="dxa"/>
          </w:tcPr>
          <w:p w:rsidR="001D492C" w:rsidRPr="00483B06" w:rsidRDefault="001D492C" w:rsidP="00483B06">
            <w:pPr>
              <w:spacing w:line="276" w:lineRule="auto"/>
              <w:rPr>
                <w:sz w:val="22"/>
                <w:szCs w:val="22"/>
              </w:rPr>
            </w:pPr>
          </w:p>
        </w:tc>
        <w:tc>
          <w:tcPr>
            <w:tcW w:w="940" w:type="dxa"/>
            <w:vAlign w:val="bottom"/>
            <w:hideMark/>
          </w:tcPr>
          <w:p w:rsidR="001D492C" w:rsidRPr="00483B06" w:rsidRDefault="001D492C" w:rsidP="00483B06">
            <w:pPr>
              <w:spacing w:line="276" w:lineRule="auto"/>
              <w:jc w:val="right"/>
              <w:rPr>
                <w:sz w:val="22"/>
                <w:szCs w:val="22"/>
              </w:rPr>
            </w:pPr>
            <w:r w:rsidRPr="00483B06">
              <w:rPr>
                <w:sz w:val="22"/>
                <w:szCs w:val="22"/>
              </w:rPr>
              <w:t>2666</w:t>
            </w:r>
          </w:p>
        </w:tc>
        <w:tc>
          <w:tcPr>
            <w:tcW w:w="787" w:type="dxa"/>
          </w:tcPr>
          <w:p w:rsidR="001D492C" w:rsidRPr="00483B06" w:rsidRDefault="001D492C" w:rsidP="00483B06">
            <w:pPr>
              <w:spacing w:line="276" w:lineRule="auto"/>
              <w:rPr>
                <w:sz w:val="22"/>
                <w:szCs w:val="22"/>
              </w:rPr>
            </w:pPr>
          </w:p>
        </w:tc>
      </w:tr>
    </w:tbl>
    <w:p w:rsidR="00F56CFD" w:rsidRPr="00483B06" w:rsidRDefault="00F56CFD" w:rsidP="00483B06">
      <w:pPr>
        <w:spacing w:before="240" w:after="240" w:line="276" w:lineRule="auto"/>
        <w:jc w:val="both"/>
        <w:rPr>
          <w:sz w:val="22"/>
          <w:szCs w:val="22"/>
        </w:rPr>
      </w:pPr>
      <w:r w:rsidRPr="00483B06">
        <w:rPr>
          <w:sz w:val="22"/>
          <w:szCs w:val="22"/>
        </w:rPr>
        <w:t>** p&lt;.01, * p&lt;.05</w:t>
      </w:r>
    </w:p>
    <w:p w:rsidR="008D6C93" w:rsidRPr="00746D97" w:rsidRDefault="00E02A12" w:rsidP="00746D97">
      <w:pPr>
        <w:spacing w:before="240" w:after="240" w:line="360" w:lineRule="auto"/>
        <w:jc w:val="both"/>
      </w:pPr>
      <w:r w:rsidRPr="00746D97">
        <w:t>The findings from the ESR model for covariates reveal several significant factors that positively impact profit efficiency within the first-stage outcome equation (</w:t>
      </w:r>
      <w:r w:rsidR="00150002">
        <w:rPr>
          <w:b/>
        </w:rPr>
        <w:t>Table 5</w:t>
      </w:r>
      <w:r w:rsidRPr="00746D97">
        <w:t xml:space="preserve">). Government support (SMED) to MSMEs is positive (p &lt; .01), emphasizing the importance of assistance for enterprise </w:t>
      </w:r>
      <w:r w:rsidRPr="00746D97">
        <w:lastRenderedPageBreak/>
        <w:t xml:space="preserve">profit (Hall &amp; Lerner, 2010). Business experience (in years) also has a positive effect on efficiency (p &lt; .01), suggesting that greater operational maturity leads to improved resource allocation and performance (Evans, 1987). Business registration is essential in the credit, savings, and insurance models, indicating that formalization enhances access, perception of opportunities, and credibility, thereby improving profit efficiency (McKenzie &amp; Sakho, 2010). Furthermore, access to piped water is significant in all models (p &lt; .01), highlighting the role of infrastructure in supporting systematic business activities that require ongoing sanitation maintenance (Calderón &amp; Servén, 2010). </w:t>
      </w:r>
    </w:p>
    <w:p w:rsidR="008D6C93" w:rsidRPr="00746D97" w:rsidRDefault="00E02A12" w:rsidP="00746D97">
      <w:pPr>
        <w:spacing w:before="240" w:after="240" w:line="360" w:lineRule="auto"/>
        <w:jc w:val="both"/>
      </w:pPr>
      <w:r w:rsidRPr="00746D97">
        <w:t>The selection model (</w:t>
      </w:r>
      <w:r w:rsidR="00150002">
        <w:rPr>
          <w:b/>
        </w:rPr>
        <w:t>Table 5</w:t>
      </w:r>
      <w:r w:rsidRPr="00746D97">
        <w:t xml:space="preserve">) identifies the key drivers of financial service usage. Business registration and business networks exhibit a strong relationship with the use of financial services, credit, and savings (p &lt; .01), indicating that businesses with formal registration and robust professional connections are more likely to be financially included, supported by evidence of network effects in credit access (Banerjee &amp; Duflo, 2014). Furthermore, technology adoption, particularly the internet, predicts engagement across various models, suggesting that connectivity allows digitally active firms to interact with formal financial institutions (Aker et al., 2016). Additionally, keeping financial records is closely associated with the use of financial services and credit (p &lt; .05), highlighting the significance of financial education, literacy, and transparency in overcoming credit access barriers (Bruhn &amp; Love, 2014). </w:t>
      </w:r>
    </w:p>
    <w:p w:rsidR="00C654AF" w:rsidRPr="00746D97" w:rsidRDefault="00C654AF" w:rsidP="00746D97">
      <w:pPr>
        <w:spacing w:before="240" w:line="360" w:lineRule="auto"/>
        <w:rPr>
          <w:b/>
        </w:rPr>
      </w:pPr>
      <w:r w:rsidRPr="00746D97">
        <w:rPr>
          <w:b/>
        </w:rPr>
        <w:t xml:space="preserve">5.0 </w:t>
      </w:r>
      <w:r w:rsidRPr="00746D97">
        <w:rPr>
          <w:b/>
        </w:rPr>
        <w:tab/>
        <w:t xml:space="preserve">Conclusion and </w:t>
      </w:r>
      <w:r w:rsidR="007B5ED2" w:rsidRPr="00746D97">
        <w:rPr>
          <w:b/>
        </w:rPr>
        <w:t>policy recommendations</w:t>
      </w:r>
    </w:p>
    <w:p w:rsidR="00FE4AF4" w:rsidRPr="00746D97" w:rsidRDefault="00FE4AF4" w:rsidP="00746D97">
      <w:pPr>
        <w:spacing w:before="240" w:line="360" w:lineRule="auto"/>
        <w:jc w:val="both"/>
      </w:pPr>
      <w:r w:rsidRPr="00746D97">
        <w:t xml:space="preserve">Incorporating finance into global development frameworks is crucial for fostering inclusive economic growth and alleviating poverty. Efforts are being made to enhance access in Malawi; however, the productivity gap between included and excluded MSMEs is still not fully understood. This work analyzes how financial inclusion affects the profit efficiency of Micro, Small, and Medium-Sized Enterprises in Malawi. This study explores all facets of financial inclusion and its impact on the profit efficiency of MSMEs, which includes access to and use of savings, lending, insurance, and banking services. The study's data is derived from the 2019 FinScope: Malawi MSME Survey on Financial Inclusion, which employed a multi-stage sampling scheme, targeting 2,992 MSMEs through random and purposive sampling. The data captures levels of financial inclusion, operational activity, and some basic socio-economic characteristics of these MSMEs. </w:t>
      </w:r>
      <w:r w:rsidRPr="00746D97">
        <w:lastRenderedPageBreak/>
        <w:t>An endogenous switching regression (ESR) model was used to consider the joint effect of the decision to engage in financial inclusion and its impact on profit efficiency.</w:t>
      </w:r>
    </w:p>
    <w:p w:rsidR="00FE4AF4" w:rsidRPr="00746D97" w:rsidRDefault="00FE4AF4" w:rsidP="00746D97">
      <w:pPr>
        <w:spacing w:before="240" w:line="360" w:lineRule="auto"/>
        <w:jc w:val="both"/>
        <w:rPr>
          <w:rStyle w:val="Strong"/>
          <w:b w:val="0"/>
          <w:bCs w:val="0"/>
        </w:rPr>
      </w:pPr>
      <w:r w:rsidRPr="00746D97">
        <w:t>The endogenous switching regression (ESR) model results were conclusive: the uptake of financial services significantly improves enterprise profit efficiency. More specifically, access to financial services, credit, and savings contributed positively and significantly to increased profit efficiency scores, implying that greater financial inclusion enhances resource allocation, risk management, and operational expansion. Seemingly, self-selection bias, indicated by the negative and significant correlation coefficients (rho) revealed in the financial services credit and savings models, suggests that unobserved effects influence the decision for financial service access and efficiency results. This supports the case for using the ESR and similar models that eliminate such biases to provide accurate impact estimates. Additionally, firm characteristics such as SMED support, entrepreneurial duration, and access to infrastructural facilities like piped water enhanced efficiency, demonstrating deep insights into the multifactor nature of enterprise performance.</w:t>
      </w:r>
    </w:p>
    <w:p w:rsidR="00FE4AF4" w:rsidRPr="00746D97" w:rsidRDefault="00FE4AF4" w:rsidP="00746D97">
      <w:pPr>
        <w:spacing w:before="240" w:line="360" w:lineRule="auto"/>
        <w:jc w:val="both"/>
      </w:pPr>
      <w:r w:rsidRPr="00746D97">
        <w:t>Based on these findings, the government is urged to adopt a comprehensive strategy to expand financial inclusion. This includes making affordable financial services accessible to the public, formally establishing and promoting MSME institutions like SMED, and improving basic infrastructure such as digital services and water access. Streamlining business registration and providing incentives for financial record-keeping can also facilitate greater access to formal financing. These strategies will likely boost financial inclusion, enhance profitability, and promote firm growth.</w:t>
      </w:r>
    </w:p>
    <w:p w:rsidR="00363161" w:rsidRPr="00746D97" w:rsidRDefault="00EC18C2" w:rsidP="00746D97">
      <w:pPr>
        <w:spacing w:before="240" w:line="360" w:lineRule="auto"/>
        <w:jc w:val="both"/>
        <w:rPr>
          <w:b/>
        </w:rPr>
      </w:pPr>
      <w:r w:rsidRPr="00746D97">
        <w:rPr>
          <w:b/>
        </w:rPr>
        <w:t>6.0</w:t>
      </w:r>
      <w:r w:rsidRPr="00746D97">
        <w:rPr>
          <w:b/>
        </w:rPr>
        <w:tab/>
      </w:r>
      <w:r w:rsidR="00363161" w:rsidRPr="00746D97">
        <w:rPr>
          <w:b/>
        </w:rPr>
        <w:t xml:space="preserve">Limitations of the </w:t>
      </w:r>
      <w:r w:rsidR="007B5ED2" w:rsidRPr="00746D97">
        <w:rPr>
          <w:b/>
        </w:rPr>
        <w:t>s</w:t>
      </w:r>
      <w:r w:rsidR="00363161" w:rsidRPr="00746D97">
        <w:rPr>
          <w:b/>
        </w:rPr>
        <w:t>tudy</w:t>
      </w:r>
    </w:p>
    <w:p w:rsidR="00B70CCA" w:rsidRPr="00746D97" w:rsidRDefault="00B65DB3" w:rsidP="00746D97">
      <w:pPr>
        <w:spacing w:line="360" w:lineRule="auto"/>
        <w:jc w:val="both"/>
      </w:pPr>
      <w:r w:rsidRPr="00746D97">
        <w:t xml:space="preserve">Although the study accounted for potential selection on unobservables that influence the decision to access finance and profit efficiency, it is </w:t>
      </w:r>
      <w:r w:rsidR="00FE4AF4" w:rsidRPr="00746D97">
        <w:t>essential</w:t>
      </w:r>
      <w:r w:rsidRPr="00746D97">
        <w:t xml:space="preserve"> to acknowledge possible limitations. One notable limitation is the dataset itself; the study used cross-sectional data, which makes it challenging to control for firm-specific unobserved heterogeneity compared to panel data. Furthermore, since the chosen instruments of </w:t>
      </w:r>
      <w:r w:rsidRPr="00746D97">
        <w:rPr>
          <w:i/>
        </w:rPr>
        <w:t>business networks, internet access, and maintaining financial records</w:t>
      </w:r>
      <w:r w:rsidRPr="00746D97">
        <w:t xml:space="preserve"> rely on observational data, the estimates are unlikely to be causal. This study, therefore, acknowledges that </w:t>
      </w:r>
      <w:r w:rsidR="00FE4AF4" w:rsidRPr="00746D97">
        <w:t>to</w:t>
      </w:r>
      <w:r w:rsidRPr="00746D97">
        <w:t xml:space="preserve"> obtain causal estimates, not only is panel data necessary, as explained, but also the application of stronger models like the difference-in-differences (DiD), </w:t>
      </w:r>
      <w:r w:rsidRPr="00746D97">
        <w:lastRenderedPageBreak/>
        <w:t xml:space="preserve">which would require assessing policy changes as treatment. Since 2014, two </w:t>
      </w:r>
      <w:r w:rsidR="00FE4AF4" w:rsidRPr="00746D97">
        <w:t>critical</w:t>
      </w:r>
      <w:r w:rsidRPr="00746D97">
        <w:t xml:space="preserve"> policies have been foundational in explaining financial services uptake in Malawi; therefore, evaluating how the same affects profit efficiency among small-scale firms would be </w:t>
      </w:r>
      <w:r w:rsidR="00FE4AF4" w:rsidRPr="00746D97">
        <w:t>helpful</w:t>
      </w:r>
      <w:r w:rsidRPr="00746D97">
        <w:t>.</w:t>
      </w:r>
    </w:p>
    <w:p w:rsidR="00EC18C2" w:rsidRDefault="00EC18C2" w:rsidP="00460327">
      <w:pPr>
        <w:spacing w:before="240" w:after="240" w:line="360" w:lineRule="auto"/>
        <w:jc w:val="both"/>
        <w:rPr>
          <w:b/>
        </w:rPr>
        <w:sectPr w:rsidR="00EC18C2">
          <w:pgSz w:w="12240" w:h="15840"/>
          <w:pgMar w:top="1440" w:right="1440" w:bottom="1440" w:left="1440" w:header="708" w:footer="708" w:gutter="0"/>
          <w:cols w:space="708"/>
          <w:docGrid w:linePitch="360"/>
        </w:sectPr>
      </w:pPr>
    </w:p>
    <w:p w:rsidR="00676474" w:rsidRPr="001D2D55" w:rsidRDefault="00676474" w:rsidP="00460327">
      <w:pPr>
        <w:spacing w:before="240" w:after="240" w:line="360" w:lineRule="auto"/>
        <w:jc w:val="both"/>
        <w:rPr>
          <w:b/>
          <w:sz w:val="22"/>
          <w:szCs w:val="22"/>
        </w:rPr>
      </w:pPr>
      <w:r w:rsidRPr="001D2D55">
        <w:rPr>
          <w:b/>
          <w:sz w:val="22"/>
          <w:szCs w:val="22"/>
        </w:rPr>
        <w:lastRenderedPageBreak/>
        <w:t>References</w:t>
      </w:r>
    </w:p>
    <w:p w:rsidR="00281702" w:rsidRPr="00DC158C" w:rsidRDefault="00281702" w:rsidP="00DC158C">
      <w:pPr>
        <w:pStyle w:val="NormalWeb"/>
        <w:spacing w:line="276" w:lineRule="auto"/>
        <w:jc w:val="both"/>
        <w:rPr>
          <w:sz w:val="22"/>
          <w:szCs w:val="22"/>
        </w:rPr>
      </w:pPr>
      <w:proofErr w:type="spellStart"/>
      <w:r w:rsidRPr="00DC158C">
        <w:rPr>
          <w:sz w:val="22"/>
          <w:szCs w:val="22"/>
        </w:rPr>
        <w:t>Adedokun</w:t>
      </w:r>
      <w:proofErr w:type="spellEnd"/>
      <w:r w:rsidRPr="00DC158C">
        <w:rPr>
          <w:sz w:val="22"/>
          <w:szCs w:val="22"/>
        </w:rPr>
        <w:t xml:space="preserve">, M.W., Aga, M., 2021. Financial inclusion: a pathway to economic growth in Sub-Saharan African economies. Int. J. </w:t>
      </w:r>
      <w:proofErr w:type="spellStart"/>
      <w:r w:rsidRPr="00DC158C">
        <w:rPr>
          <w:sz w:val="22"/>
          <w:szCs w:val="22"/>
        </w:rPr>
        <w:t>Financ</w:t>
      </w:r>
      <w:proofErr w:type="spellEnd"/>
      <w:r w:rsidRPr="00DC158C">
        <w:rPr>
          <w:sz w:val="22"/>
          <w:szCs w:val="22"/>
        </w:rPr>
        <w:t xml:space="preserve">. Econ. 28 (4), 1–17. </w:t>
      </w:r>
    </w:p>
    <w:p w:rsidR="00281702" w:rsidRPr="00DC158C" w:rsidRDefault="00281702" w:rsidP="00DC158C">
      <w:pPr>
        <w:spacing w:before="240" w:after="240" w:line="360" w:lineRule="auto"/>
        <w:jc w:val="both"/>
        <w:rPr>
          <w:sz w:val="22"/>
          <w:szCs w:val="22"/>
        </w:rPr>
      </w:pPr>
      <w:r w:rsidRPr="00DC158C">
        <w:rPr>
          <w:sz w:val="22"/>
          <w:szCs w:val="22"/>
        </w:rPr>
        <w:t xml:space="preserve">Adegbite, O. O., &amp; Machethe, C. L. (2020). Bridging the financial inclusion gender gap in smallholder agriculture in Nigeria: an untapped potential for sustainable development. World Development, 127. </w:t>
      </w:r>
    </w:p>
    <w:p w:rsidR="00281702" w:rsidRPr="00DC158C" w:rsidRDefault="00281702" w:rsidP="00DC158C">
      <w:pPr>
        <w:pStyle w:val="NormalWeb"/>
        <w:spacing w:line="276" w:lineRule="auto"/>
        <w:jc w:val="both"/>
        <w:rPr>
          <w:sz w:val="22"/>
          <w:szCs w:val="22"/>
        </w:rPr>
      </w:pPr>
      <w:proofErr w:type="spellStart"/>
      <w:r w:rsidRPr="00DC158C">
        <w:rPr>
          <w:sz w:val="22"/>
          <w:szCs w:val="22"/>
        </w:rPr>
        <w:t>Ahamed</w:t>
      </w:r>
      <w:proofErr w:type="spellEnd"/>
      <w:r w:rsidRPr="00DC158C">
        <w:rPr>
          <w:sz w:val="22"/>
          <w:szCs w:val="22"/>
        </w:rPr>
        <w:t xml:space="preserve">, M.M., </w:t>
      </w:r>
      <w:proofErr w:type="spellStart"/>
      <w:r w:rsidRPr="00DC158C">
        <w:rPr>
          <w:sz w:val="22"/>
          <w:szCs w:val="22"/>
        </w:rPr>
        <w:t>Mallick</w:t>
      </w:r>
      <w:proofErr w:type="spellEnd"/>
      <w:r w:rsidRPr="00DC158C">
        <w:rPr>
          <w:sz w:val="22"/>
          <w:szCs w:val="22"/>
        </w:rPr>
        <w:t xml:space="preserve">, S.K., 2019. Is financial inclusion good for bank stability? International evidence. J. Econ. </w:t>
      </w:r>
      <w:proofErr w:type="spellStart"/>
      <w:r w:rsidRPr="00DC158C">
        <w:rPr>
          <w:sz w:val="22"/>
          <w:szCs w:val="22"/>
        </w:rPr>
        <w:t>Behav</w:t>
      </w:r>
      <w:proofErr w:type="spellEnd"/>
      <w:r w:rsidRPr="00DC158C">
        <w:rPr>
          <w:sz w:val="22"/>
          <w:szCs w:val="22"/>
        </w:rPr>
        <w:t xml:space="preserve">. Organ. 157, 403–427. </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Aigner, D., Lovell, C. A. K., &amp; Schmidt, P. (1977). Formulation and estimation of stochastic frontier production function models. </w:t>
      </w:r>
      <w:r w:rsidRPr="00DC158C">
        <w:rPr>
          <w:i/>
          <w:iCs/>
          <w:sz w:val="22"/>
          <w:szCs w:val="22"/>
        </w:rPr>
        <w:t>Journal of Econometrics, 6</w:t>
      </w:r>
      <w:r w:rsidRPr="00DC158C">
        <w:rPr>
          <w:sz w:val="22"/>
          <w:szCs w:val="22"/>
        </w:rPr>
        <w:t>(1), 21–37.</w:t>
      </w:r>
    </w:p>
    <w:p w:rsidR="00281702" w:rsidRPr="00DC158C" w:rsidRDefault="00281702" w:rsidP="00DC158C">
      <w:pPr>
        <w:spacing w:before="240" w:line="276" w:lineRule="auto"/>
        <w:jc w:val="both"/>
        <w:rPr>
          <w:sz w:val="22"/>
          <w:szCs w:val="22"/>
        </w:rPr>
      </w:pPr>
      <w:r w:rsidRPr="00DC158C">
        <w:rPr>
          <w:sz w:val="22"/>
          <w:szCs w:val="22"/>
        </w:rPr>
        <w:t xml:space="preserve">Aker, J. C., </w:t>
      </w:r>
      <w:proofErr w:type="spellStart"/>
      <w:r w:rsidRPr="00DC158C">
        <w:rPr>
          <w:sz w:val="22"/>
          <w:szCs w:val="22"/>
        </w:rPr>
        <w:t>Boumnijel</w:t>
      </w:r>
      <w:proofErr w:type="spellEnd"/>
      <w:r w:rsidRPr="00DC158C">
        <w:rPr>
          <w:sz w:val="22"/>
          <w:szCs w:val="22"/>
        </w:rPr>
        <w:t xml:space="preserve">, R., McClelland, A., &amp; Tierney, N. (2016). </w:t>
      </w:r>
      <w:r w:rsidRPr="00DC158C">
        <w:rPr>
          <w:i/>
          <w:iCs/>
          <w:sz w:val="22"/>
          <w:szCs w:val="22"/>
        </w:rPr>
        <w:t>Payment mechanisms and antipoverty programs: Evidence from a mobile money cash transfer experiment in Niger</w:t>
      </w:r>
      <w:r w:rsidRPr="00DC158C">
        <w:rPr>
          <w:sz w:val="22"/>
          <w:szCs w:val="22"/>
        </w:rPr>
        <w:t>. Economic Development and Cultural Change, 65(1), 1–37.</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Alliance for Financial Inclusion (AFI). (2024). </w:t>
      </w:r>
      <w:r w:rsidRPr="00DC158C">
        <w:rPr>
          <w:i/>
          <w:iCs/>
          <w:sz w:val="22"/>
          <w:szCs w:val="22"/>
        </w:rPr>
        <w:t>Malawi National Strategy for Financial Inclusion III (2024–2028)</w:t>
      </w:r>
      <w:r w:rsidRPr="00DC158C">
        <w:rPr>
          <w:sz w:val="22"/>
          <w:szCs w:val="22"/>
        </w:rPr>
        <w:t>. https://www.afi-global.org/publication/malawi-national-strategy-for-financial-inclusion-iii</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Álvarez, R., &amp; Crespi, G. (2003). Determinants of technical efficiency in small firms. </w:t>
      </w:r>
      <w:r w:rsidRPr="00DC158C">
        <w:rPr>
          <w:i/>
          <w:iCs/>
          <w:sz w:val="22"/>
          <w:szCs w:val="22"/>
        </w:rPr>
        <w:t>Small Business Economics, 20</w:t>
      </w:r>
      <w:r w:rsidRPr="00DC158C">
        <w:rPr>
          <w:sz w:val="22"/>
          <w:szCs w:val="22"/>
        </w:rPr>
        <w:t>(3), 233–244.</w:t>
      </w:r>
    </w:p>
    <w:p w:rsidR="00281702" w:rsidRPr="00DC158C" w:rsidRDefault="00281702" w:rsidP="00DC158C">
      <w:pPr>
        <w:spacing w:before="240" w:after="240" w:line="360" w:lineRule="auto"/>
        <w:jc w:val="both"/>
        <w:rPr>
          <w:sz w:val="22"/>
          <w:szCs w:val="22"/>
        </w:rPr>
      </w:pPr>
      <w:r w:rsidRPr="00DC158C">
        <w:rPr>
          <w:sz w:val="22"/>
          <w:szCs w:val="22"/>
        </w:rPr>
        <w:t>Ayyagari, M., Demirguc-Kunt, A., &amp; Klapper, L. (2011). Financial Inclusion in Emerging Economies: The Dawn of a New Era. The World Bank.</w:t>
      </w:r>
    </w:p>
    <w:p w:rsidR="00281702" w:rsidRPr="00DC158C" w:rsidRDefault="00281702" w:rsidP="00DC158C">
      <w:pPr>
        <w:spacing w:before="240" w:line="276" w:lineRule="auto"/>
        <w:jc w:val="both"/>
        <w:rPr>
          <w:sz w:val="22"/>
          <w:szCs w:val="22"/>
        </w:rPr>
      </w:pPr>
      <w:r w:rsidRPr="00DC158C">
        <w:rPr>
          <w:sz w:val="22"/>
          <w:szCs w:val="22"/>
        </w:rPr>
        <w:t xml:space="preserve">Banerjee, A. V., &amp; Duflo, E. (2014). </w:t>
      </w:r>
      <w:r w:rsidRPr="00DC158C">
        <w:rPr>
          <w:i/>
          <w:iCs/>
          <w:sz w:val="22"/>
          <w:szCs w:val="22"/>
        </w:rPr>
        <w:t>Do firms want to borrow more? Testing credit constraints using a directed lending program</w:t>
      </w:r>
      <w:r w:rsidRPr="00DC158C">
        <w:rPr>
          <w:sz w:val="22"/>
          <w:szCs w:val="22"/>
        </w:rPr>
        <w:t>. Review of Economic Studies, 81(2), 572–607.</w:t>
      </w:r>
    </w:p>
    <w:p w:rsidR="00281702" w:rsidRPr="00DC158C" w:rsidRDefault="00281702" w:rsidP="00DC158C">
      <w:pPr>
        <w:pStyle w:val="NormalWeb"/>
        <w:spacing w:line="276" w:lineRule="auto"/>
        <w:jc w:val="both"/>
        <w:rPr>
          <w:sz w:val="22"/>
          <w:szCs w:val="22"/>
        </w:rPr>
      </w:pPr>
      <w:r w:rsidRPr="00DC158C">
        <w:rPr>
          <w:sz w:val="22"/>
          <w:szCs w:val="22"/>
        </w:rPr>
        <w:t xml:space="preserve">Banerjee, A., Duflo, E., </w:t>
      </w:r>
      <w:proofErr w:type="spellStart"/>
      <w:r w:rsidRPr="00DC158C">
        <w:rPr>
          <w:sz w:val="22"/>
          <w:szCs w:val="22"/>
        </w:rPr>
        <w:t>Glennerster</w:t>
      </w:r>
      <w:proofErr w:type="spellEnd"/>
      <w:r w:rsidRPr="00DC158C">
        <w:rPr>
          <w:sz w:val="22"/>
          <w:szCs w:val="22"/>
        </w:rPr>
        <w:t xml:space="preserve">, R., &amp; </w:t>
      </w:r>
      <w:proofErr w:type="spellStart"/>
      <w:r w:rsidRPr="00DC158C">
        <w:rPr>
          <w:sz w:val="22"/>
          <w:szCs w:val="22"/>
        </w:rPr>
        <w:t>Kinnan</w:t>
      </w:r>
      <w:proofErr w:type="spellEnd"/>
      <w:r w:rsidRPr="00DC158C">
        <w:rPr>
          <w:sz w:val="22"/>
          <w:szCs w:val="22"/>
        </w:rPr>
        <w:t xml:space="preserve">, C. (2015). The miracle of microfinance? Evidence from a randomized evaluation. </w:t>
      </w:r>
      <w:r w:rsidRPr="00DC158C">
        <w:rPr>
          <w:rStyle w:val="Emphasis"/>
          <w:sz w:val="22"/>
          <w:szCs w:val="22"/>
        </w:rPr>
        <w:t>American Economic Journal: Applied Economics, 7</w:t>
      </w:r>
      <w:r w:rsidRPr="00DC158C">
        <w:rPr>
          <w:sz w:val="22"/>
          <w:szCs w:val="22"/>
        </w:rPr>
        <w:t>(1), 22–53.</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Battese, G. E., &amp; Coelli, T. J. (1995). A model for technical inefficiency effects in a stochastic frontier production function for panel data. </w:t>
      </w:r>
      <w:r w:rsidRPr="00DC158C">
        <w:rPr>
          <w:i/>
          <w:iCs/>
          <w:sz w:val="22"/>
          <w:szCs w:val="22"/>
        </w:rPr>
        <w:t>Empirical Economics, 20</w:t>
      </w:r>
      <w:r w:rsidRPr="00DC158C">
        <w:rPr>
          <w:sz w:val="22"/>
          <w:szCs w:val="22"/>
        </w:rPr>
        <w:t>(2), 325–332.</w:t>
      </w:r>
    </w:p>
    <w:p w:rsidR="00281702" w:rsidRPr="00DC158C" w:rsidRDefault="00281702" w:rsidP="00DC158C">
      <w:pPr>
        <w:pStyle w:val="NormalWeb"/>
        <w:spacing w:line="276" w:lineRule="auto"/>
        <w:jc w:val="both"/>
        <w:rPr>
          <w:sz w:val="22"/>
          <w:szCs w:val="22"/>
        </w:rPr>
      </w:pPr>
      <w:r w:rsidRPr="00DC158C">
        <w:rPr>
          <w:sz w:val="22"/>
          <w:szCs w:val="22"/>
        </w:rPr>
        <w:t xml:space="preserve">Beck, T., &amp; Demirgüç-Kunt, A. (2006). Small and medium-size enterprises: Access to finance as a growth constraint. </w:t>
      </w:r>
      <w:r w:rsidRPr="00DC158C">
        <w:rPr>
          <w:rStyle w:val="Emphasis"/>
          <w:sz w:val="22"/>
          <w:szCs w:val="22"/>
        </w:rPr>
        <w:t>Journal of Banking &amp; Finance, 30</w:t>
      </w:r>
      <w:r w:rsidRPr="00DC158C">
        <w:rPr>
          <w:sz w:val="22"/>
          <w:szCs w:val="22"/>
        </w:rPr>
        <w:t>(11), 2931–2943.</w:t>
      </w:r>
    </w:p>
    <w:p w:rsidR="00281702" w:rsidRPr="00DC158C" w:rsidRDefault="00281702" w:rsidP="00DC158C">
      <w:pPr>
        <w:pStyle w:val="NormalWeb"/>
        <w:spacing w:line="276" w:lineRule="auto"/>
        <w:jc w:val="both"/>
        <w:rPr>
          <w:sz w:val="22"/>
          <w:szCs w:val="22"/>
        </w:rPr>
      </w:pPr>
      <w:r w:rsidRPr="00DC158C">
        <w:rPr>
          <w:sz w:val="22"/>
          <w:szCs w:val="22"/>
        </w:rPr>
        <w:t xml:space="preserve">Beck, T., Demirgüç-Kunt, A., &amp; Levine, R. (2008). </w:t>
      </w:r>
      <w:r w:rsidRPr="00DC158C">
        <w:rPr>
          <w:rStyle w:val="Emphasis"/>
          <w:sz w:val="22"/>
          <w:szCs w:val="22"/>
        </w:rPr>
        <w:t>Finance, firm size, and growth.</w:t>
      </w:r>
      <w:r w:rsidRPr="00DC158C">
        <w:rPr>
          <w:sz w:val="22"/>
          <w:szCs w:val="22"/>
        </w:rPr>
        <w:t xml:space="preserve"> Journal of Money, Credit and Banking, 40(7), 1379–1405.</w:t>
      </w:r>
    </w:p>
    <w:p w:rsidR="00281702" w:rsidRPr="00DC158C" w:rsidRDefault="00281702" w:rsidP="00DC158C">
      <w:pPr>
        <w:pStyle w:val="NormalWeb"/>
        <w:spacing w:line="276" w:lineRule="auto"/>
        <w:jc w:val="both"/>
        <w:rPr>
          <w:sz w:val="22"/>
          <w:szCs w:val="22"/>
        </w:rPr>
      </w:pPr>
      <w:r w:rsidRPr="00DC158C">
        <w:rPr>
          <w:sz w:val="22"/>
          <w:szCs w:val="22"/>
        </w:rPr>
        <w:t xml:space="preserve">Beck, T., Demirgüç-Kunt, A., &amp; Levine, R. (2008). </w:t>
      </w:r>
      <w:r w:rsidRPr="00DC158C">
        <w:rPr>
          <w:rStyle w:val="Emphasis"/>
          <w:sz w:val="22"/>
          <w:szCs w:val="22"/>
        </w:rPr>
        <w:t>Finance, firm size, and growth.</w:t>
      </w:r>
      <w:r w:rsidRPr="00DC158C">
        <w:rPr>
          <w:sz w:val="22"/>
          <w:szCs w:val="22"/>
        </w:rPr>
        <w:t xml:space="preserve"> Journal of Money, Credit and Banking, 40(7), 1379–1405.</w:t>
      </w:r>
    </w:p>
    <w:p w:rsidR="00281702" w:rsidRDefault="00281702" w:rsidP="00281702">
      <w:pPr>
        <w:pStyle w:val="NormalWeb"/>
      </w:pPr>
      <w:r>
        <w:lastRenderedPageBreak/>
        <w:t xml:space="preserve">Beck, T., Demirgüç-Kunt, A., &amp; Maksimovic, V. (2005). Financial and legal constraints to growth: Does firm size matter? </w:t>
      </w:r>
      <w:r>
        <w:rPr>
          <w:rStyle w:val="Emphasis"/>
        </w:rPr>
        <w:t>The Journal of Finance</w:t>
      </w:r>
      <w:r>
        <w:t xml:space="preserve">, </w:t>
      </w:r>
      <w:r>
        <w:rPr>
          <w:rStyle w:val="Emphasis"/>
        </w:rPr>
        <w:t>60</w:t>
      </w:r>
      <w:r>
        <w:t>(1), 137–177. https://doi.org/10.1111/j.1540-6261.2005.00727.x</w:t>
      </w:r>
    </w:p>
    <w:p w:rsidR="00281702" w:rsidRPr="00DC158C" w:rsidRDefault="00281702" w:rsidP="00DC158C">
      <w:pPr>
        <w:pStyle w:val="NormalWeb"/>
        <w:spacing w:line="276" w:lineRule="auto"/>
        <w:jc w:val="both"/>
        <w:rPr>
          <w:sz w:val="22"/>
          <w:szCs w:val="22"/>
        </w:rPr>
      </w:pPr>
      <w:r w:rsidRPr="00DC158C">
        <w:rPr>
          <w:sz w:val="22"/>
          <w:szCs w:val="22"/>
        </w:rPr>
        <w:t xml:space="preserve">Beck, T., Demirgüç-Kunt, A., &amp; </w:t>
      </w:r>
      <w:proofErr w:type="spellStart"/>
      <w:r w:rsidRPr="00DC158C">
        <w:rPr>
          <w:sz w:val="22"/>
          <w:szCs w:val="22"/>
        </w:rPr>
        <w:t>Pería</w:t>
      </w:r>
      <w:proofErr w:type="spellEnd"/>
      <w:r w:rsidRPr="00DC158C">
        <w:rPr>
          <w:sz w:val="22"/>
          <w:szCs w:val="22"/>
        </w:rPr>
        <w:t xml:space="preserve">, M. S. M. (2009). Banking services for everyone? Barriers to bank access and use around the world. </w:t>
      </w:r>
      <w:r w:rsidRPr="00DC158C">
        <w:rPr>
          <w:rStyle w:val="Emphasis"/>
          <w:sz w:val="22"/>
          <w:szCs w:val="22"/>
        </w:rPr>
        <w:t>The World Bank Economic Review, 22</w:t>
      </w:r>
      <w:r w:rsidRPr="00DC158C">
        <w:rPr>
          <w:sz w:val="22"/>
          <w:szCs w:val="22"/>
        </w:rPr>
        <w:t>(3), 397–430.</w:t>
      </w:r>
    </w:p>
    <w:p w:rsidR="00281702" w:rsidRPr="00DC158C" w:rsidRDefault="00281702" w:rsidP="00DC158C">
      <w:pPr>
        <w:spacing w:before="240" w:after="240" w:line="360" w:lineRule="auto"/>
        <w:jc w:val="both"/>
        <w:rPr>
          <w:sz w:val="22"/>
          <w:szCs w:val="22"/>
        </w:rPr>
      </w:pPr>
      <w:r w:rsidRPr="00DC158C">
        <w:rPr>
          <w:sz w:val="22"/>
          <w:szCs w:val="22"/>
        </w:rPr>
        <w:t xml:space="preserve">Bruhn, M., &amp; Love, I. (2014). The real impact of improved access to finance: Evidence from Mexico. </w:t>
      </w:r>
      <w:r w:rsidRPr="00DC158C">
        <w:rPr>
          <w:rStyle w:val="Emphasis"/>
          <w:sz w:val="22"/>
          <w:szCs w:val="22"/>
        </w:rPr>
        <w:t>The Journal of Finance, 69</w:t>
      </w:r>
      <w:r w:rsidRPr="00DC158C">
        <w:rPr>
          <w:sz w:val="22"/>
          <w:szCs w:val="22"/>
        </w:rPr>
        <w:t>(3), 1347–1376. https://doi.org/10.1111/jofi.12091</w:t>
      </w:r>
    </w:p>
    <w:p w:rsidR="00281702" w:rsidRPr="00DC158C" w:rsidRDefault="00281702" w:rsidP="00DC158C">
      <w:pPr>
        <w:spacing w:before="240" w:after="240" w:line="360" w:lineRule="auto"/>
        <w:jc w:val="both"/>
        <w:rPr>
          <w:sz w:val="22"/>
          <w:szCs w:val="22"/>
        </w:rPr>
      </w:pPr>
      <w:r w:rsidRPr="00DC158C">
        <w:rPr>
          <w:sz w:val="22"/>
          <w:szCs w:val="22"/>
        </w:rPr>
        <w:t xml:space="preserve">Brümmer, B., &amp; Loy, J. P. (2000). The technical efficiency impact of farm credit programmes: A case study of northern Germany. </w:t>
      </w:r>
      <w:r w:rsidRPr="00DC158C">
        <w:rPr>
          <w:rStyle w:val="Emphasis"/>
          <w:sz w:val="22"/>
          <w:szCs w:val="22"/>
        </w:rPr>
        <w:t>Journal of Agricultural Economics, 51</w:t>
      </w:r>
      <w:r w:rsidRPr="00DC158C">
        <w:rPr>
          <w:sz w:val="22"/>
          <w:szCs w:val="22"/>
        </w:rPr>
        <w:t>(3), 405–418.</w:t>
      </w:r>
    </w:p>
    <w:p w:rsidR="00281702" w:rsidRPr="00DC158C" w:rsidRDefault="00281702" w:rsidP="00DC158C">
      <w:pPr>
        <w:spacing w:before="240" w:line="276" w:lineRule="auto"/>
        <w:jc w:val="both"/>
        <w:rPr>
          <w:sz w:val="22"/>
          <w:szCs w:val="22"/>
        </w:rPr>
      </w:pPr>
      <w:r w:rsidRPr="00DC158C">
        <w:rPr>
          <w:sz w:val="22"/>
          <w:szCs w:val="22"/>
        </w:rPr>
        <w:t xml:space="preserve">Calderón, C., &amp; Servén, L. (2010). </w:t>
      </w:r>
      <w:r w:rsidRPr="00DC158C">
        <w:rPr>
          <w:i/>
          <w:iCs/>
          <w:sz w:val="22"/>
          <w:szCs w:val="22"/>
        </w:rPr>
        <w:t>Infrastructure and economic development in Sub-Saharan Africa</w:t>
      </w:r>
      <w:r w:rsidRPr="00DC158C">
        <w:rPr>
          <w:sz w:val="22"/>
          <w:szCs w:val="22"/>
        </w:rPr>
        <w:t>. Journal of African Economies, 19(suppl_1), i13–i87.</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Caliendo, M., &amp; Kopeinig, S. (2008). Some practical guidance for the implementation of propensity score matching. </w:t>
      </w:r>
      <w:r w:rsidRPr="00DC158C">
        <w:rPr>
          <w:i/>
          <w:iCs/>
          <w:sz w:val="22"/>
          <w:szCs w:val="22"/>
        </w:rPr>
        <w:t>Journal of Economic Surveys, 22</w:t>
      </w:r>
      <w:r w:rsidRPr="00DC158C">
        <w:rPr>
          <w:sz w:val="22"/>
          <w:szCs w:val="22"/>
        </w:rPr>
        <w:t>(1), 31–72.</w:t>
      </w:r>
    </w:p>
    <w:p w:rsidR="00281702" w:rsidRPr="00DC158C" w:rsidRDefault="00281702" w:rsidP="00DC158C">
      <w:pPr>
        <w:pStyle w:val="NormalWeb"/>
        <w:spacing w:line="276" w:lineRule="auto"/>
        <w:jc w:val="both"/>
        <w:rPr>
          <w:sz w:val="22"/>
          <w:szCs w:val="22"/>
        </w:rPr>
      </w:pPr>
      <w:proofErr w:type="spellStart"/>
      <w:r w:rsidRPr="00DC158C">
        <w:rPr>
          <w:sz w:val="22"/>
          <w:szCs w:val="22"/>
        </w:rPr>
        <w:t>Chauvet</w:t>
      </w:r>
      <w:proofErr w:type="spellEnd"/>
      <w:r w:rsidRPr="00DC158C">
        <w:rPr>
          <w:sz w:val="22"/>
          <w:szCs w:val="22"/>
        </w:rPr>
        <w:t xml:space="preserve">, L., </w:t>
      </w:r>
      <w:proofErr w:type="spellStart"/>
      <w:r w:rsidRPr="00DC158C">
        <w:rPr>
          <w:sz w:val="22"/>
          <w:szCs w:val="22"/>
        </w:rPr>
        <w:t>Jacolin</w:t>
      </w:r>
      <w:proofErr w:type="spellEnd"/>
      <w:r w:rsidRPr="00DC158C">
        <w:rPr>
          <w:sz w:val="22"/>
          <w:szCs w:val="22"/>
        </w:rPr>
        <w:t xml:space="preserve">, L., 2017. Financial inclusion, bank concentration, and firm performance. World Dev. 97, 1–13. </w:t>
      </w:r>
    </w:p>
    <w:p w:rsidR="00281702" w:rsidRPr="00DC158C" w:rsidRDefault="00281702" w:rsidP="00DC158C">
      <w:pPr>
        <w:jc w:val="both"/>
        <w:rPr>
          <w:sz w:val="22"/>
          <w:szCs w:val="22"/>
        </w:rPr>
      </w:pPr>
      <w:r w:rsidRPr="00DC158C">
        <w:rPr>
          <w:sz w:val="22"/>
          <w:szCs w:val="22"/>
        </w:rPr>
        <w:t xml:space="preserve">Chen, </w:t>
      </w:r>
      <w:proofErr w:type="gramStart"/>
      <w:r w:rsidRPr="00DC158C">
        <w:rPr>
          <w:sz w:val="22"/>
          <w:szCs w:val="22"/>
        </w:rPr>
        <w:t>T. ,</w:t>
      </w:r>
      <w:proofErr w:type="gramEnd"/>
      <w:r w:rsidRPr="00DC158C">
        <w:rPr>
          <w:sz w:val="22"/>
          <w:szCs w:val="22"/>
        </w:rPr>
        <w:t xml:space="preserve"> </w:t>
      </w:r>
      <w:proofErr w:type="spellStart"/>
      <w:r w:rsidRPr="00DC158C">
        <w:rPr>
          <w:sz w:val="22"/>
          <w:szCs w:val="22"/>
        </w:rPr>
        <w:t>Harford</w:t>
      </w:r>
      <w:proofErr w:type="spellEnd"/>
      <w:r w:rsidRPr="00DC158C">
        <w:rPr>
          <w:sz w:val="22"/>
          <w:szCs w:val="22"/>
        </w:rPr>
        <w:t xml:space="preserve">, J. , Lin, C. , 2015. Do analysts matter for governance? </w:t>
      </w:r>
      <w:proofErr w:type="spellStart"/>
      <w:r w:rsidRPr="00DC158C">
        <w:rPr>
          <w:sz w:val="22"/>
          <w:szCs w:val="22"/>
        </w:rPr>
        <w:t>Ev</w:t>
      </w:r>
      <w:proofErr w:type="spellEnd"/>
      <w:r w:rsidRPr="00DC158C">
        <w:rPr>
          <w:sz w:val="22"/>
          <w:szCs w:val="22"/>
        </w:rPr>
        <w:t xml:space="preserve">- </w:t>
      </w:r>
      <w:proofErr w:type="spellStart"/>
      <w:r w:rsidRPr="00DC158C">
        <w:rPr>
          <w:sz w:val="22"/>
          <w:szCs w:val="22"/>
        </w:rPr>
        <w:t>idence</w:t>
      </w:r>
      <w:proofErr w:type="spellEnd"/>
      <w:r w:rsidRPr="00DC158C">
        <w:rPr>
          <w:sz w:val="22"/>
          <w:szCs w:val="22"/>
        </w:rPr>
        <w:t xml:space="preserve"> from natural experiments. J. </w:t>
      </w:r>
      <w:proofErr w:type="spellStart"/>
      <w:r w:rsidRPr="00DC158C">
        <w:rPr>
          <w:sz w:val="22"/>
          <w:szCs w:val="22"/>
        </w:rPr>
        <w:t>Financ</w:t>
      </w:r>
      <w:proofErr w:type="spellEnd"/>
      <w:r w:rsidRPr="00DC158C">
        <w:rPr>
          <w:sz w:val="22"/>
          <w:szCs w:val="22"/>
        </w:rPr>
        <w:t>. Econ. 115 (2), 383–</w:t>
      </w:r>
      <w:proofErr w:type="gramStart"/>
      <w:r w:rsidRPr="00DC158C">
        <w:rPr>
          <w:sz w:val="22"/>
          <w:szCs w:val="22"/>
        </w:rPr>
        <w:t>410 .</w:t>
      </w:r>
      <w:proofErr w:type="gramEnd"/>
      <w:r w:rsidRPr="00DC158C">
        <w:rPr>
          <w:sz w:val="22"/>
          <w:szCs w:val="22"/>
        </w:rPr>
        <w:t xml:space="preserve"> </w:t>
      </w:r>
    </w:p>
    <w:p w:rsidR="00281702" w:rsidRPr="00DC158C" w:rsidRDefault="00281702" w:rsidP="00DC158C">
      <w:pPr>
        <w:spacing w:before="240" w:after="240" w:line="360" w:lineRule="auto"/>
        <w:jc w:val="both"/>
        <w:rPr>
          <w:sz w:val="22"/>
          <w:szCs w:val="22"/>
        </w:rPr>
      </w:pPr>
      <w:r w:rsidRPr="00DC158C">
        <w:rPr>
          <w:sz w:val="22"/>
          <w:szCs w:val="22"/>
        </w:rPr>
        <w:t xml:space="preserve">Chibba, M. (2009). Financial inclusion, poverty reduction and the millennium development goals. The European Journal of Development Research, 21(2), 213–230. </w:t>
      </w:r>
    </w:p>
    <w:p w:rsidR="00281702" w:rsidRPr="00DC158C" w:rsidRDefault="00281702" w:rsidP="00DC158C">
      <w:pPr>
        <w:spacing w:before="100" w:beforeAutospacing="1" w:after="100" w:afterAutospacing="1" w:line="276" w:lineRule="auto"/>
        <w:jc w:val="both"/>
        <w:rPr>
          <w:sz w:val="22"/>
          <w:szCs w:val="22"/>
        </w:rPr>
      </w:pPr>
      <w:r w:rsidRPr="00DC158C">
        <w:rPr>
          <w:sz w:val="22"/>
          <w:szCs w:val="22"/>
        </w:rPr>
        <w:t xml:space="preserve">Chikoko, L., &amp; Chipeta, C. (2021). </w:t>
      </w:r>
      <w:r w:rsidRPr="00DC158C">
        <w:rPr>
          <w:rStyle w:val="Emphasis"/>
          <w:sz w:val="22"/>
          <w:szCs w:val="22"/>
        </w:rPr>
        <w:t>Financial inclusion and firm performance: Evidence from small and medium enterprises in sub-Saharan Africa</w:t>
      </w:r>
      <w:r w:rsidRPr="00DC158C">
        <w:rPr>
          <w:sz w:val="22"/>
          <w:szCs w:val="22"/>
        </w:rPr>
        <w:t xml:space="preserve">. Emerging Markets Finance and Trade, 57(6), 1641–1656. </w:t>
      </w:r>
    </w:p>
    <w:p w:rsidR="00281702" w:rsidRPr="00DC158C" w:rsidRDefault="00281702" w:rsidP="00DC158C">
      <w:pPr>
        <w:spacing w:before="240" w:after="240" w:line="360" w:lineRule="auto"/>
        <w:jc w:val="both"/>
        <w:rPr>
          <w:color w:val="333333"/>
          <w:sz w:val="22"/>
          <w:szCs w:val="22"/>
          <w:shd w:val="clear" w:color="auto" w:fill="FFFFFF"/>
        </w:rPr>
      </w:pPr>
      <w:r w:rsidRPr="00DC158C">
        <w:rPr>
          <w:color w:val="232323"/>
          <w:sz w:val="22"/>
          <w:szCs w:val="22"/>
          <w:shd w:val="clear" w:color="auto" w:fill="FFFFFF"/>
        </w:rPr>
        <w:t>Coelli, T. J., Rao, P., &amp; Battese, G. E. (1998). An Introduction to Efficiency and Productivity Analysis (pp. 263-288). Boston, MA: Kluwer Academic Press.</w:t>
      </w:r>
    </w:p>
    <w:p w:rsidR="00281702" w:rsidRPr="00DC158C" w:rsidRDefault="00281702" w:rsidP="00DC158C">
      <w:pPr>
        <w:spacing w:before="240" w:after="240" w:line="360" w:lineRule="auto"/>
        <w:jc w:val="both"/>
        <w:rPr>
          <w:sz w:val="22"/>
          <w:szCs w:val="22"/>
        </w:rPr>
      </w:pPr>
      <w:r w:rsidRPr="00DC158C">
        <w:rPr>
          <w:sz w:val="22"/>
          <w:szCs w:val="22"/>
        </w:rPr>
        <w:t xml:space="preserve">Coelli, T., Rao, D. S. P., O’Donnell, C., &amp; Battese, G. E. (2005). </w:t>
      </w:r>
      <w:r w:rsidRPr="00DC158C">
        <w:rPr>
          <w:rStyle w:val="Emphasis"/>
          <w:sz w:val="22"/>
          <w:szCs w:val="22"/>
        </w:rPr>
        <w:t>An Introduction to Efficiency and Productivity Analysis</w:t>
      </w:r>
      <w:r w:rsidRPr="00DC158C">
        <w:rPr>
          <w:sz w:val="22"/>
          <w:szCs w:val="22"/>
        </w:rPr>
        <w:t xml:space="preserve"> (2nd ed.). Springer.</w:t>
      </w:r>
    </w:p>
    <w:p w:rsidR="00281702" w:rsidRPr="00DC158C" w:rsidRDefault="00281702" w:rsidP="00DC158C">
      <w:pPr>
        <w:spacing w:before="240" w:after="240" w:line="360" w:lineRule="auto"/>
        <w:jc w:val="both"/>
        <w:rPr>
          <w:sz w:val="22"/>
          <w:szCs w:val="22"/>
        </w:rPr>
      </w:pPr>
      <w:r w:rsidRPr="00DC158C">
        <w:rPr>
          <w:sz w:val="22"/>
          <w:szCs w:val="22"/>
        </w:rPr>
        <w:t xml:space="preserve">Cull, R., Li, W., Sun, B., &amp; Xu, L. C. (2013). </w:t>
      </w:r>
      <w:r w:rsidRPr="00DC158C">
        <w:rPr>
          <w:rStyle w:val="Emphasis"/>
          <w:sz w:val="22"/>
          <w:szCs w:val="22"/>
        </w:rPr>
        <w:t>Government connections and financial constraints: Evidence from a large representative sample of Chinese firms</w:t>
      </w:r>
      <w:r w:rsidRPr="00DC158C">
        <w:rPr>
          <w:sz w:val="22"/>
          <w:szCs w:val="22"/>
        </w:rPr>
        <w:t xml:space="preserve"> (Policy Research Working Paper No. 6352). The World Bank.</w:t>
      </w:r>
    </w:p>
    <w:p w:rsidR="00281702" w:rsidRPr="00DC158C" w:rsidRDefault="00281702" w:rsidP="00DC158C">
      <w:pPr>
        <w:spacing w:before="240" w:after="240" w:line="360" w:lineRule="auto"/>
        <w:jc w:val="both"/>
        <w:rPr>
          <w:sz w:val="22"/>
          <w:szCs w:val="22"/>
        </w:rPr>
      </w:pPr>
      <w:r w:rsidRPr="00DC158C">
        <w:rPr>
          <w:sz w:val="22"/>
          <w:szCs w:val="22"/>
        </w:rPr>
        <w:lastRenderedPageBreak/>
        <w:t xml:space="preserve">Demir, A., </w:t>
      </w:r>
      <w:proofErr w:type="spellStart"/>
      <w:r w:rsidRPr="00DC158C">
        <w:rPr>
          <w:sz w:val="22"/>
          <w:szCs w:val="22"/>
        </w:rPr>
        <w:t>Pesque-Cela</w:t>
      </w:r>
      <w:proofErr w:type="spellEnd"/>
      <w:r w:rsidRPr="00DC158C">
        <w:rPr>
          <w:sz w:val="22"/>
          <w:szCs w:val="22"/>
        </w:rPr>
        <w:t xml:space="preserve">, V., </w:t>
      </w:r>
      <w:proofErr w:type="spellStart"/>
      <w:r w:rsidRPr="00DC158C">
        <w:rPr>
          <w:sz w:val="22"/>
          <w:szCs w:val="22"/>
        </w:rPr>
        <w:t>Altunbas</w:t>
      </w:r>
      <w:proofErr w:type="spellEnd"/>
      <w:r w:rsidRPr="00DC158C">
        <w:rPr>
          <w:sz w:val="22"/>
          <w:szCs w:val="22"/>
        </w:rPr>
        <w:t xml:space="preserve">, Y., &amp; </w:t>
      </w:r>
      <w:proofErr w:type="spellStart"/>
      <w:r w:rsidRPr="00DC158C">
        <w:rPr>
          <w:sz w:val="22"/>
          <w:szCs w:val="22"/>
        </w:rPr>
        <w:t>Murinde</w:t>
      </w:r>
      <w:proofErr w:type="spellEnd"/>
      <w:r w:rsidRPr="00DC158C">
        <w:rPr>
          <w:sz w:val="22"/>
          <w:szCs w:val="22"/>
        </w:rPr>
        <w:t xml:space="preserve">, V. (2020). Fintech, financial inclusion and income inequality: a quantile regression approach. The European Journal of Finance, 1–22. </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Demirgüç-Kunt, A., Klapper, L., Singer, D., </w:t>
      </w:r>
      <w:proofErr w:type="spellStart"/>
      <w:r w:rsidRPr="00DC158C">
        <w:rPr>
          <w:sz w:val="22"/>
          <w:szCs w:val="22"/>
        </w:rPr>
        <w:t>Ansar</w:t>
      </w:r>
      <w:proofErr w:type="spellEnd"/>
      <w:r w:rsidRPr="00DC158C">
        <w:rPr>
          <w:sz w:val="22"/>
          <w:szCs w:val="22"/>
        </w:rPr>
        <w:t xml:space="preserve">, S., &amp; Hess, J. (2018). </w:t>
      </w:r>
      <w:r w:rsidRPr="00DC158C">
        <w:rPr>
          <w:i/>
          <w:iCs/>
          <w:sz w:val="22"/>
          <w:szCs w:val="22"/>
        </w:rPr>
        <w:t xml:space="preserve">The Global Findex Database 2017: Measuring financial inclusion and the </w:t>
      </w:r>
      <w:proofErr w:type="spellStart"/>
      <w:r w:rsidRPr="00DC158C">
        <w:rPr>
          <w:i/>
          <w:iCs/>
          <w:sz w:val="22"/>
          <w:szCs w:val="22"/>
        </w:rPr>
        <w:t>fintech</w:t>
      </w:r>
      <w:proofErr w:type="spellEnd"/>
      <w:r w:rsidRPr="00DC158C">
        <w:rPr>
          <w:i/>
          <w:iCs/>
          <w:sz w:val="22"/>
          <w:szCs w:val="22"/>
        </w:rPr>
        <w:t xml:space="preserve"> revolution</w:t>
      </w:r>
      <w:r w:rsidRPr="00DC158C">
        <w:rPr>
          <w:sz w:val="22"/>
          <w:szCs w:val="22"/>
        </w:rPr>
        <w:t>. World Bank.</w:t>
      </w:r>
    </w:p>
    <w:p w:rsidR="00281702" w:rsidRPr="00DC158C" w:rsidRDefault="00281702" w:rsidP="00DC158C">
      <w:pPr>
        <w:spacing w:before="240" w:after="240" w:line="360" w:lineRule="auto"/>
        <w:jc w:val="both"/>
        <w:rPr>
          <w:sz w:val="22"/>
          <w:szCs w:val="22"/>
        </w:rPr>
      </w:pPr>
      <w:r w:rsidRPr="00DC158C">
        <w:rPr>
          <w:sz w:val="22"/>
          <w:szCs w:val="22"/>
        </w:rPr>
        <w:t xml:space="preserve">Demirgüç-Kunt, A., Klapper, L., Singer, D., </w:t>
      </w:r>
      <w:proofErr w:type="spellStart"/>
      <w:r w:rsidRPr="00DC158C">
        <w:rPr>
          <w:sz w:val="22"/>
          <w:szCs w:val="22"/>
        </w:rPr>
        <w:t>Ansar</w:t>
      </w:r>
      <w:proofErr w:type="spellEnd"/>
      <w:r w:rsidRPr="00DC158C">
        <w:rPr>
          <w:sz w:val="22"/>
          <w:szCs w:val="22"/>
        </w:rPr>
        <w:t xml:space="preserve">, S., &amp; Hess, J. (2020). The global findex database 2017: measuring financial inclusion and opportunities to expand access to and use financial services. The World Bank Economic Review, 34(Suppl. ment_1), S2–S8. </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Di Falco, S., Veronesi, M., &amp; Yesuf, M. (2011). Does adaptation to climate change provide food security? A micro-perspective from Ethiopia. </w:t>
      </w:r>
      <w:r w:rsidRPr="00DC158C">
        <w:rPr>
          <w:i/>
          <w:iCs/>
          <w:sz w:val="22"/>
          <w:szCs w:val="22"/>
        </w:rPr>
        <w:t>American Journal of Agricultural Economics</w:t>
      </w:r>
      <w:r w:rsidRPr="00DC158C">
        <w:rPr>
          <w:sz w:val="22"/>
          <w:szCs w:val="22"/>
        </w:rPr>
        <w:t>, 93(3), 829–846.</w:t>
      </w:r>
    </w:p>
    <w:p w:rsidR="00281702" w:rsidRPr="00DC158C" w:rsidRDefault="00281702" w:rsidP="00DC158C">
      <w:pPr>
        <w:pStyle w:val="Bibliography"/>
        <w:spacing w:line="360" w:lineRule="auto"/>
        <w:jc w:val="both"/>
        <w:rPr>
          <w:sz w:val="22"/>
          <w:szCs w:val="22"/>
        </w:rPr>
      </w:pPr>
      <w:r w:rsidRPr="00DC158C">
        <w:rPr>
          <w:sz w:val="22"/>
          <w:szCs w:val="22"/>
        </w:rPr>
        <w:t xml:space="preserve">DiFalco, S., Veronesi, M., &amp; Yesuf, M. (2011). Does adaptation to climate change provide food security? A micro-perspective from Ethiopia. </w:t>
      </w:r>
      <w:r w:rsidRPr="00DC158C">
        <w:rPr>
          <w:i/>
          <w:iCs/>
          <w:sz w:val="22"/>
          <w:szCs w:val="22"/>
        </w:rPr>
        <w:t>American Journal of Agricultural Economics, 93</w:t>
      </w:r>
      <w:r w:rsidRPr="00DC158C">
        <w:rPr>
          <w:sz w:val="22"/>
          <w:szCs w:val="22"/>
        </w:rPr>
        <w:t xml:space="preserve">(3), 829–846. </w:t>
      </w:r>
      <w:hyperlink r:id="rId13" w:history="1">
        <w:r w:rsidRPr="00DC158C">
          <w:rPr>
            <w:rStyle w:val="Hyperlink"/>
            <w:sz w:val="22"/>
            <w:szCs w:val="22"/>
          </w:rPr>
          <w:t>https://doi.org/10.1093/ajae/aar006</w:t>
        </w:r>
      </w:hyperlink>
    </w:p>
    <w:p w:rsidR="00281702" w:rsidRPr="00DC158C" w:rsidRDefault="00281702" w:rsidP="00DC158C">
      <w:pPr>
        <w:spacing w:before="240" w:after="240" w:line="360" w:lineRule="auto"/>
        <w:jc w:val="both"/>
        <w:rPr>
          <w:sz w:val="22"/>
          <w:szCs w:val="22"/>
        </w:rPr>
      </w:pPr>
      <w:r w:rsidRPr="00DC158C">
        <w:rPr>
          <w:sz w:val="22"/>
          <w:szCs w:val="22"/>
        </w:rPr>
        <w:t xml:space="preserve">Duygun, M., Sena, V., &amp; </w:t>
      </w:r>
      <w:proofErr w:type="spellStart"/>
      <w:r w:rsidRPr="00DC158C">
        <w:rPr>
          <w:sz w:val="22"/>
          <w:szCs w:val="22"/>
        </w:rPr>
        <w:t>Shaban</w:t>
      </w:r>
      <w:proofErr w:type="spellEnd"/>
      <w:r w:rsidRPr="00DC158C">
        <w:rPr>
          <w:sz w:val="22"/>
          <w:szCs w:val="22"/>
        </w:rPr>
        <w:t xml:space="preserve">, M. (2013). Schumpeterian competition and efficiency among commercial banks. </w:t>
      </w:r>
      <w:r w:rsidRPr="00DC158C">
        <w:rPr>
          <w:i/>
          <w:iCs/>
          <w:sz w:val="22"/>
          <w:szCs w:val="22"/>
        </w:rPr>
        <w:t>Journal</w:t>
      </w:r>
      <w:r w:rsidRPr="00DC158C">
        <w:rPr>
          <w:rStyle w:val="Emphasis"/>
          <w:sz w:val="22"/>
          <w:szCs w:val="22"/>
        </w:rPr>
        <w:t xml:space="preserve"> of Banking &amp; Finance, 37</w:t>
      </w:r>
      <w:r w:rsidRPr="00DC158C">
        <w:rPr>
          <w:sz w:val="22"/>
          <w:szCs w:val="22"/>
        </w:rPr>
        <w:t>(12), 5176–5185.</w:t>
      </w:r>
    </w:p>
    <w:p w:rsidR="00281702" w:rsidRPr="00DC158C" w:rsidRDefault="00281702" w:rsidP="00DC158C">
      <w:pPr>
        <w:spacing w:line="276" w:lineRule="auto"/>
        <w:jc w:val="both"/>
        <w:rPr>
          <w:sz w:val="22"/>
          <w:szCs w:val="22"/>
        </w:rPr>
      </w:pPr>
      <w:r w:rsidRPr="00DC158C">
        <w:rPr>
          <w:sz w:val="22"/>
          <w:szCs w:val="22"/>
        </w:rPr>
        <w:t xml:space="preserve">Evans, D. S. (1987). </w:t>
      </w:r>
      <w:r w:rsidRPr="00DC158C">
        <w:rPr>
          <w:i/>
          <w:iCs/>
          <w:sz w:val="22"/>
          <w:szCs w:val="22"/>
        </w:rPr>
        <w:t>The relationship between firm growth, size, and age: Estimates for 100 manufacturing industries</w:t>
      </w:r>
      <w:r w:rsidRPr="00DC158C">
        <w:rPr>
          <w:sz w:val="22"/>
          <w:szCs w:val="22"/>
        </w:rPr>
        <w:t>. Journal of Industrial Economics, 35(4), 567–581.</w:t>
      </w:r>
    </w:p>
    <w:p w:rsidR="00281702" w:rsidRPr="00DC158C" w:rsidRDefault="00281702" w:rsidP="00DC158C">
      <w:pPr>
        <w:spacing w:before="240" w:after="240" w:line="360" w:lineRule="auto"/>
        <w:jc w:val="both"/>
        <w:rPr>
          <w:sz w:val="22"/>
          <w:szCs w:val="22"/>
        </w:rPr>
      </w:pPr>
      <w:r w:rsidRPr="00DC158C">
        <w:rPr>
          <w:sz w:val="22"/>
          <w:szCs w:val="22"/>
        </w:rPr>
        <w:t xml:space="preserve">Farrell, M. J. (1957). The measurement of productive efficiency. </w:t>
      </w:r>
      <w:r w:rsidRPr="00DC158C">
        <w:rPr>
          <w:rStyle w:val="Emphasis"/>
          <w:sz w:val="22"/>
          <w:szCs w:val="22"/>
        </w:rPr>
        <w:t>Journal of the Royal Statistical Society: Series A (General), 120</w:t>
      </w:r>
      <w:r w:rsidRPr="00DC158C">
        <w:rPr>
          <w:sz w:val="22"/>
          <w:szCs w:val="22"/>
        </w:rPr>
        <w:t>(3), 253–290.</w:t>
      </w:r>
    </w:p>
    <w:p w:rsidR="00281702" w:rsidRPr="00DC158C" w:rsidRDefault="00281702" w:rsidP="00DC158C">
      <w:pPr>
        <w:spacing w:before="100" w:beforeAutospacing="1" w:after="100" w:afterAutospacing="1" w:line="276" w:lineRule="auto"/>
        <w:jc w:val="both"/>
        <w:rPr>
          <w:sz w:val="22"/>
          <w:szCs w:val="22"/>
        </w:rPr>
      </w:pPr>
      <w:r w:rsidRPr="00DC158C">
        <w:rPr>
          <w:sz w:val="22"/>
          <w:szCs w:val="22"/>
        </w:rPr>
        <w:t xml:space="preserve">FinMark Trust. (2019). </w:t>
      </w:r>
      <w:r w:rsidRPr="00DC158C">
        <w:rPr>
          <w:rStyle w:val="Emphasis"/>
          <w:sz w:val="22"/>
          <w:szCs w:val="22"/>
        </w:rPr>
        <w:t>FinScope MSME Survey Malawi 2019</w:t>
      </w:r>
      <w:r w:rsidRPr="00DC158C">
        <w:rPr>
          <w:sz w:val="22"/>
          <w:szCs w:val="22"/>
        </w:rPr>
        <w:t xml:space="preserve">. FinMark Trust. Retrieved from </w:t>
      </w:r>
      <w:hyperlink r:id="rId14" w:history="1">
        <w:r w:rsidRPr="00DC158C">
          <w:rPr>
            <w:rStyle w:val="Hyperlink"/>
            <w:sz w:val="22"/>
            <w:szCs w:val="22"/>
          </w:rPr>
          <w:t>https://www.scribd.com/document/596128373/Finscope-MSME-2019-survey-Full-Report</w:t>
        </w:r>
      </w:hyperlink>
      <w:r w:rsidRPr="00DC158C">
        <w:rPr>
          <w:sz w:val="22"/>
          <w:szCs w:val="22"/>
        </w:rPr>
        <w:t>.</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FinScope Malawi. (2023). </w:t>
      </w:r>
      <w:r w:rsidRPr="00DC158C">
        <w:rPr>
          <w:i/>
          <w:iCs/>
          <w:sz w:val="22"/>
          <w:szCs w:val="22"/>
        </w:rPr>
        <w:t>FinScope Consumer Survey Malawi 2023</w:t>
      </w:r>
      <w:r w:rsidRPr="00DC158C">
        <w:rPr>
          <w:sz w:val="22"/>
          <w:szCs w:val="22"/>
        </w:rPr>
        <w:t>. FinMark Trust.</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FinScope MSME. (2019). </w:t>
      </w:r>
      <w:r w:rsidRPr="00DC158C">
        <w:rPr>
          <w:i/>
          <w:iCs/>
          <w:sz w:val="22"/>
          <w:szCs w:val="22"/>
        </w:rPr>
        <w:t>FinScope MSME Survey Malawi 2019</w:t>
      </w:r>
      <w:r w:rsidRPr="00DC158C">
        <w:rPr>
          <w:sz w:val="22"/>
          <w:szCs w:val="22"/>
        </w:rPr>
        <w:t>. FinMark Trust.</w:t>
      </w:r>
    </w:p>
    <w:p w:rsidR="00281702" w:rsidRPr="00DC158C" w:rsidRDefault="00281702" w:rsidP="00DC158C">
      <w:pPr>
        <w:pStyle w:val="NormalWeb"/>
        <w:spacing w:line="276" w:lineRule="auto"/>
        <w:jc w:val="both"/>
        <w:rPr>
          <w:sz w:val="22"/>
          <w:szCs w:val="22"/>
        </w:rPr>
      </w:pPr>
      <w:proofErr w:type="spellStart"/>
      <w:r w:rsidRPr="00DC158C">
        <w:rPr>
          <w:sz w:val="22"/>
          <w:szCs w:val="22"/>
        </w:rPr>
        <w:t>Giné</w:t>
      </w:r>
      <w:proofErr w:type="spellEnd"/>
      <w:r w:rsidRPr="00DC158C">
        <w:rPr>
          <w:sz w:val="22"/>
          <w:szCs w:val="22"/>
        </w:rPr>
        <w:t xml:space="preserve">, X., &amp; Yang, D. (2009). Insurance, credit, and technology adoption: Field experimental evidence from Malawi. </w:t>
      </w:r>
      <w:r w:rsidRPr="00DC158C">
        <w:rPr>
          <w:rStyle w:val="Emphasis"/>
          <w:sz w:val="22"/>
          <w:szCs w:val="22"/>
        </w:rPr>
        <w:t>Journal of Development Economics, 89</w:t>
      </w:r>
      <w:r w:rsidRPr="00DC158C">
        <w:rPr>
          <w:sz w:val="22"/>
          <w:szCs w:val="22"/>
        </w:rPr>
        <w:t>(1), 1–11.</w:t>
      </w:r>
    </w:p>
    <w:p w:rsidR="00281702" w:rsidRPr="00DC158C" w:rsidRDefault="00281702" w:rsidP="00DC158C">
      <w:pPr>
        <w:pStyle w:val="NormalWeb"/>
        <w:spacing w:line="276" w:lineRule="auto"/>
        <w:jc w:val="both"/>
        <w:rPr>
          <w:sz w:val="22"/>
          <w:szCs w:val="22"/>
        </w:rPr>
      </w:pPr>
      <w:r w:rsidRPr="00DC158C">
        <w:rPr>
          <w:sz w:val="22"/>
          <w:szCs w:val="22"/>
        </w:rPr>
        <w:t xml:space="preserve">Hall, B. H., &amp; Lerner, J. (2010). </w:t>
      </w:r>
      <w:r w:rsidRPr="00DC158C">
        <w:rPr>
          <w:i/>
          <w:iCs/>
          <w:sz w:val="22"/>
          <w:szCs w:val="22"/>
        </w:rPr>
        <w:t>The financing of R&amp;D and innovation</w:t>
      </w:r>
      <w:r w:rsidRPr="00DC158C">
        <w:rPr>
          <w:sz w:val="22"/>
          <w:szCs w:val="22"/>
        </w:rPr>
        <w:t xml:space="preserve">. In B. H. Hall &amp; N. Rosenberg (Eds.), </w:t>
      </w:r>
      <w:r w:rsidRPr="00DC158C">
        <w:rPr>
          <w:i/>
          <w:iCs/>
          <w:sz w:val="22"/>
          <w:szCs w:val="22"/>
        </w:rPr>
        <w:t>Handbook of the Economics of Innovation</w:t>
      </w:r>
      <w:r w:rsidRPr="00DC158C">
        <w:rPr>
          <w:sz w:val="22"/>
          <w:szCs w:val="22"/>
        </w:rPr>
        <w:t xml:space="preserve"> (Vol. 1, pp. 609–639). Elsevier.</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Heckman, J. J. (1979). Sample selection bias as a specification error. </w:t>
      </w:r>
      <w:r w:rsidRPr="00DC158C">
        <w:rPr>
          <w:i/>
          <w:iCs/>
          <w:sz w:val="22"/>
          <w:szCs w:val="22"/>
        </w:rPr>
        <w:t>Econometrica</w:t>
      </w:r>
      <w:r w:rsidRPr="00DC158C">
        <w:rPr>
          <w:sz w:val="22"/>
          <w:szCs w:val="22"/>
        </w:rPr>
        <w:t>, 47(1), 153–161.</w:t>
      </w:r>
    </w:p>
    <w:p w:rsidR="00281702" w:rsidRPr="00DC158C" w:rsidRDefault="00281702" w:rsidP="00DC158C">
      <w:pPr>
        <w:pStyle w:val="NormalWeb"/>
        <w:spacing w:line="276" w:lineRule="auto"/>
        <w:jc w:val="both"/>
        <w:rPr>
          <w:sz w:val="22"/>
          <w:szCs w:val="22"/>
        </w:rPr>
      </w:pPr>
      <w:r w:rsidRPr="00DC158C">
        <w:rPr>
          <w:sz w:val="22"/>
          <w:szCs w:val="22"/>
        </w:rPr>
        <w:lastRenderedPageBreak/>
        <w:t xml:space="preserve">Heckman, J., Ichimura, H., &amp; Todd, P. (1997). Matching as an econometric evaluation estimator: Evidence from evaluating a job training programme. </w:t>
      </w:r>
      <w:r w:rsidRPr="00DC158C">
        <w:rPr>
          <w:rStyle w:val="Emphasis"/>
          <w:sz w:val="22"/>
          <w:szCs w:val="22"/>
        </w:rPr>
        <w:t>The Review of Economic Studies, 64</w:t>
      </w:r>
      <w:r w:rsidRPr="00DC158C">
        <w:rPr>
          <w:sz w:val="22"/>
          <w:szCs w:val="22"/>
        </w:rPr>
        <w:t>(4), 605–654.</w:t>
      </w:r>
    </w:p>
    <w:p w:rsidR="00281702" w:rsidRPr="00DC158C" w:rsidRDefault="00281702" w:rsidP="00DC158C">
      <w:pPr>
        <w:pStyle w:val="NormalWeb"/>
        <w:spacing w:line="276" w:lineRule="auto"/>
        <w:jc w:val="both"/>
        <w:rPr>
          <w:sz w:val="22"/>
          <w:szCs w:val="22"/>
        </w:rPr>
      </w:pPr>
      <w:r w:rsidRPr="00DC158C">
        <w:rPr>
          <w:sz w:val="22"/>
          <w:szCs w:val="22"/>
        </w:rPr>
        <w:t xml:space="preserve">Hu, Y., Liu, C., Peng, J., 2021. Financial inclusion and agricultural total factor productivity growth in China. Econ. Modell. 96, 68–82. </w:t>
      </w:r>
    </w:p>
    <w:p w:rsidR="00281702" w:rsidRPr="00DC158C" w:rsidRDefault="00281702" w:rsidP="00DC158C">
      <w:pPr>
        <w:spacing w:before="240" w:after="240" w:line="360" w:lineRule="auto"/>
        <w:jc w:val="both"/>
        <w:rPr>
          <w:sz w:val="22"/>
          <w:szCs w:val="22"/>
        </w:rPr>
      </w:pPr>
      <w:r w:rsidRPr="00DC158C">
        <w:rPr>
          <w:sz w:val="22"/>
          <w:szCs w:val="22"/>
        </w:rPr>
        <w:t>Kabakova, O., &amp; Plaksenkov, E. (2018). Analysis of factors affecting financial inclusion: ecosystem view. Journal of Business Research, 89, 198–205.</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Karlan, D., &amp; Morduch, J. (2009). Access to finance. In D. </w:t>
      </w:r>
      <w:proofErr w:type="spellStart"/>
      <w:r w:rsidRPr="00DC158C">
        <w:rPr>
          <w:sz w:val="22"/>
          <w:szCs w:val="22"/>
        </w:rPr>
        <w:t>Rodrik</w:t>
      </w:r>
      <w:proofErr w:type="spellEnd"/>
      <w:r w:rsidRPr="00DC158C">
        <w:rPr>
          <w:sz w:val="22"/>
          <w:szCs w:val="22"/>
        </w:rPr>
        <w:t xml:space="preserve"> &amp; M. </w:t>
      </w:r>
      <w:proofErr w:type="spellStart"/>
      <w:r w:rsidRPr="00DC158C">
        <w:rPr>
          <w:sz w:val="22"/>
          <w:szCs w:val="22"/>
        </w:rPr>
        <w:t>Rosenzweig</w:t>
      </w:r>
      <w:proofErr w:type="spellEnd"/>
      <w:r w:rsidRPr="00DC158C">
        <w:rPr>
          <w:sz w:val="22"/>
          <w:szCs w:val="22"/>
        </w:rPr>
        <w:t xml:space="preserve"> (Eds.), </w:t>
      </w:r>
      <w:r w:rsidRPr="00DC158C">
        <w:rPr>
          <w:i/>
          <w:iCs/>
          <w:sz w:val="22"/>
          <w:szCs w:val="22"/>
        </w:rPr>
        <w:t>Handbook of Development Economics</w:t>
      </w:r>
      <w:r w:rsidRPr="00DC158C">
        <w:rPr>
          <w:sz w:val="22"/>
          <w:szCs w:val="22"/>
        </w:rPr>
        <w:t xml:space="preserve"> (Vol. 5, pp. 4703–4784). Elsevier.</w:t>
      </w:r>
    </w:p>
    <w:p w:rsidR="00281702" w:rsidRPr="00DC158C" w:rsidRDefault="00281702" w:rsidP="00DC158C">
      <w:pPr>
        <w:spacing w:line="276" w:lineRule="auto"/>
        <w:jc w:val="both"/>
        <w:rPr>
          <w:sz w:val="22"/>
          <w:szCs w:val="22"/>
        </w:rPr>
      </w:pPr>
      <w:r w:rsidRPr="00DC158C">
        <w:rPr>
          <w:sz w:val="22"/>
          <w:szCs w:val="22"/>
        </w:rPr>
        <w:t xml:space="preserve">Karlan, D., &amp; Morduch, J. (2010). </w:t>
      </w:r>
      <w:r w:rsidRPr="00DC158C">
        <w:rPr>
          <w:rStyle w:val="Emphasis"/>
          <w:sz w:val="22"/>
          <w:szCs w:val="22"/>
        </w:rPr>
        <w:t>Access to finance</w:t>
      </w:r>
      <w:r w:rsidRPr="00DC158C">
        <w:rPr>
          <w:sz w:val="22"/>
          <w:szCs w:val="22"/>
        </w:rPr>
        <w:t xml:space="preserve">. In D. </w:t>
      </w:r>
      <w:proofErr w:type="spellStart"/>
      <w:r w:rsidRPr="00DC158C">
        <w:rPr>
          <w:sz w:val="22"/>
          <w:szCs w:val="22"/>
        </w:rPr>
        <w:t>Rodrik</w:t>
      </w:r>
      <w:proofErr w:type="spellEnd"/>
      <w:r w:rsidRPr="00DC158C">
        <w:rPr>
          <w:sz w:val="22"/>
          <w:szCs w:val="22"/>
        </w:rPr>
        <w:t xml:space="preserve"> &amp; M. </w:t>
      </w:r>
      <w:proofErr w:type="spellStart"/>
      <w:r w:rsidRPr="00DC158C">
        <w:rPr>
          <w:sz w:val="22"/>
          <w:szCs w:val="22"/>
        </w:rPr>
        <w:t>Rosenzweig</w:t>
      </w:r>
      <w:proofErr w:type="spellEnd"/>
      <w:r w:rsidRPr="00DC158C">
        <w:rPr>
          <w:sz w:val="22"/>
          <w:szCs w:val="22"/>
        </w:rPr>
        <w:t xml:space="preserve"> (Eds.), </w:t>
      </w:r>
      <w:r w:rsidRPr="00DC158C">
        <w:rPr>
          <w:rStyle w:val="Emphasis"/>
          <w:sz w:val="22"/>
          <w:szCs w:val="22"/>
        </w:rPr>
        <w:t>Handbook of Development Economics</w:t>
      </w:r>
      <w:r w:rsidRPr="00DC158C">
        <w:rPr>
          <w:sz w:val="22"/>
          <w:szCs w:val="22"/>
        </w:rPr>
        <w:t xml:space="preserve"> (Vol. 5, pp. 4703–4784). Elsevier.</w:t>
      </w:r>
    </w:p>
    <w:p w:rsidR="00281702" w:rsidRPr="00DC158C" w:rsidRDefault="00281702" w:rsidP="00DC158C">
      <w:pPr>
        <w:pStyle w:val="NormalWeb"/>
        <w:spacing w:line="276" w:lineRule="auto"/>
        <w:jc w:val="both"/>
        <w:rPr>
          <w:sz w:val="22"/>
          <w:szCs w:val="22"/>
        </w:rPr>
      </w:pPr>
      <w:r w:rsidRPr="00DC158C">
        <w:rPr>
          <w:sz w:val="22"/>
          <w:szCs w:val="22"/>
        </w:rPr>
        <w:t xml:space="preserve">Karlan, D., </w:t>
      </w:r>
      <w:proofErr w:type="spellStart"/>
      <w:r w:rsidRPr="00DC158C">
        <w:rPr>
          <w:sz w:val="22"/>
          <w:szCs w:val="22"/>
        </w:rPr>
        <w:t>Ratan</w:t>
      </w:r>
      <w:proofErr w:type="spellEnd"/>
      <w:r w:rsidRPr="00DC158C">
        <w:rPr>
          <w:sz w:val="22"/>
          <w:szCs w:val="22"/>
        </w:rPr>
        <w:t xml:space="preserve">, A. L., &amp; </w:t>
      </w:r>
      <w:proofErr w:type="spellStart"/>
      <w:r w:rsidRPr="00DC158C">
        <w:rPr>
          <w:sz w:val="22"/>
          <w:szCs w:val="22"/>
        </w:rPr>
        <w:t>Zinman</w:t>
      </w:r>
      <w:proofErr w:type="spellEnd"/>
      <w:r w:rsidRPr="00DC158C">
        <w:rPr>
          <w:sz w:val="22"/>
          <w:szCs w:val="22"/>
        </w:rPr>
        <w:t xml:space="preserve">, J. (2014). Savings by and for the poor: A research review and agenda. </w:t>
      </w:r>
      <w:r w:rsidRPr="00DC158C">
        <w:rPr>
          <w:rStyle w:val="Emphasis"/>
          <w:sz w:val="22"/>
          <w:szCs w:val="22"/>
        </w:rPr>
        <w:t>Review of Income and Wealth, 60</w:t>
      </w:r>
      <w:r w:rsidRPr="00DC158C">
        <w:rPr>
          <w:sz w:val="22"/>
          <w:szCs w:val="22"/>
        </w:rPr>
        <w:t>(1), 36–78.</w:t>
      </w:r>
    </w:p>
    <w:p w:rsidR="00281702" w:rsidRPr="00DC158C" w:rsidRDefault="00281702" w:rsidP="00DC158C">
      <w:pPr>
        <w:pStyle w:val="Bibliography"/>
        <w:spacing w:line="360" w:lineRule="auto"/>
        <w:jc w:val="both"/>
        <w:rPr>
          <w:rStyle w:val="Hyperlink"/>
          <w:sz w:val="22"/>
          <w:szCs w:val="22"/>
        </w:rPr>
      </w:pPr>
      <w:r w:rsidRPr="00DC158C">
        <w:rPr>
          <w:sz w:val="22"/>
          <w:szCs w:val="22"/>
        </w:rPr>
        <w:t xml:space="preserve">Kassie, M., Jaleta, M., &amp; Mattei, A. (2014). Evaluating the impact of improved maize varieties on food security in rural Tanzania: Evidence from a continuous treatment approach. </w:t>
      </w:r>
      <w:r w:rsidRPr="00DC158C">
        <w:rPr>
          <w:i/>
          <w:iCs/>
          <w:sz w:val="22"/>
          <w:szCs w:val="22"/>
        </w:rPr>
        <w:t>Food Security, 6</w:t>
      </w:r>
      <w:r w:rsidRPr="00DC158C">
        <w:rPr>
          <w:sz w:val="22"/>
          <w:szCs w:val="22"/>
        </w:rPr>
        <w:t xml:space="preserve">(2), 217–230. </w:t>
      </w:r>
      <w:hyperlink r:id="rId15" w:history="1">
        <w:r w:rsidRPr="00DC158C">
          <w:rPr>
            <w:rStyle w:val="Hyperlink"/>
            <w:sz w:val="22"/>
            <w:szCs w:val="22"/>
          </w:rPr>
          <w:t>https://doi.org/10.1007/s12571-014-0332-x</w:t>
        </w:r>
      </w:hyperlink>
    </w:p>
    <w:p w:rsidR="00281702" w:rsidRPr="00DC158C" w:rsidRDefault="00281702" w:rsidP="00DC158C">
      <w:pPr>
        <w:pStyle w:val="NormalWeb"/>
        <w:spacing w:line="276" w:lineRule="auto"/>
        <w:jc w:val="both"/>
        <w:rPr>
          <w:sz w:val="22"/>
          <w:szCs w:val="22"/>
        </w:rPr>
      </w:pPr>
      <w:r w:rsidRPr="00DC158C">
        <w:rPr>
          <w:sz w:val="22"/>
          <w:szCs w:val="22"/>
        </w:rPr>
        <w:t>Kim, D., Yu, J., Hassan, M.K., 2018. Financial inclusion and economic growth in OIC countries. Res. Int. Bus. Finance 43, 1–14.</w:t>
      </w:r>
    </w:p>
    <w:p w:rsidR="00281702" w:rsidRPr="00DC158C" w:rsidRDefault="00281702" w:rsidP="00DC158C">
      <w:pPr>
        <w:spacing w:before="240" w:after="240" w:line="360" w:lineRule="auto"/>
        <w:jc w:val="both"/>
        <w:rPr>
          <w:sz w:val="22"/>
          <w:szCs w:val="22"/>
        </w:rPr>
      </w:pPr>
      <w:r w:rsidRPr="00DC158C">
        <w:rPr>
          <w:sz w:val="22"/>
          <w:szCs w:val="22"/>
        </w:rPr>
        <w:t xml:space="preserve">Koomson, I., Villano, R. A., &amp; Hadley, D. (2020). Effect of financial inclusion on poverty and vulnerability to poverty: evidence using a multidimensional measure of financial inclusion. Social Indicators Research, 149(2), 613–639. </w:t>
      </w:r>
    </w:p>
    <w:p w:rsidR="00281702" w:rsidRPr="00DC158C" w:rsidRDefault="00281702" w:rsidP="00DC158C">
      <w:pPr>
        <w:spacing w:before="240" w:after="240" w:line="360" w:lineRule="auto"/>
        <w:jc w:val="both"/>
        <w:rPr>
          <w:sz w:val="22"/>
          <w:szCs w:val="22"/>
        </w:rPr>
      </w:pPr>
      <w:r w:rsidRPr="00DC158C">
        <w:rPr>
          <w:sz w:val="22"/>
          <w:szCs w:val="22"/>
        </w:rPr>
        <w:t xml:space="preserve">Kuada, J. (2022). Financial inclusion and small enterprise growth in Africa: emerging perspectives and research agenda. African Journal of Economic and Management Studies. </w:t>
      </w:r>
    </w:p>
    <w:p w:rsidR="00281702" w:rsidRPr="00DC158C" w:rsidRDefault="00281702" w:rsidP="00DC158C">
      <w:pPr>
        <w:spacing w:before="240" w:after="240" w:line="360" w:lineRule="auto"/>
        <w:jc w:val="both"/>
        <w:rPr>
          <w:sz w:val="22"/>
          <w:szCs w:val="22"/>
        </w:rPr>
      </w:pPr>
      <w:r w:rsidRPr="00DC158C">
        <w:rPr>
          <w:sz w:val="22"/>
          <w:szCs w:val="22"/>
        </w:rPr>
        <w:t xml:space="preserve">Kumbhakar, S. C., &amp; Lovell, C. A. K. (2000). </w:t>
      </w:r>
      <w:r w:rsidRPr="00DC158C">
        <w:rPr>
          <w:rStyle w:val="Emphasis"/>
          <w:sz w:val="22"/>
          <w:szCs w:val="22"/>
        </w:rPr>
        <w:t>Stochastic Frontier Analysis</w:t>
      </w:r>
      <w:r w:rsidRPr="00DC158C">
        <w:rPr>
          <w:sz w:val="22"/>
          <w:szCs w:val="22"/>
        </w:rPr>
        <w:t>. Cambridge University Press.</w:t>
      </w:r>
    </w:p>
    <w:p w:rsidR="00281702" w:rsidRPr="00DC158C" w:rsidRDefault="00281702" w:rsidP="00DC158C">
      <w:pPr>
        <w:pStyle w:val="NormalWeb"/>
        <w:spacing w:line="276" w:lineRule="auto"/>
        <w:jc w:val="both"/>
        <w:rPr>
          <w:sz w:val="22"/>
          <w:szCs w:val="22"/>
        </w:rPr>
      </w:pPr>
      <w:r w:rsidRPr="00DC158C">
        <w:rPr>
          <w:sz w:val="22"/>
          <w:szCs w:val="22"/>
        </w:rPr>
        <w:t xml:space="preserve">Kumbhakar, S. C., Wang, H. J., &amp; Horncastle, A. P. (2015). </w:t>
      </w:r>
      <w:r w:rsidRPr="00DC158C">
        <w:rPr>
          <w:rStyle w:val="Emphasis"/>
          <w:sz w:val="22"/>
          <w:szCs w:val="22"/>
        </w:rPr>
        <w:t>A practitioner’s guide to stochastic frontier analysis using Stata</w:t>
      </w:r>
      <w:r w:rsidRPr="00DC158C">
        <w:rPr>
          <w:sz w:val="22"/>
          <w:szCs w:val="22"/>
        </w:rPr>
        <w:t>. Cambridge University Press.</w:t>
      </w:r>
    </w:p>
    <w:p w:rsidR="00281702" w:rsidRPr="00DC158C" w:rsidRDefault="00281702" w:rsidP="00DC158C">
      <w:pPr>
        <w:spacing w:before="240" w:after="240" w:line="360" w:lineRule="auto"/>
        <w:jc w:val="both"/>
        <w:rPr>
          <w:sz w:val="22"/>
          <w:szCs w:val="22"/>
        </w:rPr>
      </w:pPr>
      <w:r w:rsidRPr="00DC158C">
        <w:rPr>
          <w:sz w:val="22"/>
          <w:szCs w:val="22"/>
        </w:rPr>
        <w:t xml:space="preserve">La Porta, R., &amp; Shleifer, A. (2014). Informality and development. </w:t>
      </w:r>
      <w:r w:rsidRPr="00DC158C">
        <w:rPr>
          <w:rStyle w:val="Emphasis"/>
          <w:sz w:val="22"/>
          <w:szCs w:val="22"/>
        </w:rPr>
        <w:t>Journal of Economic Perspectives, 28</w:t>
      </w:r>
      <w:r w:rsidRPr="00DC158C">
        <w:rPr>
          <w:sz w:val="22"/>
          <w:szCs w:val="22"/>
        </w:rPr>
        <w:t xml:space="preserve">(3), 109–126. </w:t>
      </w:r>
      <w:hyperlink r:id="rId16" w:history="1">
        <w:r w:rsidRPr="00DC158C">
          <w:rPr>
            <w:rStyle w:val="Hyperlink"/>
            <w:sz w:val="22"/>
            <w:szCs w:val="22"/>
          </w:rPr>
          <w:t>https://doi.org/10.1257/jep.28.3.109</w:t>
        </w:r>
      </w:hyperlink>
    </w:p>
    <w:p w:rsidR="00281702" w:rsidRPr="00DC158C" w:rsidRDefault="00281702" w:rsidP="00DC158C">
      <w:pPr>
        <w:pStyle w:val="NormalWeb"/>
        <w:spacing w:line="276" w:lineRule="auto"/>
        <w:jc w:val="both"/>
        <w:rPr>
          <w:sz w:val="22"/>
          <w:szCs w:val="22"/>
        </w:rPr>
      </w:pPr>
      <w:r w:rsidRPr="00DC158C">
        <w:rPr>
          <w:sz w:val="22"/>
          <w:szCs w:val="22"/>
        </w:rPr>
        <w:lastRenderedPageBreak/>
        <w:t xml:space="preserve">Lee, C.C., Wang, C.W., </w:t>
      </w:r>
      <w:proofErr w:type="spellStart"/>
      <w:r w:rsidRPr="00DC158C">
        <w:rPr>
          <w:sz w:val="22"/>
          <w:szCs w:val="22"/>
        </w:rPr>
        <w:t>Ho</w:t>
      </w:r>
      <w:proofErr w:type="spellEnd"/>
      <w:r w:rsidRPr="00DC158C">
        <w:rPr>
          <w:sz w:val="22"/>
          <w:szCs w:val="22"/>
        </w:rPr>
        <w:t xml:space="preserve">, S.J., 2020. Financial inclusion, financial innovation, and f </w:t>
      </w:r>
      <w:proofErr w:type="spellStart"/>
      <w:r w:rsidRPr="00DC158C">
        <w:rPr>
          <w:sz w:val="22"/>
          <w:szCs w:val="22"/>
        </w:rPr>
        <w:t>irms</w:t>
      </w:r>
      <w:proofErr w:type="spellEnd"/>
      <w:r w:rsidRPr="00DC158C">
        <w:rPr>
          <w:sz w:val="22"/>
          <w:szCs w:val="22"/>
        </w:rPr>
        <w:t xml:space="preserve">’ sales growth. Int. Rev. Econ. Finance 66, 189–205/. </w:t>
      </w:r>
    </w:p>
    <w:p w:rsidR="00281702" w:rsidRPr="00DC158C" w:rsidRDefault="00281702" w:rsidP="00DC158C">
      <w:pPr>
        <w:spacing w:before="240" w:after="240" w:line="360" w:lineRule="auto"/>
        <w:jc w:val="both"/>
        <w:rPr>
          <w:sz w:val="22"/>
          <w:szCs w:val="22"/>
        </w:rPr>
      </w:pPr>
      <w:r w:rsidRPr="00DC158C">
        <w:rPr>
          <w:sz w:val="22"/>
          <w:szCs w:val="22"/>
        </w:rPr>
        <w:t xml:space="preserve">Lensink, R., </w:t>
      </w:r>
      <w:proofErr w:type="spellStart"/>
      <w:r w:rsidRPr="00DC158C">
        <w:rPr>
          <w:sz w:val="22"/>
          <w:szCs w:val="22"/>
        </w:rPr>
        <w:t>Meesters</w:t>
      </w:r>
      <w:proofErr w:type="spellEnd"/>
      <w:r w:rsidRPr="00DC158C">
        <w:rPr>
          <w:sz w:val="22"/>
          <w:szCs w:val="22"/>
        </w:rPr>
        <w:t xml:space="preserve">, A., &amp; </w:t>
      </w:r>
      <w:proofErr w:type="spellStart"/>
      <w:r w:rsidRPr="00DC158C">
        <w:rPr>
          <w:sz w:val="22"/>
          <w:szCs w:val="22"/>
        </w:rPr>
        <w:t>Naaborg</w:t>
      </w:r>
      <w:proofErr w:type="spellEnd"/>
      <w:r w:rsidRPr="00DC158C">
        <w:rPr>
          <w:sz w:val="22"/>
          <w:szCs w:val="22"/>
        </w:rPr>
        <w:t xml:space="preserve">, I. (2008). Bank efficiency and foreign ownership: Do good institutions matter? </w:t>
      </w:r>
      <w:r w:rsidRPr="00DC158C">
        <w:rPr>
          <w:rStyle w:val="Emphasis"/>
          <w:sz w:val="22"/>
          <w:szCs w:val="22"/>
        </w:rPr>
        <w:t>Journal of Banking &amp; Finance, 32</w:t>
      </w:r>
      <w:r w:rsidRPr="00DC158C">
        <w:rPr>
          <w:sz w:val="22"/>
          <w:szCs w:val="22"/>
        </w:rPr>
        <w:t>(5), 834–844.</w:t>
      </w:r>
    </w:p>
    <w:p w:rsidR="00281702" w:rsidRPr="00DC158C" w:rsidRDefault="00281702" w:rsidP="00DC158C">
      <w:pPr>
        <w:spacing w:before="240" w:after="240" w:line="360" w:lineRule="auto"/>
        <w:jc w:val="both"/>
        <w:rPr>
          <w:sz w:val="22"/>
          <w:szCs w:val="22"/>
        </w:rPr>
      </w:pPr>
      <w:r w:rsidRPr="00DC158C">
        <w:rPr>
          <w:sz w:val="22"/>
          <w:szCs w:val="22"/>
        </w:rPr>
        <w:t xml:space="preserve">Lokshin, M., &amp; Sajaia, Z. (2004). Maximum likelihood estimation of endogenous switching regression models. </w:t>
      </w:r>
      <w:r w:rsidRPr="00DC158C">
        <w:rPr>
          <w:i/>
          <w:iCs/>
          <w:sz w:val="22"/>
          <w:szCs w:val="22"/>
        </w:rPr>
        <w:t>The Stata Journal</w:t>
      </w:r>
      <w:r w:rsidRPr="00DC158C">
        <w:rPr>
          <w:sz w:val="22"/>
          <w:szCs w:val="22"/>
        </w:rPr>
        <w:t>, 4(3), 282–289.</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Maddala, G. S. (1983). </w:t>
      </w:r>
      <w:r w:rsidRPr="00DC158C">
        <w:rPr>
          <w:i/>
          <w:iCs/>
          <w:sz w:val="22"/>
          <w:szCs w:val="22"/>
        </w:rPr>
        <w:t>Limited-dependent and qualitative variables in econometrics</w:t>
      </w:r>
      <w:r w:rsidRPr="00DC158C">
        <w:rPr>
          <w:sz w:val="22"/>
          <w:szCs w:val="22"/>
        </w:rPr>
        <w:t>. Cambridge University Press.</w:t>
      </w:r>
    </w:p>
    <w:p w:rsidR="00281702" w:rsidRPr="00DC158C" w:rsidRDefault="00281702" w:rsidP="00DC158C">
      <w:pPr>
        <w:pStyle w:val="Bibliography"/>
        <w:spacing w:line="360" w:lineRule="auto"/>
        <w:jc w:val="both"/>
        <w:rPr>
          <w:sz w:val="22"/>
          <w:szCs w:val="22"/>
        </w:rPr>
      </w:pPr>
      <w:r w:rsidRPr="00DC158C">
        <w:rPr>
          <w:sz w:val="22"/>
          <w:szCs w:val="22"/>
        </w:rPr>
        <w:t xml:space="preserve">Malikov, E., Sun, K., &amp; Kumbhakar, S. C. (2018). Nonparametric estimates of the clean and dirty energy substitutability. </w:t>
      </w:r>
      <w:r w:rsidRPr="00DC158C">
        <w:rPr>
          <w:i/>
          <w:iCs/>
          <w:sz w:val="22"/>
          <w:szCs w:val="22"/>
        </w:rPr>
        <w:t>Economics Letters, 168</w:t>
      </w:r>
      <w:r w:rsidRPr="00DC158C">
        <w:rPr>
          <w:sz w:val="22"/>
          <w:szCs w:val="22"/>
        </w:rPr>
        <w:t xml:space="preserve">, 118–122. </w:t>
      </w:r>
    </w:p>
    <w:p w:rsidR="00281702" w:rsidRPr="00DC158C" w:rsidRDefault="00281702" w:rsidP="00DC158C">
      <w:pPr>
        <w:spacing w:before="100" w:beforeAutospacing="1" w:after="100" w:afterAutospacing="1" w:line="276" w:lineRule="auto"/>
        <w:jc w:val="both"/>
        <w:outlineLvl w:val="2"/>
        <w:rPr>
          <w:sz w:val="22"/>
          <w:szCs w:val="22"/>
        </w:rPr>
      </w:pPr>
      <w:r w:rsidRPr="00DC158C">
        <w:rPr>
          <w:sz w:val="22"/>
          <w:szCs w:val="22"/>
        </w:rPr>
        <w:t xml:space="preserve">McKenzie, D. (2017). Identifying and spurring high-growth entrepreneurship: Experimental evidence from a business plan competition. </w:t>
      </w:r>
      <w:r w:rsidRPr="00DC158C">
        <w:rPr>
          <w:rStyle w:val="Emphasis"/>
          <w:sz w:val="22"/>
          <w:szCs w:val="22"/>
        </w:rPr>
        <w:t>American Economic Review, 107</w:t>
      </w:r>
      <w:r w:rsidRPr="00DC158C">
        <w:rPr>
          <w:sz w:val="22"/>
          <w:szCs w:val="22"/>
        </w:rPr>
        <w:t>(8), 2278–2307.</w:t>
      </w:r>
    </w:p>
    <w:p w:rsidR="00281702" w:rsidRPr="00DC158C" w:rsidRDefault="00281702" w:rsidP="00DC158C">
      <w:pPr>
        <w:pStyle w:val="NormalWeb"/>
        <w:spacing w:line="276" w:lineRule="auto"/>
        <w:jc w:val="both"/>
        <w:rPr>
          <w:sz w:val="22"/>
          <w:szCs w:val="22"/>
        </w:rPr>
      </w:pPr>
      <w:r w:rsidRPr="00DC158C">
        <w:rPr>
          <w:sz w:val="22"/>
          <w:szCs w:val="22"/>
        </w:rPr>
        <w:t xml:space="preserve">McKenzie, D., &amp; Woodruff, C. (2014). What are we learning from business training and entrepreneurship evaluations around the developing world? </w:t>
      </w:r>
      <w:r w:rsidRPr="00DC158C">
        <w:rPr>
          <w:rStyle w:val="Emphasis"/>
          <w:sz w:val="22"/>
          <w:szCs w:val="22"/>
        </w:rPr>
        <w:t>The World Bank Research Observer, 29</w:t>
      </w:r>
      <w:r w:rsidRPr="00DC158C">
        <w:rPr>
          <w:sz w:val="22"/>
          <w:szCs w:val="22"/>
        </w:rPr>
        <w:t>(1), 48–82.</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Mendola, M. (2007). Agricultural technology adoption and poverty reduction: A propensity-score matching analysis for rural Bangladesh. </w:t>
      </w:r>
      <w:r w:rsidRPr="00DC158C">
        <w:rPr>
          <w:i/>
          <w:iCs/>
          <w:sz w:val="22"/>
          <w:szCs w:val="22"/>
        </w:rPr>
        <w:t>Food Policy</w:t>
      </w:r>
      <w:r w:rsidRPr="00DC158C">
        <w:rPr>
          <w:sz w:val="22"/>
          <w:szCs w:val="22"/>
        </w:rPr>
        <w:t>, 32(3), 372–393.</w:t>
      </w:r>
    </w:p>
    <w:p w:rsidR="00281702" w:rsidRPr="00DC158C" w:rsidRDefault="00281702" w:rsidP="00DC158C">
      <w:pPr>
        <w:pStyle w:val="NormalWeb"/>
        <w:spacing w:line="276" w:lineRule="auto"/>
        <w:jc w:val="both"/>
        <w:rPr>
          <w:sz w:val="22"/>
          <w:szCs w:val="22"/>
        </w:rPr>
      </w:pPr>
      <w:proofErr w:type="spellStart"/>
      <w:r w:rsidRPr="00DC158C">
        <w:rPr>
          <w:sz w:val="22"/>
          <w:szCs w:val="22"/>
        </w:rPr>
        <w:t>Neaime</w:t>
      </w:r>
      <w:proofErr w:type="spellEnd"/>
      <w:r w:rsidRPr="00DC158C">
        <w:rPr>
          <w:sz w:val="22"/>
          <w:szCs w:val="22"/>
        </w:rPr>
        <w:t xml:space="preserve">, S., </w:t>
      </w:r>
      <w:proofErr w:type="spellStart"/>
      <w:r w:rsidRPr="00DC158C">
        <w:rPr>
          <w:sz w:val="22"/>
          <w:szCs w:val="22"/>
        </w:rPr>
        <w:t>Gaysset</w:t>
      </w:r>
      <w:proofErr w:type="spellEnd"/>
      <w:r w:rsidRPr="00DC158C">
        <w:rPr>
          <w:sz w:val="22"/>
          <w:szCs w:val="22"/>
        </w:rPr>
        <w:t xml:space="preserve">, I., 2018. Financial inclusion and stability in MENA: evidence from poverty and inequality. Finance Res. Lett. 24, 230–237. </w:t>
      </w:r>
    </w:p>
    <w:p w:rsidR="00281702" w:rsidRPr="00DC158C" w:rsidRDefault="00281702" w:rsidP="00DC158C">
      <w:pPr>
        <w:spacing w:before="240" w:after="240" w:line="360" w:lineRule="auto"/>
        <w:jc w:val="both"/>
        <w:rPr>
          <w:sz w:val="22"/>
          <w:szCs w:val="22"/>
        </w:rPr>
      </w:pPr>
      <w:r w:rsidRPr="00DC158C">
        <w:rPr>
          <w:sz w:val="22"/>
          <w:szCs w:val="22"/>
        </w:rPr>
        <w:t xml:space="preserve">Pradhan, R. P., Arvin, M. B., Nair, M. S., Hall, J. H., &amp; Bennett, S. E. (2021). Sustainable economic development in India: the dynamics between financial inclusion, </w:t>
      </w:r>
      <w:proofErr w:type="spellStart"/>
      <w:r w:rsidRPr="00DC158C">
        <w:rPr>
          <w:sz w:val="22"/>
          <w:szCs w:val="22"/>
        </w:rPr>
        <w:t>ict</w:t>
      </w:r>
      <w:proofErr w:type="spellEnd"/>
      <w:r w:rsidRPr="00DC158C">
        <w:rPr>
          <w:sz w:val="22"/>
          <w:szCs w:val="22"/>
        </w:rPr>
        <w:t xml:space="preserve"> development, and economic growth. Technological Forecasting and Social Change, 169, 120758. </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Purwanto, N., Manongga, D., &amp; Pakereng, M. A. I. (2014). Efficiency of small and medium-sized tofu enterprises (SME) in Salatiga using data envelopment analysis (DEA). </w:t>
      </w:r>
      <w:r w:rsidRPr="00DC158C">
        <w:rPr>
          <w:i/>
          <w:iCs/>
          <w:sz w:val="22"/>
          <w:szCs w:val="22"/>
        </w:rPr>
        <w:t>International Journal of Computer Applications, 91</w:t>
      </w:r>
      <w:r w:rsidRPr="00DC158C">
        <w:rPr>
          <w:sz w:val="22"/>
          <w:szCs w:val="22"/>
        </w:rPr>
        <w:t>(12), 44–50.</w:t>
      </w:r>
    </w:p>
    <w:p w:rsidR="00281702" w:rsidRPr="00DC158C" w:rsidRDefault="00281702" w:rsidP="00DC158C">
      <w:pPr>
        <w:spacing w:before="240" w:after="240" w:line="360" w:lineRule="auto"/>
        <w:jc w:val="both"/>
        <w:rPr>
          <w:sz w:val="22"/>
          <w:szCs w:val="22"/>
        </w:rPr>
      </w:pPr>
      <w:r w:rsidRPr="00DC158C">
        <w:rPr>
          <w:sz w:val="22"/>
          <w:szCs w:val="22"/>
        </w:rPr>
        <w:t xml:space="preserve">Rahman, M. M., Luo, J., &amp; Hafiz, N. (2020). Financial inclusion, innovation and firm performance: Evidence from Bangladesh. </w:t>
      </w:r>
      <w:r w:rsidRPr="00DC158C">
        <w:rPr>
          <w:rStyle w:val="Emphasis"/>
          <w:sz w:val="22"/>
          <w:szCs w:val="22"/>
        </w:rPr>
        <w:t>Sustainability, 12</w:t>
      </w:r>
      <w:r w:rsidRPr="00DC158C">
        <w:rPr>
          <w:sz w:val="22"/>
          <w:szCs w:val="22"/>
        </w:rPr>
        <w:t>(17), 7070.</w:t>
      </w:r>
    </w:p>
    <w:p w:rsidR="00281702" w:rsidRPr="00DC158C" w:rsidRDefault="00281702" w:rsidP="00DC158C">
      <w:pPr>
        <w:spacing w:before="240" w:after="240" w:line="360" w:lineRule="auto"/>
        <w:jc w:val="both"/>
        <w:rPr>
          <w:sz w:val="22"/>
          <w:szCs w:val="22"/>
        </w:rPr>
      </w:pPr>
      <w:r w:rsidRPr="00DC158C">
        <w:rPr>
          <w:sz w:val="22"/>
          <w:szCs w:val="22"/>
        </w:rPr>
        <w:t xml:space="preserve">Reserve Bank of Malawi. (2023). </w:t>
      </w:r>
      <w:r w:rsidRPr="00DC158C">
        <w:rPr>
          <w:rStyle w:val="Emphasis"/>
          <w:sz w:val="22"/>
          <w:szCs w:val="22"/>
        </w:rPr>
        <w:t>2023 Financial Sector Performance Report</w:t>
      </w:r>
      <w:r w:rsidRPr="00DC158C">
        <w:rPr>
          <w:sz w:val="22"/>
          <w:szCs w:val="22"/>
        </w:rPr>
        <w:t>.</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Rosenbaum, P. R., &amp; Rubin, D. B. (1983). The central role of the propensity score in observational studies for causal effects. </w:t>
      </w:r>
      <w:proofErr w:type="spellStart"/>
      <w:r w:rsidRPr="00DC158C">
        <w:rPr>
          <w:i/>
          <w:iCs/>
          <w:sz w:val="22"/>
          <w:szCs w:val="22"/>
        </w:rPr>
        <w:t>Biometrika</w:t>
      </w:r>
      <w:proofErr w:type="spellEnd"/>
      <w:r w:rsidRPr="00DC158C">
        <w:rPr>
          <w:i/>
          <w:iCs/>
          <w:sz w:val="22"/>
          <w:szCs w:val="22"/>
        </w:rPr>
        <w:t>, 70</w:t>
      </w:r>
      <w:r w:rsidRPr="00DC158C">
        <w:rPr>
          <w:sz w:val="22"/>
          <w:szCs w:val="22"/>
        </w:rPr>
        <w:t>(1), 41–55.</w:t>
      </w:r>
    </w:p>
    <w:p w:rsidR="00281702" w:rsidRPr="00DC158C" w:rsidRDefault="00281702" w:rsidP="00DC158C">
      <w:pPr>
        <w:spacing w:before="240" w:after="240" w:line="360" w:lineRule="auto"/>
        <w:jc w:val="both"/>
        <w:rPr>
          <w:sz w:val="22"/>
          <w:szCs w:val="22"/>
        </w:rPr>
      </w:pPr>
      <w:r w:rsidRPr="00DC158C">
        <w:rPr>
          <w:sz w:val="22"/>
          <w:szCs w:val="22"/>
        </w:rPr>
        <w:lastRenderedPageBreak/>
        <w:t xml:space="preserve">Sanga, B. &amp; Aziakpono, M. (2022). The impact of technological innovations on financial deepening: Implications for SME financing in Africa. African Development Review. </w:t>
      </w:r>
    </w:p>
    <w:p w:rsidR="00281702" w:rsidRPr="00DC158C" w:rsidRDefault="00281702" w:rsidP="00DC158C">
      <w:pPr>
        <w:spacing w:before="100" w:beforeAutospacing="1" w:after="100" w:afterAutospacing="1"/>
        <w:jc w:val="both"/>
        <w:rPr>
          <w:sz w:val="22"/>
          <w:szCs w:val="22"/>
        </w:rPr>
      </w:pPr>
      <w:r w:rsidRPr="00DC158C">
        <w:rPr>
          <w:sz w:val="22"/>
          <w:szCs w:val="22"/>
        </w:rPr>
        <w:t xml:space="preserve">SIVIO Institute. (2024). </w:t>
      </w:r>
      <w:r w:rsidRPr="00DC158C">
        <w:rPr>
          <w:i/>
          <w:iCs/>
          <w:sz w:val="22"/>
          <w:szCs w:val="22"/>
        </w:rPr>
        <w:t>Digital Financial Inclusion in Malawi</w:t>
      </w:r>
      <w:r w:rsidRPr="00DC158C">
        <w:rPr>
          <w:sz w:val="22"/>
          <w:szCs w:val="22"/>
        </w:rPr>
        <w:t xml:space="preserve">. </w:t>
      </w:r>
      <w:hyperlink r:id="rId17" w:history="1">
        <w:r w:rsidRPr="00DC158C">
          <w:rPr>
            <w:rStyle w:val="Hyperlink"/>
            <w:sz w:val="22"/>
            <w:szCs w:val="22"/>
          </w:rPr>
          <w:t>https://connect.sivioinstitute.org/2024/04/30/report-publication-digital-financial-inclusion-in-malawi</w:t>
        </w:r>
      </w:hyperlink>
    </w:p>
    <w:p w:rsidR="00281702" w:rsidRPr="00DC158C" w:rsidRDefault="00281702" w:rsidP="00DC158C">
      <w:pPr>
        <w:spacing w:before="240" w:after="240" w:line="360" w:lineRule="auto"/>
        <w:jc w:val="both"/>
        <w:rPr>
          <w:sz w:val="22"/>
          <w:szCs w:val="22"/>
        </w:rPr>
      </w:pPr>
      <w:r w:rsidRPr="00DC158C">
        <w:rPr>
          <w:sz w:val="22"/>
          <w:szCs w:val="22"/>
        </w:rPr>
        <w:t xml:space="preserve">Wooldridge, J. M. (2010). </w:t>
      </w:r>
      <w:r w:rsidRPr="00DC158C">
        <w:rPr>
          <w:i/>
          <w:iCs/>
          <w:sz w:val="22"/>
          <w:szCs w:val="22"/>
        </w:rPr>
        <w:t>Econometric analysis of cross section and panel data</w:t>
      </w:r>
      <w:r w:rsidRPr="00DC158C">
        <w:rPr>
          <w:sz w:val="22"/>
          <w:szCs w:val="22"/>
        </w:rPr>
        <w:t xml:space="preserve"> (2nd ed.). MIT Press.</w:t>
      </w:r>
    </w:p>
    <w:p w:rsidR="00281702" w:rsidRPr="00DC158C" w:rsidRDefault="00281702" w:rsidP="00DC158C">
      <w:pPr>
        <w:spacing w:before="100" w:beforeAutospacing="1" w:after="100" w:afterAutospacing="1" w:line="276" w:lineRule="auto"/>
        <w:jc w:val="both"/>
        <w:rPr>
          <w:sz w:val="22"/>
          <w:szCs w:val="22"/>
        </w:rPr>
      </w:pPr>
      <w:r w:rsidRPr="00DC158C">
        <w:rPr>
          <w:sz w:val="22"/>
          <w:szCs w:val="22"/>
        </w:rPr>
        <w:t xml:space="preserve">Wooldridge, J. M. (2010). </w:t>
      </w:r>
      <w:r w:rsidRPr="00DC158C">
        <w:rPr>
          <w:i/>
          <w:iCs/>
          <w:sz w:val="22"/>
          <w:szCs w:val="22"/>
        </w:rPr>
        <w:t>Econometric Analysis of Cross Section and Panel Data</w:t>
      </w:r>
      <w:r w:rsidRPr="00DC158C">
        <w:rPr>
          <w:sz w:val="22"/>
          <w:szCs w:val="22"/>
        </w:rPr>
        <w:t>. MIT Press.</w:t>
      </w:r>
    </w:p>
    <w:p w:rsidR="00281702" w:rsidRPr="00DC158C" w:rsidRDefault="00281702" w:rsidP="00DC158C">
      <w:pPr>
        <w:spacing w:before="240" w:after="240" w:line="360" w:lineRule="auto"/>
        <w:jc w:val="both"/>
        <w:rPr>
          <w:sz w:val="22"/>
          <w:szCs w:val="22"/>
        </w:rPr>
      </w:pPr>
      <w:r w:rsidRPr="00DC158C">
        <w:rPr>
          <w:sz w:val="22"/>
          <w:szCs w:val="22"/>
        </w:rPr>
        <w:t xml:space="preserve">World Bank. (2022). </w:t>
      </w:r>
      <w:r w:rsidRPr="00DC158C">
        <w:rPr>
          <w:rStyle w:val="Emphasis"/>
          <w:sz w:val="22"/>
          <w:szCs w:val="22"/>
        </w:rPr>
        <w:t>Enhancing MSME productivity in Malawi: Policy and investment priorities</w:t>
      </w:r>
      <w:r w:rsidRPr="00DC158C">
        <w:rPr>
          <w:sz w:val="22"/>
          <w:szCs w:val="22"/>
        </w:rPr>
        <w:t>.</w:t>
      </w:r>
    </w:p>
    <w:p w:rsidR="00281702" w:rsidRDefault="00281702" w:rsidP="00281702">
      <w:pPr>
        <w:pStyle w:val="NormalWeb"/>
      </w:pPr>
      <w:r>
        <w:t xml:space="preserve">World Bank. (2022). </w:t>
      </w:r>
      <w:r>
        <w:rPr>
          <w:rStyle w:val="Emphasis"/>
        </w:rPr>
        <w:t>Financial inclusion overview</w:t>
      </w:r>
      <w:r>
        <w:t xml:space="preserve">. </w:t>
      </w:r>
      <w:hyperlink r:id="rId18" w:tgtFrame="_new" w:history="1">
        <w:r>
          <w:rPr>
            <w:rStyle w:val="Hyperlink"/>
          </w:rPr>
          <w:t>https://www.worldbank.org/en/topic/financialinclusion/overview</w:t>
        </w:r>
      </w:hyperlink>
    </w:p>
    <w:p w:rsidR="00C82F1B" w:rsidRPr="00352FFB" w:rsidRDefault="00D64021" w:rsidP="0025117D">
      <w:pPr>
        <w:spacing w:before="240" w:after="240" w:line="360" w:lineRule="auto"/>
        <w:jc w:val="both"/>
      </w:pPr>
      <w:r>
        <w:t xml:space="preserve">Chikalipah, S. (2017). What drives financial inclusion in sub-Saharan Africa? </w:t>
      </w:r>
      <w:r>
        <w:rPr>
          <w:rStyle w:val="Emphasis"/>
        </w:rPr>
        <w:t>African Journal of Economic and Management Studies, 8</w:t>
      </w:r>
      <w:r>
        <w:t>(1), 8–18. https://doi.org/10.1108/AJEMS-03-2016-0028</w:t>
      </w:r>
    </w:p>
    <w:p w:rsidR="003D31AE" w:rsidRPr="00BC3311" w:rsidRDefault="003D31AE" w:rsidP="00BC3311">
      <w:pPr>
        <w:jc w:val="both"/>
      </w:pPr>
    </w:p>
    <w:p w:rsidR="00BC3311" w:rsidRPr="00C44FEF" w:rsidRDefault="00BC3311" w:rsidP="00C44FEF">
      <w:pPr>
        <w:spacing w:line="360" w:lineRule="auto"/>
        <w:jc w:val="both"/>
      </w:pPr>
    </w:p>
    <w:p w:rsidR="00FB3BAB" w:rsidRDefault="00FB3BAB" w:rsidP="00C44FEF">
      <w:pPr>
        <w:spacing w:line="360" w:lineRule="auto"/>
        <w:sectPr w:rsidR="00FB3BAB">
          <w:pgSz w:w="12240" w:h="15840"/>
          <w:pgMar w:top="1440" w:right="1440" w:bottom="1440" w:left="1440" w:header="708" w:footer="708" w:gutter="0"/>
          <w:cols w:space="708"/>
          <w:docGrid w:linePitch="360"/>
        </w:sectPr>
      </w:pPr>
    </w:p>
    <w:p w:rsidR="0067274E" w:rsidRPr="001F41FC" w:rsidRDefault="00FB3BAB" w:rsidP="0067274E">
      <w:pPr>
        <w:spacing w:before="240" w:after="240" w:line="360" w:lineRule="auto"/>
        <w:jc w:val="both"/>
        <w:rPr>
          <w:b/>
          <w:sz w:val="26"/>
          <w:szCs w:val="26"/>
        </w:rPr>
      </w:pPr>
      <w:r w:rsidRPr="001F41FC">
        <w:rPr>
          <w:b/>
          <w:sz w:val="26"/>
          <w:szCs w:val="26"/>
        </w:rPr>
        <w:lastRenderedPageBreak/>
        <w:t>Appendix 1: Table: Profit Efficiency variable definition and measurement</w:t>
      </w:r>
    </w:p>
    <w:tbl>
      <w:tblPr>
        <w:tblW w:w="9287" w:type="dxa"/>
        <w:tblBorders>
          <w:top w:val="single" w:sz="4" w:space="0" w:color="auto"/>
          <w:bottom w:val="single" w:sz="4" w:space="0" w:color="auto"/>
        </w:tblBorders>
        <w:tblLook w:val="04A0" w:firstRow="1" w:lastRow="0" w:firstColumn="1" w:lastColumn="0" w:noHBand="0" w:noVBand="1"/>
      </w:tblPr>
      <w:tblGrid>
        <w:gridCol w:w="1138"/>
        <w:gridCol w:w="2831"/>
        <w:gridCol w:w="5318"/>
      </w:tblGrid>
      <w:tr w:rsidR="0067274E" w:rsidRPr="00E66DA0" w:rsidTr="001F41FC">
        <w:trPr>
          <w:trHeight w:val="296"/>
          <w:tblHeader/>
        </w:trPr>
        <w:tc>
          <w:tcPr>
            <w:tcW w:w="1138" w:type="dxa"/>
            <w:tcBorders>
              <w:top w:val="single" w:sz="4" w:space="0" w:color="auto"/>
              <w:bottom w:val="single" w:sz="4" w:space="0" w:color="auto"/>
            </w:tcBorders>
            <w:shd w:val="clear" w:color="auto" w:fill="auto"/>
            <w:noWrap/>
            <w:hideMark/>
          </w:tcPr>
          <w:p w:rsidR="0067274E" w:rsidRPr="00E66DA0" w:rsidRDefault="0067274E" w:rsidP="008D6C93">
            <w:pPr>
              <w:jc w:val="center"/>
              <w:rPr>
                <w:b/>
                <w:bCs/>
                <w:color w:val="000000"/>
              </w:rPr>
            </w:pPr>
            <w:r w:rsidRPr="00E66DA0">
              <w:rPr>
                <w:b/>
                <w:bCs/>
                <w:color w:val="000000"/>
              </w:rPr>
              <w:t>SN</w:t>
            </w:r>
          </w:p>
        </w:tc>
        <w:tc>
          <w:tcPr>
            <w:tcW w:w="2831" w:type="dxa"/>
            <w:tcBorders>
              <w:top w:val="single" w:sz="4" w:space="0" w:color="auto"/>
              <w:bottom w:val="single" w:sz="4" w:space="0" w:color="auto"/>
            </w:tcBorders>
            <w:shd w:val="clear" w:color="auto" w:fill="auto"/>
            <w:noWrap/>
            <w:hideMark/>
          </w:tcPr>
          <w:p w:rsidR="0067274E" w:rsidRPr="00E66DA0" w:rsidRDefault="0067274E" w:rsidP="008D6C93">
            <w:pPr>
              <w:rPr>
                <w:b/>
                <w:bCs/>
                <w:color w:val="000000"/>
              </w:rPr>
            </w:pPr>
            <w:r w:rsidRPr="00E66DA0">
              <w:rPr>
                <w:b/>
                <w:bCs/>
                <w:color w:val="000000"/>
              </w:rPr>
              <w:t>Variable name</w:t>
            </w:r>
          </w:p>
        </w:tc>
        <w:tc>
          <w:tcPr>
            <w:tcW w:w="5318" w:type="dxa"/>
            <w:tcBorders>
              <w:top w:val="single" w:sz="4" w:space="0" w:color="auto"/>
              <w:bottom w:val="single" w:sz="4" w:space="0" w:color="auto"/>
            </w:tcBorders>
            <w:shd w:val="clear" w:color="auto" w:fill="auto"/>
            <w:noWrap/>
            <w:hideMark/>
          </w:tcPr>
          <w:p w:rsidR="0067274E" w:rsidRPr="00E66DA0" w:rsidRDefault="0067274E" w:rsidP="008D6C93">
            <w:pPr>
              <w:rPr>
                <w:b/>
                <w:bCs/>
                <w:color w:val="000000"/>
              </w:rPr>
            </w:pPr>
            <w:r w:rsidRPr="00E66DA0">
              <w:rPr>
                <w:b/>
                <w:bCs/>
                <w:color w:val="000000"/>
              </w:rPr>
              <w:t>Measurement</w:t>
            </w:r>
          </w:p>
        </w:tc>
      </w:tr>
      <w:tr w:rsidR="0067274E" w:rsidRPr="00E66DA0" w:rsidTr="001F41FC">
        <w:trPr>
          <w:trHeight w:val="296"/>
        </w:trPr>
        <w:tc>
          <w:tcPr>
            <w:tcW w:w="1138" w:type="dxa"/>
            <w:tcBorders>
              <w:top w:val="single" w:sz="4" w:space="0" w:color="auto"/>
            </w:tcBorders>
            <w:shd w:val="clear" w:color="auto" w:fill="auto"/>
            <w:noWrap/>
            <w:hideMark/>
          </w:tcPr>
          <w:p w:rsidR="0067274E" w:rsidRPr="00E66DA0" w:rsidRDefault="0067274E" w:rsidP="008D6C93">
            <w:pPr>
              <w:jc w:val="center"/>
              <w:rPr>
                <w:b/>
                <w:color w:val="000000"/>
              </w:rPr>
            </w:pPr>
            <w:r w:rsidRPr="00E66DA0">
              <w:rPr>
                <w:b/>
                <w:color w:val="000000"/>
              </w:rPr>
              <w:t>A.</w:t>
            </w:r>
          </w:p>
        </w:tc>
        <w:tc>
          <w:tcPr>
            <w:tcW w:w="2831" w:type="dxa"/>
            <w:tcBorders>
              <w:top w:val="single" w:sz="4" w:space="0" w:color="auto"/>
            </w:tcBorders>
            <w:shd w:val="clear" w:color="auto" w:fill="auto"/>
            <w:noWrap/>
            <w:hideMark/>
          </w:tcPr>
          <w:p w:rsidR="0067274E" w:rsidRPr="00E66DA0" w:rsidRDefault="00582085" w:rsidP="008D6C93">
            <w:pPr>
              <w:rPr>
                <w:b/>
                <w:color w:val="000000"/>
              </w:rPr>
            </w:pPr>
            <w:r>
              <w:rPr>
                <w:b/>
                <w:color w:val="000000"/>
              </w:rPr>
              <w:t>Outcome variables/ p</w:t>
            </w:r>
            <w:r w:rsidR="0067274E" w:rsidRPr="00E66DA0">
              <w:rPr>
                <w:b/>
                <w:color w:val="000000"/>
              </w:rPr>
              <w:t>roductivity measures</w:t>
            </w:r>
          </w:p>
        </w:tc>
        <w:tc>
          <w:tcPr>
            <w:tcW w:w="5318" w:type="dxa"/>
            <w:tcBorders>
              <w:top w:val="single" w:sz="4" w:space="0" w:color="auto"/>
            </w:tcBorders>
            <w:shd w:val="clear" w:color="auto" w:fill="auto"/>
            <w:noWrap/>
            <w:hideMark/>
          </w:tcPr>
          <w:p w:rsidR="0067274E" w:rsidRPr="00E66DA0" w:rsidRDefault="0067274E" w:rsidP="008D6C93">
            <w:pPr>
              <w:rPr>
                <w:b/>
                <w:color w:val="000000"/>
              </w:rPr>
            </w:pPr>
          </w:p>
        </w:tc>
      </w:tr>
      <w:tr w:rsidR="0067274E" w:rsidRPr="00E66DA0" w:rsidTr="001F41FC">
        <w:trPr>
          <w:trHeight w:val="296"/>
        </w:trPr>
        <w:tc>
          <w:tcPr>
            <w:tcW w:w="1138" w:type="dxa"/>
            <w:shd w:val="clear" w:color="auto" w:fill="auto"/>
            <w:noWrap/>
            <w:hideMark/>
          </w:tcPr>
          <w:p w:rsidR="0067274E" w:rsidRPr="00E66DA0" w:rsidRDefault="00E042DC" w:rsidP="008D6C93">
            <w:pPr>
              <w:jc w:val="center"/>
              <w:rPr>
                <w:color w:val="000000"/>
              </w:rPr>
            </w:pPr>
            <w:r>
              <w:rPr>
                <w:color w:val="000000"/>
              </w:rPr>
              <w:t>1</w:t>
            </w:r>
          </w:p>
        </w:tc>
        <w:tc>
          <w:tcPr>
            <w:tcW w:w="2831" w:type="dxa"/>
            <w:shd w:val="clear" w:color="auto" w:fill="auto"/>
            <w:noWrap/>
            <w:hideMark/>
          </w:tcPr>
          <w:p w:rsidR="0067274E" w:rsidRPr="00E66DA0" w:rsidRDefault="0067274E" w:rsidP="008D6C93">
            <w:pPr>
              <w:rPr>
                <w:color w:val="000000"/>
              </w:rPr>
            </w:pPr>
            <w:r w:rsidRPr="00E66DA0">
              <w:rPr>
                <w:color w:val="000000"/>
              </w:rPr>
              <w:t>Profit Efficiency</w:t>
            </w:r>
          </w:p>
        </w:tc>
        <w:tc>
          <w:tcPr>
            <w:tcW w:w="5318" w:type="dxa"/>
            <w:shd w:val="clear" w:color="auto" w:fill="auto"/>
            <w:noWrap/>
            <w:hideMark/>
          </w:tcPr>
          <w:p w:rsidR="0067274E" w:rsidRPr="00E66DA0" w:rsidRDefault="0067274E" w:rsidP="008D6C93">
            <w:r w:rsidRPr="00E66DA0">
              <w:t xml:space="preserve">It is calculated by comparing a company's profit to its maximum potential profit. It is calculated using the Stochastic Profit Frontier (SPF) model, which uses </w:t>
            </w:r>
            <w:r w:rsidRPr="00B51692">
              <w:rPr>
                <w:b/>
              </w:rPr>
              <w:t>labour</w:t>
            </w:r>
            <w:r w:rsidRPr="00E66DA0">
              <w:t xml:space="preserve">, </w:t>
            </w:r>
            <w:r w:rsidRPr="00B51692">
              <w:rPr>
                <w:b/>
              </w:rPr>
              <w:t>materials</w:t>
            </w:r>
            <w:r w:rsidRPr="00E66DA0">
              <w:t xml:space="preserve">, </w:t>
            </w:r>
            <w:r w:rsidRPr="00B51692">
              <w:rPr>
                <w:b/>
              </w:rPr>
              <w:t>operations</w:t>
            </w:r>
            <w:r w:rsidRPr="00E66DA0">
              <w:t xml:space="preserve">, and </w:t>
            </w:r>
            <w:r w:rsidRPr="00B51692">
              <w:rPr>
                <w:b/>
              </w:rPr>
              <w:t>fixed costs</w:t>
            </w:r>
            <w:r w:rsidRPr="00E66DA0">
              <w:t>.</w:t>
            </w:r>
          </w:p>
          <w:p w:rsidR="0067274E" w:rsidRPr="00E66DA0" w:rsidRDefault="0067274E" w:rsidP="008D6C93">
            <w:pPr>
              <w:rPr>
                <w:color w:val="000000"/>
              </w:rPr>
            </w:pPr>
          </w:p>
        </w:tc>
      </w:tr>
      <w:tr w:rsidR="0067274E" w:rsidRPr="00E66DA0" w:rsidTr="001F41FC">
        <w:trPr>
          <w:trHeight w:val="296"/>
        </w:trPr>
        <w:tc>
          <w:tcPr>
            <w:tcW w:w="1138" w:type="dxa"/>
            <w:shd w:val="clear" w:color="auto" w:fill="auto"/>
            <w:noWrap/>
            <w:hideMark/>
          </w:tcPr>
          <w:p w:rsidR="0067274E" w:rsidRPr="00E66DA0" w:rsidRDefault="0067274E" w:rsidP="008D6C93">
            <w:pPr>
              <w:jc w:val="center"/>
              <w:rPr>
                <w:b/>
                <w:color w:val="000000"/>
              </w:rPr>
            </w:pPr>
            <w:r>
              <w:rPr>
                <w:b/>
                <w:color w:val="000000"/>
              </w:rPr>
              <w:t>B</w:t>
            </w:r>
          </w:p>
        </w:tc>
        <w:tc>
          <w:tcPr>
            <w:tcW w:w="2831" w:type="dxa"/>
            <w:shd w:val="clear" w:color="auto" w:fill="auto"/>
            <w:noWrap/>
            <w:hideMark/>
          </w:tcPr>
          <w:p w:rsidR="0067274E" w:rsidRPr="00E66DA0" w:rsidRDefault="0067274E" w:rsidP="008D6C93">
            <w:pPr>
              <w:rPr>
                <w:b/>
                <w:color w:val="000000"/>
              </w:rPr>
            </w:pPr>
            <w:r w:rsidRPr="00E66DA0">
              <w:rPr>
                <w:b/>
                <w:color w:val="000000"/>
              </w:rPr>
              <w:t>Covariates</w:t>
            </w:r>
          </w:p>
        </w:tc>
        <w:tc>
          <w:tcPr>
            <w:tcW w:w="5318" w:type="dxa"/>
            <w:shd w:val="clear" w:color="auto" w:fill="auto"/>
            <w:noWrap/>
            <w:hideMark/>
          </w:tcPr>
          <w:p w:rsidR="0067274E" w:rsidRPr="00E66DA0" w:rsidRDefault="0067274E" w:rsidP="008D6C93">
            <w:pPr>
              <w:rPr>
                <w:b/>
                <w:color w:val="000000"/>
              </w:rPr>
            </w:pPr>
          </w:p>
        </w:tc>
      </w:tr>
      <w:tr w:rsidR="004F4E12" w:rsidRPr="00E66DA0" w:rsidTr="001F41FC">
        <w:trPr>
          <w:trHeight w:val="296"/>
        </w:trPr>
        <w:tc>
          <w:tcPr>
            <w:tcW w:w="1138" w:type="dxa"/>
            <w:shd w:val="clear" w:color="auto" w:fill="auto"/>
            <w:noWrap/>
          </w:tcPr>
          <w:p w:rsidR="004F4E12" w:rsidRDefault="004F4E12" w:rsidP="004F4E12">
            <w:pPr>
              <w:jc w:val="center"/>
              <w:rPr>
                <w:b/>
                <w:color w:val="000000"/>
              </w:rPr>
            </w:pPr>
            <w:r>
              <w:rPr>
                <w:b/>
                <w:color w:val="000000"/>
              </w:rPr>
              <w:t>1</w:t>
            </w:r>
          </w:p>
        </w:tc>
        <w:tc>
          <w:tcPr>
            <w:tcW w:w="2831" w:type="dxa"/>
            <w:shd w:val="clear" w:color="auto" w:fill="auto"/>
            <w:noWrap/>
            <w:vAlign w:val="bottom"/>
          </w:tcPr>
          <w:p w:rsidR="004F4E12" w:rsidRPr="00655944" w:rsidRDefault="004F4E12" w:rsidP="004F4E12">
            <w:r w:rsidRPr="00655944">
              <w:t>SMED helped</w:t>
            </w:r>
          </w:p>
        </w:tc>
        <w:tc>
          <w:tcPr>
            <w:tcW w:w="5318" w:type="dxa"/>
            <w:shd w:val="clear" w:color="auto" w:fill="auto"/>
            <w:noWrap/>
          </w:tcPr>
          <w:p w:rsidR="004F4E12" w:rsidRDefault="004F4E12" w:rsidP="004F4E12">
            <w:r>
              <w:t>1=yes and 0=no</w:t>
            </w:r>
          </w:p>
        </w:tc>
      </w:tr>
      <w:tr w:rsidR="004F4E12" w:rsidRPr="00E66DA0" w:rsidTr="001F41FC">
        <w:trPr>
          <w:trHeight w:val="296"/>
        </w:trPr>
        <w:tc>
          <w:tcPr>
            <w:tcW w:w="1138" w:type="dxa"/>
            <w:shd w:val="clear" w:color="auto" w:fill="auto"/>
            <w:noWrap/>
          </w:tcPr>
          <w:p w:rsidR="004F4E12" w:rsidRDefault="004F4E12" w:rsidP="004F4E12">
            <w:pPr>
              <w:jc w:val="center"/>
              <w:rPr>
                <w:b/>
                <w:color w:val="000000"/>
              </w:rPr>
            </w:pPr>
            <w:r>
              <w:rPr>
                <w:b/>
                <w:color w:val="000000"/>
              </w:rPr>
              <w:t>2</w:t>
            </w:r>
          </w:p>
        </w:tc>
        <w:tc>
          <w:tcPr>
            <w:tcW w:w="2831" w:type="dxa"/>
            <w:shd w:val="clear" w:color="auto" w:fill="auto"/>
            <w:noWrap/>
            <w:vAlign w:val="bottom"/>
          </w:tcPr>
          <w:p w:rsidR="004F4E12" w:rsidRPr="00655944" w:rsidRDefault="004F4E12" w:rsidP="004F4E12">
            <w:r w:rsidRPr="00655944">
              <w:t>Business years</w:t>
            </w:r>
          </w:p>
        </w:tc>
        <w:tc>
          <w:tcPr>
            <w:tcW w:w="5318" w:type="dxa"/>
            <w:shd w:val="clear" w:color="auto" w:fill="auto"/>
            <w:noWrap/>
          </w:tcPr>
          <w:p w:rsidR="004F4E12" w:rsidRDefault="004F4E12" w:rsidP="004F4E12">
            <w:r>
              <w:t xml:space="preserve">Years </w:t>
            </w:r>
          </w:p>
        </w:tc>
      </w:tr>
      <w:tr w:rsidR="004F4E12" w:rsidRPr="00E66DA0" w:rsidTr="001F41FC">
        <w:trPr>
          <w:trHeight w:val="296"/>
        </w:trPr>
        <w:tc>
          <w:tcPr>
            <w:tcW w:w="1138" w:type="dxa"/>
            <w:shd w:val="clear" w:color="auto" w:fill="auto"/>
            <w:noWrap/>
          </w:tcPr>
          <w:p w:rsidR="004F4E12" w:rsidRPr="00E66DA0" w:rsidRDefault="004F4E12" w:rsidP="004F4E12">
            <w:pPr>
              <w:jc w:val="center"/>
              <w:rPr>
                <w:color w:val="000000"/>
              </w:rPr>
            </w:pPr>
            <w:r>
              <w:rPr>
                <w:color w:val="000000"/>
              </w:rPr>
              <w:t>3</w:t>
            </w:r>
          </w:p>
        </w:tc>
        <w:tc>
          <w:tcPr>
            <w:tcW w:w="2831" w:type="dxa"/>
            <w:shd w:val="clear" w:color="auto" w:fill="auto"/>
            <w:noWrap/>
            <w:vAlign w:val="bottom"/>
          </w:tcPr>
          <w:p w:rsidR="004F4E12" w:rsidRPr="00655944" w:rsidRDefault="004F4E12" w:rsidP="004F4E12">
            <w:r w:rsidRPr="00655944">
              <w:t>Business registration</w:t>
            </w:r>
          </w:p>
        </w:tc>
        <w:tc>
          <w:tcPr>
            <w:tcW w:w="5318" w:type="dxa"/>
            <w:shd w:val="clear" w:color="auto" w:fill="auto"/>
            <w:noWrap/>
          </w:tcPr>
          <w:p w:rsidR="004F4E12" w:rsidRPr="00E66DA0" w:rsidRDefault="004F4E12" w:rsidP="004F4E12">
            <w:pPr>
              <w:rPr>
                <w:color w:val="000000"/>
              </w:rPr>
            </w:pPr>
            <w:r>
              <w:rPr>
                <w:color w:val="000000"/>
              </w:rPr>
              <w:t>1= registered and 0 = not</w:t>
            </w:r>
          </w:p>
        </w:tc>
      </w:tr>
      <w:tr w:rsidR="004F4E12" w:rsidRPr="00E66DA0" w:rsidTr="001F41FC">
        <w:trPr>
          <w:trHeight w:val="296"/>
        </w:trPr>
        <w:tc>
          <w:tcPr>
            <w:tcW w:w="1138" w:type="dxa"/>
            <w:shd w:val="clear" w:color="auto" w:fill="auto"/>
            <w:noWrap/>
            <w:hideMark/>
          </w:tcPr>
          <w:p w:rsidR="004F4E12" w:rsidRPr="00E66DA0" w:rsidRDefault="004F4E12" w:rsidP="004F4E12">
            <w:pPr>
              <w:jc w:val="center"/>
              <w:rPr>
                <w:color w:val="000000"/>
              </w:rPr>
            </w:pPr>
            <w:r>
              <w:rPr>
                <w:color w:val="000000"/>
              </w:rPr>
              <w:t>4</w:t>
            </w:r>
          </w:p>
        </w:tc>
        <w:tc>
          <w:tcPr>
            <w:tcW w:w="2831" w:type="dxa"/>
            <w:shd w:val="clear" w:color="auto" w:fill="auto"/>
            <w:noWrap/>
            <w:vAlign w:val="bottom"/>
            <w:hideMark/>
          </w:tcPr>
          <w:p w:rsidR="004F4E12" w:rsidRPr="00655944" w:rsidRDefault="004F4E12" w:rsidP="004F4E12">
            <w:r w:rsidRPr="00655944">
              <w:t xml:space="preserve">Electricity </w:t>
            </w:r>
          </w:p>
        </w:tc>
        <w:tc>
          <w:tcPr>
            <w:tcW w:w="5318" w:type="dxa"/>
            <w:shd w:val="clear" w:color="auto" w:fill="auto"/>
            <w:noWrap/>
            <w:hideMark/>
          </w:tcPr>
          <w:p w:rsidR="004F4E12" w:rsidRPr="00E66DA0" w:rsidRDefault="004F4E12" w:rsidP="004F4E12">
            <w:pPr>
              <w:rPr>
                <w:color w:val="000000"/>
              </w:rPr>
            </w:pPr>
            <w:r w:rsidRPr="00E66DA0">
              <w:t xml:space="preserve">1= </w:t>
            </w:r>
            <w:r>
              <w:t>grid connected</w:t>
            </w:r>
            <w:r w:rsidRPr="00E66DA0">
              <w:t xml:space="preserve"> and 0</w:t>
            </w:r>
            <w:r>
              <w:t xml:space="preserve"> </w:t>
            </w:r>
            <w:r w:rsidRPr="00E66DA0">
              <w:t>=</w:t>
            </w:r>
            <w:r>
              <w:t xml:space="preserve"> </w:t>
            </w:r>
            <w:r w:rsidRPr="00E66DA0">
              <w:t>no</w:t>
            </w:r>
          </w:p>
        </w:tc>
      </w:tr>
      <w:tr w:rsidR="004F4E12" w:rsidRPr="00E66DA0" w:rsidTr="001F41FC">
        <w:trPr>
          <w:trHeight w:val="296"/>
        </w:trPr>
        <w:tc>
          <w:tcPr>
            <w:tcW w:w="1138" w:type="dxa"/>
            <w:shd w:val="clear" w:color="auto" w:fill="auto"/>
            <w:noWrap/>
          </w:tcPr>
          <w:p w:rsidR="004F4E12" w:rsidRDefault="004F4E12" w:rsidP="004F4E12">
            <w:pPr>
              <w:jc w:val="center"/>
              <w:rPr>
                <w:color w:val="000000"/>
              </w:rPr>
            </w:pPr>
            <w:r>
              <w:rPr>
                <w:color w:val="000000"/>
              </w:rPr>
              <w:t>5</w:t>
            </w:r>
          </w:p>
        </w:tc>
        <w:tc>
          <w:tcPr>
            <w:tcW w:w="2831" w:type="dxa"/>
            <w:shd w:val="clear" w:color="auto" w:fill="auto"/>
            <w:noWrap/>
            <w:vAlign w:val="bottom"/>
          </w:tcPr>
          <w:p w:rsidR="004F4E12" w:rsidRPr="00655944" w:rsidRDefault="004F4E12" w:rsidP="004F4E12">
            <w:r w:rsidRPr="00655944">
              <w:t>Piped water access</w:t>
            </w:r>
          </w:p>
        </w:tc>
        <w:tc>
          <w:tcPr>
            <w:tcW w:w="5318" w:type="dxa"/>
            <w:shd w:val="clear" w:color="auto" w:fill="auto"/>
            <w:noWrap/>
          </w:tcPr>
          <w:p w:rsidR="004F4E12" w:rsidRPr="00E66DA0" w:rsidRDefault="004F4E12" w:rsidP="004F4E12">
            <w:pPr>
              <w:rPr>
                <w:color w:val="000000"/>
              </w:rPr>
            </w:pPr>
            <w:r w:rsidRPr="00E66DA0">
              <w:t xml:space="preserve">1= </w:t>
            </w:r>
            <w:r>
              <w:t>connected</w:t>
            </w:r>
            <w:r w:rsidRPr="00E66DA0">
              <w:t xml:space="preserve"> and 0</w:t>
            </w:r>
            <w:r>
              <w:t xml:space="preserve"> </w:t>
            </w:r>
            <w:r w:rsidRPr="00E66DA0">
              <w:t>=</w:t>
            </w:r>
            <w:r>
              <w:t xml:space="preserve"> </w:t>
            </w:r>
            <w:r w:rsidRPr="00E66DA0">
              <w:t>no</w:t>
            </w:r>
          </w:p>
        </w:tc>
      </w:tr>
      <w:tr w:rsidR="004F4E12" w:rsidRPr="00E66DA0" w:rsidTr="001F41FC">
        <w:trPr>
          <w:trHeight w:val="296"/>
        </w:trPr>
        <w:tc>
          <w:tcPr>
            <w:tcW w:w="1138" w:type="dxa"/>
            <w:shd w:val="clear" w:color="auto" w:fill="auto"/>
            <w:noWrap/>
          </w:tcPr>
          <w:p w:rsidR="004F4E12" w:rsidRPr="00E66DA0" w:rsidRDefault="004F4E12" w:rsidP="004F4E12">
            <w:pPr>
              <w:jc w:val="center"/>
              <w:rPr>
                <w:color w:val="000000"/>
              </w:rPr>
            </w:pPr>
            <w:r>
              <w:rPr>
                <w:color w:val="000000"/>
              </w:rPr>
              <w:t>5</w:t>
            </w:r>
          </w:p>
        </w:tc>
        <w:tc>
          <w:tcPr>
            <w:tcW w:w="2831" w:type="dxa"/>
            <w:shd w:val="clear" w:color="auto" w:fill="auto"/>
            <w:noWrap/>
            <w:vAlign w:val="bottom"/>
          </w:tcPr>
          <w:p w:rsidR="004F4E12" w:rsidRPr="00655944" w:rsidRDefault="004F4E12" w:rsidP="004F4E12">
            <w:r w:rsidRPr="00655944">
              <w:t>Technology use</w:t>
            </w:r>
          </w:p>
        </w:tc>
        <w:tc>
          <w:tcPr>
            <w:tcW w:w="5318" w:type="dxa"/>
            <w:shd w:val="clear" w:color="auto" w:fill="auto"/>
            <w:noWrap/>
          </w:tcPr>
          <w:p w:rsidR="004F4E12" w:rsidRPr="00E66DA0" w:rsidRDefault="004F4E12" w:rsidP="004F4E12">
            <w:r w:rsidRPr="00E66DA0">
              <w:t>1=</w:t>
            </w:r>
            <w:r>
              <w:t>yes</w:t>
            </w:r>
            <w:r w:rsidRPr="00E66DA0">
              <w:t xml:space="preserve"> and 0</w:t>
            </w:r>
            <w:r>
              <w:t xml:space="preserve"> </w:t>
            </w:r>
            <w:r w:rsidRPr="00E66DA0">
              <w:t xml:space="preserve">= </w:t>
            </w:r>
            <w:r>
              <w:t>no</w:t>
            </w:r>
          </w:p>
        </w:tc>
      </w:tr>
      <w:tr w:rsidR="004F4E12" w:rsidRPr="00E66DA0" w:rsidTr="001F41FC">
        <w:trPr>
          <w:trHeight w:val="296"/>
        </w:trPr>
        <w:tc>
          <w:tcPr>
            <w:tcW w:w="1138" w:type="dxa"/>
            <w:shd w:val="clear" w:color="auto" w:fill="auto"/>
            <w:noWrap/>
          </w:tcPr>
          <w:p w:rsidR="004F4E12" w:rsidRPr="00E66DA0" w:rsidRDefault="004F4E12" w:rsidP="004F4E12">
            <w:pPr>
              <w:jc w:val="center"/>
              <w:rPr>
                <w:color w:val="000000"/>
              </w:rPr>
            </w:pPr>
            <w:r>
              <w:rPr>
                <w:color w:val="000000"/>
              </w:rPr>
              <w:t>6</w:t>
            </w:r>
          </w:p>
        </w:tc>
        <w:tc>
          <w:tcPr>
            <w:tcW w:w="2831" w:type="dxa"/>
            <w:shd w:val="clear" w:color="auto" w:fill="auto"/>
            <w:noWrap/>
            <w:vAlign w:val="bottom"/>
          </w:tcPr>
          <w:p w:rsidR="004F4E12" w:rsidRPr="00655944" w:rsidRDefault="004F4E12" w:rsidP="004F4E12">
            <w:r w:rsidRPr="00655944">
              <w:t>Total employees</w:t>
            </w:r>
          </w:p>
        </w:tc>
        <w:tc>
          <w:tcPr>
            <w:tcW w:w="5318" w:type="dxa"/>
            <w:shd w:val="clear" w:color="auto" w:fill="auto"/>
            <w:noWrap/>
          </w:tcPr>
          <w:p w:rsidR="004F4E12" w:rsidRPr="00E66DA0" w:rsidRDefault="004F4E12" w:rsidP="004F4E12">
            <w:pPr>
              <w:rPr>
                <w:color w:val="000000"/>
              </w:rPr>
            </w:pPr>
            <w:r>
              <w:rPr>
                <w:color w:val="000000"/>
              </w:rPr>
              <w:t>number</w:t>
            </w:r>
          </w:p>
        </w:tc>
      </w:tr>
      <w:tr w:rsidR="004F4E12" w:rsidRPr="00E66DA0" w:rsidTr="001F41FC">
        <w:trPr>
          <w:trHeight w:val="296"/>
        </w:trPr>
        <w:tc>
          <w:tcPr>
            <w:tcW w:w="1138" w:type="dxa"/>
            <w:shd w:val="clear" w:color="auto" w:fill="auto"/>
            <w:noWrap/>
            <w:hideMark/>
          </w:tcPr>
          <w:p w:rsidR="004F4E12" w:rsidRPr="00E66DA0" w:rsidRDefault="004F4E12" w:rsidP="004F4E12">
            <w:pPr>
              <w:jc w:val="center"/>
              <w:rPr>
                <w:color w:val="000000"/>
              </w:rPr>
            </w:pPr>
            <w:r>
              <w:rPr>
                <w:color w:val="000000"/>
              </w:rPr>
              <w:t>7</w:t>
            </w:r>
          </w:p>
        </w:tc>
        <w:tc>
          <w:tcPr>
            <w:tcW w:w="2831" w:type="dxa"/>
            <w:shd w:val="clear" w:color="auto" w:fill="auto"/>
            <w:noWrap/>
            <w:vAlign w:val="bottom"/>
            <w:hideMark/>
          </w:tcPr>
          <w:p w:rsidR="004F4E12" w:rsidRPr="00655944" w:rsidRDefault="004F4E12" w:rsidP="004F4E12">
            <w:r w:rsidRPr="00655944">
              <w:t>Business equipment</w:t>
            </w:r>
          </w:p>
        </w:tc>
        <w:tc>
          <w:tcPr>
            <w:tcW w:w="5318" w:type="dxa"/>
            <w:shd w:val="clear" w:color="auto" w:fill="auto"/>
            <w:noWrap/>
            <w:hideMark/>
          </w:tcPr>
          <w:p w:rsidR="004F4E12" w:rsidRPr="00E66DA0" w:rsidRDefault="004F4E12" w:rsidP="004F4E12">
            <w:pPr>
              <w:rPr>
                <w:color w:val="000000"/>
              </w:rPr>
            </w:pPr>
            <w:r w:rsidRPr="00E66DA0">
              <w:t xml:space="preserve">1= </w:t>
            </w:r>
            <w:r>
              <w:t>has equipment</w:t>
            </w:r>
            <w:r w:rsidRPr="00E66DA0">
              <w:t xml:space="preserve"> and 0</w:t>
            </w:r>
            <w:r>
              <w:t xml:space="preserve"> </w:t>
            </w:r>
            <w:r w:rsidRPr="00E66DA0">
              <w:t>=</w:t>
            </w:r>
            <w:r>
              <w:t xml:space="preserve"> </w:t>
            </w:r>
            <w:r w:rsidRPr="00E66DA0">
              <w:t>no</w:t>
            </w:r>
          </w:p>
        </w:tc>
      </w:tr>
    </w:tbl>
    <w:p w:rsidR="0067274E" w:rsidRPr="001F41FC" w:rsidRDefault="0067274E" w:rsidP="0067274E">
      <w:pPr>
        <w:spacing w:before="240" w:after="240" w:line="360" w:lineRule="auto"/>
        <w:jc w:val="both"/>
        <w:rPr>
          <w:b/>
          <w:sz w:val="26"/>
          <w:szCs w:val="26"/>
        </w:rPr>
      </w:pPr>
      <w:r w:rsidRPr="001F41FC">
        <w:rPr>
          <w:b/>
          <w:sz w:val="26"/>
          <w:szCs w:val="26"/>
        </w:rPr>
        <w:t>Appendix 2: Table: Financial services uptake variable definition and measurement</w:t>
      </w:r>
    </w:p>
    <w:tbl>
      <w:tblPr>
        <w:tblW w:w="8857" w:type="dxa"/>
        <w:tblInd w:w="-5" w:type="dxa"/>
        <w:tblBorders>
          <w:top w:val="single" w:sz="4" w:space="0" w:color="auto"/>
          <w:bottom w:val="single" w:sz="4" w:space="0" w:color="auto"/>
        </w:tblBorders>
        <w:tblLook w:val="04A0" w:firstRow="1" w:lastRow="0" w:firstColumn="1" w:lastColumn="0" w:noHBand="0" w:noVBand="1"/>
      </w:tblPr>
      <w:tblGrid>
        <w:gridCol w:w="751"/>
        <w:gridCol w:w="2758"/>
        <w:gridCol w:w="5348"/>
      </w:tblGrid>
      <w:tr w:rsidR="0067274E" w:rsidRPr="001C15E9" w:rsidTr="001F41FC">
        <w:trPr>
          <w:trHeight w:val="235"/>
          <w:tblHeader/>
        </w:trPr>
        <w:tc>
          <w:tcPr>
            <w:tcW w:w="751" w:type="dxa"/>
            <w:tcBorders>
              <w:top w:val="single" w:sz="4" w:space="0" w:color="auto"/>
              <w:bottom w:val="single" w:sz="4" w:space="0" w:color="auto"/>
            </w:tcBorders>
            <w:shd w:val="clear" w:color="auto" w:fill="auto"/>
            <w:noWrap/>
            <w:vAlign w:val="center"/>
            <w:hideMark/>
          </w:tcPr>
          <w:p w:rsidR="0067274E" w:rsidRPr="001C15E9" w:rsidRDefault="0067274E" w:rsidP="008D6C93">
            <w:pPr>
              <w:jc w:val="center"/>
              <w:rPr>
                <w:b/>
                <w:bCs/>
                <w:color w:val="000000"/>
              </w:rPr>
            </w:pPr>
            <w:r w:rsidRPr="001C15E9">
              <w:rPr>
                <w:b/>
                <w:bCs/>
                <w:color w:val="000000"/>
              </w:rPr>
              <w:t>SN</w:t>
            </w:r>
          </w:p>
        </w:tc>
        <w:tc>
          <w:tcPr>
            <w:tcW w:w="2758" w:type="dxa"/>
            <w:tcBorders>
              <w:top w:val="single" w:sz="4" w:space="0" w:color="auto"/>
              <w:bottom w:val="single" w:sz="4" w:space="0" w:color="auto"/>
            </w:tcBorders>
            <w:shd w:val="clear" w:color="auto" w:fill="auto"/>
            <w:noWrap/>
            <w:vAlign w:val="center"/>
            <w:hideMark/>
          </w:tcPr>
          <w:p w:rsidR="0067274E" w:rsidRPr="001C15E9" w:rsidRDefault="0067274E" w:rsidP="008D6C93">
            <w:pPr>
              <w:rPr>
                <w:b/>
                <w:bCs/>
                <w:color w:val="000000"/>
              </w:rPr>
            </w:pPr>
            <w:r w:rsidRPr="001C15E9">
              <w:rPr>
                <w:b/>
                <w:bCs/>
                <w:color w:val="000000"/>
              </w:rPr>
              <w:t>Variable name</w:t>
            </w:r>
          </w:p>
        </w:tc>
        <w:tc>
          <w:tcPr>
            <w:tcW w:w="5348" w:type="dxa"/>
            <w:tcBorders>
              <w:top w:val="single" w:sz="4" w:space="0" w:color="auto"/>
              <w:bottom w:val="single" w:sz="4" w:space="0" w:color="auto"/>
            </w:tcBorders>
            <w:shd w:val="clear" w:color="auto" w:fill="auto"/>
            <w:noWrap/>
            <w:vAlign w:val="center"/>
            <w:hideMark/>
          </w:tcPr>
          <w:p w:rsidR="0067274E" w:rsidRPr="001C15E9" w:rsidRDefault="0067274E" w:rsidP="008D6C93">
            <w:pPr>
              <w:rPr>
                <w:b/>
                <w:bCs/>
                <w:color w:val="000000"/>
              </w:rPr>
            </w:pPr>
            <w:r w:rsidRPr="001C15E9">
              <w:rPr>
                <w:b/>
                <w:bCs/>
                <w:color w:val="000000"/>
              </w:rPr>
              <w:t>Measurement</w:t>
            </w:r>
          </w:p>
        </w:tc>
      </w:tr>
      <w:tr w:rsidR="0067274E" w:rsidRPr="001C15E9" w:rsidTr="001F41FC">
        <w:trPr>
          <w:trHeight w:val="235"/>
        </w:trPr>
        <w:tc>
          <w:tcPr>
            <w:tcW w:w="751" w:type="dxa"/>
            <w:tcBorders>
              <w:top w:val="single" w:sz="4" w:space="0" w:color="auto"/>
            </w:tcBorders>
            <w:shd w:val="clear" w:color="auto" w:fill="auto"/>
            <w:noWrap/>
            <w:vAlign w:val="center"/>
            <w:hideMark/>
          </w:tcPr>
          <w:p w:rsidR="0067274E" w:rsidRPr="001C15E9" w:rsidRDefault="0067274E" w:rsidP="008D6C93">
            <w:pPr>
              <w:jc w:val="center"/>
              <w:rPr>
                <w:b/>
                <w:bCs/>
                <w:color w:val="000000"/>
              </w:rPr>
            </w:pPr>
            <w:r w:rsidRPr="001C15E9">
              <w:rPr>
                <w:b/>
                <w:bCs/>
                <w:color w:val="000000"/>
              </w:rPr>
              <w:t>A</w:t>
            </w:r>
          </w:p>
        </w:tc>
        <w:tc>
          <w:tcPr>
            <w:tcW w:w="2758" w:type="dxa"/>
            <w:tcBorders>
              <w:top w:val="single" w:sz="4" w:space="0" w:color="auto"/>
            </w:tcBorders>
            <w:shd w:val="clear" w:color="auto" w:fill="auto"/>
            <w:noWrap/>
            <w:vAlign w:val="center"/>
            <w:hideMark/>
          </w:tcPr>
          <w:p w:rsidR="0067274E" w:rsidRPr="001C15E9" w:rsidRDefault="0067274E" w:rsidP="008D6C93">
            <w:pPr>
              <w:rPr>
                <w:b/>
                <w:bCs/>
                <w:color w:val="000000"/>
              </w:rPr>
            </w:pPr>
            <w:r w:rsidRPr="001C15E9">
              <w:rPr>
                <w:b/>
                <w:bCs/>
                <w:color w:val="000000"/>
              </w:rPr>
              <w:t>Treatment Variable</w:t>
            </w:r>
          </w:p>
        </w:tc>
        <w:tc>
          <w:tcPr>
            <w:tcW w:w="5348" w:type="dxa"/>
            <w:tcBorders>
              <w:top w:val="single" w:sz="4" w:space="0" w:color="auto"/>
            </w:tcBorders>
            <w:shd w:val="clear" w:color="auto" w:fill="auto"/>
            <w:noWrap/>
            <w:hideMark/>
          </w:tcPr>
          <w:p w:rsidR="0067274E" w:rsidRPr="001C15E9" w:rsidRDefault="0067274E" w:rsidP="008D6C93">
            <w:pPr>
              <w:rPr>
                <w:rFonts w:ascii="Calibri" w:hAnsi="Calibri" w:cs="Calibri"/>
                <w:color w:val="000000"/>
                <w:sz w:val="22"/>
                <w:szCs w:val="22"/>
              </w:rPr>
            </w:pPr>
            <w:r w:rsidRPr="001C15E9">
              <w:rPr>
                <w:rFonts w:ascii="Calibri" w:hAnsi="Calibri" w:cs="Calibri"/>
                <w:color w:val="000000"/>
                <w:sz w:val="22"/>
                <w:szCs w:val="22"/>
              </w:rPr>
              <w:t> </w:t>
            </w:r>
          </w:p>
        </w:tc>
      </w:tr>
      <w:tr w:rsidR="00B51692" w:rsidRPr="001C15E9" w:rsidTr="001F41FC">
        <w:trPr>
          <w:trHeight w:val="300"/>
        </w:trPr>
        <w:tc>
          <w:tcPr>
            <w:tcW w:w="751" w:type="dxa"/>
            <w:shd w:val="clear" w:color="auto" w:fill="auto"/>
            <w:noWrap/>
            <w:vAlign w:val="center"/>
          </w:tcPr>
          <w:p w:rsidR="00B51692" w:rsidRPr="001C15E9" w:rsidRDefault="003F6293" w:rsidP="00B51692">
            <w:pPr>
              <w:jc w:val="center"/>
              <w:rPr>
                <w:color w:val="000000"/>
              </w:rPr>
            </w:pPr>
            <w:r>
              <w:rPr>
                <w:color w:val="000000"/>
              </w:rPr>
              <w:t>1</w:t>
            </w:r>
          </w:p>
        </w:tc>
        <w:tc>
          <w:tcPr>
            <w:tcW w:w="2758" w:type="dxa"/>
            <w:shd w:val="clear" w:color="auto" w:fill="auto"/>
            <w:noWrap/>
            <w:vAlign w:val="center"/>
          </w:tcPr>
          <w:p w:rsidR="00B51692" w:rsidRPr="001C15E9" w:rsidRDefault="00B51692" w:rsidP="00B51692">
            <w:pPr>
              <w:rPr>
                <w:color w:val="000000"/>
              </w:rPr>
            </w:pPr>
            <w:r w:rsidRPr="001C15E9">
              <w:rPr>
                <w:color w:val="000000"/>
              </w:rPr>
              <w:t xml:space="preserve">Financial </w:t>
            </w:r>
            <w:r w:rsidR="004F4E12">
              <w:rPr>
                <w:color w:val="000000"/>
              </w:rPr>
              <w:t>services uptake</w:t>
            </w:r>
            <w:r w:rsidRPr="001C15E9">
              <w:rPr>
                <w:color w:val="000000"/>
              </w:rPr>
              <w:t xml:space="preserve"> </w:t>
            </w:r>
          </w:p>
        </w:tc>
        <w:tc>
          <w:tcPr>
            <w:tcW w:w="5348" w:type="dxa"/>
            <w:shd w:val="clear" w:color="auto" w:fill="auto"/>
            <w:vAlign w:val="center"/>
          </w:tcPr>
          <w:p w:rsidR="00B51692" w:rsidRPr="001C15E9" w:rsidRDefault="00482E9B" w:rsidP="00482E9B">
            <w:pPr>
              <w:rPr>
                <w:color w:val="000000"/>
              </w:rPr>
            </w:pPr>
            <w:r>
              <w:rPr>
                <w:color w:val="000000"/>
              </w:rPr>
              <w:t xml:space="preserve">A binary measure </w:t>
            </w:r>
            <w:r w:rsidR="00B51692">
              <w:rPr>
                <w:color w:val="000000"/>
              </w:rPr>
              <w:t xml:space="preserve">calculated from </w:t>
            </w:r>
            <w:r>
              <w:rPr>
                <w:color w:val="000000"/>
              </w:rPr>
              <w:t xml:space="preserve">combining </w:t>
            </w:r>
            <w:r w:rsidR="00B51692">
              <w:rPr>
                <w:color w:val="000000"/>
              </w:rPr>
              <w:t>cre</w:t>
            </w:r>
            <w:r w:rsidR="004F4E12">
              <w:rPr>
                <w:color w:val="000000"/>
              </w:rPr>
              <w:t xml:space="preserve">dit, savings, </w:t>
            </w:r>
            <w:r w:rsidR="00582085">
              <w:rPr>
                <w:color w:val="000000"/>
              </w:rPr>
              <w:t xml:space="preserve">and </w:t>
            </w:r>
            <w:r w:rsidR="004F4E12">
              <w:rPr>
                <w:color w:val="000000"/>
              </w:rPr>
              <w:t>insurance</w:t>
            </w:r>
            <w:r>
              <w:rPr>
                <w:color w:val="000000"/>
              </w:rPr>
              <w:t xml:space="preserve">. </w:t>
            </w:r>
            <w:r w:rsidRPr="001C15E9">
              <w:rPr>
                <w:color w:val="000000"/>
              </w:rPr>
              <w:t>1= yes and 0 = no</w:t>
            </w:r>
          </w:p>
        </w:tc>
      </w:tr>
      <w:tr w:rsidR="00B51692" w:rsidRPr="001C15E9" w:rsidTr="001F41FC">
        <w:trPr>
          <w:trHeight w:val="487"/>
        </w:trPr>
        <w:tc>
          <w:tcPr>
            <w:tcW w:w="751" w:type="dxa"/>
            <w:shd w:val="clear" w:color="auto" w:fill="auto"/>
            <w:noWrap/>
            <w:vAlign w:val="center"/>
          </w:tcPr>
          <w:p w:rsidR="00B51692" w:rsidRPr="001C15E9" w:rsidRDefault="003F6293" w:rsidP="00B51692">
            <w:pPr>
              <w:jc w:val="center"/>
              <w:rPr>
                <w:color w:val="000000"/>
              </w:rPr>
            </w:pPr>
            <w:r>
              <w:rPr>
                <w:color w:val="000000"/>
              </w:rPr>
              <w:t>2</w:t>
            </w:r>
          </w:p>
        </w:tc>
        <w:tc>
          <w:tcPr>
            <w:tcW w:w="2758" w:type="dxa"/>
            <w:shd w:val="clear" w:color="auto" w:fill="auto"/>
            <w:noWrap/>
            <w:vAlign w:val="center"/>
          </w:tcPr>
          <w:p w:rsidR="00B51692" w:rsidRPr="001C15E9" w:rsidRDefault="00B51692" w:rsidP="00B51692">
            <w:pPr>
              <w:rPr>
                <w:color w:val="000000"/>
              </w:rPr>
            </w:pPr>
            <w:r>
              <w:rPr>
                <w:color w:val="000000"/>
              </w:rPr>
              <w:t>Credit access</w:t>
            </w:r>
          </w:p>
        </w:tc>
        <w:tc>
          <w:tcPr>
            <w:tcW w:w="5348" w:type="dxa"/>
            <w:shd w:val="clear" w:color="auto" w:fill="auto"/>
          </w:tcPr>
          <w:p w:rsidR="00B51692" w:rsidRDefault="00B51692" w:rsidP="00B51692">
            <w:r w:rsidRPr="001500B5">
              <w:rPr>
                <w:color w:val="000000"/>
              </w:rPr>
              <w:t>1= yes and 0 = no</w:t>
            </w:r>
          </w:p>
        </w:tc>
      </w:tr>
      <w:tr w:rsidR="00B51692" w:rsidRPr="001C15E9" w:rsidTr="001F41FC">
        <w:trPr>
          <w:trHeight w:val="487"/>
        </w:trPr>
        <w:tc>
          <w:tcPr>
            <w:tcW w:w="751" w:type="dxa"/>
            <w:shd w:val="clear" w:color="auto" w:fill="auto"/>
            <w:noWrap/>
            <w:vAlign w:val="center"/>
          </w:tcPr>
          <w:p w:rsidR="00B51692" w:rsidRPr="001C15E9" w:rsidRDefault="003F6293" w:rsidP="00B51692">
            <w:pPr>
              <w:jc w:val="center"/>
              <w:rPr>
                <w:color w:val="000000"/>
              </w:rPr>
            </w:pPr>
            <w:r>
              <w:rPr>
                <w:color w:val="000000"/>
              </w:rPr>
              <w:t>3</w:t>
            </w:r>
          </w:p>
        </w:tc>
        <w:tc>
          <w:tcPr>
            <w:tcW w:w="2758" w:type="dxa"/>
            <w:shd w:val="clear" w:color="auto" w:fill="auto"/>
            <w:noWrap/>
            <w:vAlign w:val="center"/>
          </w:tcPr>
          <w:p w:rsidR="00B51692" w:rsidRPr="001C15E9" w:rsidRDefault="00B51692" w:rsidP="00B51692">
            <w:pPr>
              <w:rPr>
                <w:color w:val="000000"/>
              </w:rPr>
            </w:pPr>
            <w:r>
              <w:rPr>
                <w:color w:val="000000"/>
              </w:rPr>
              <w:t>Savings</w:t>
            </w:r>
          </w:p>
        </w:tc>
        <w:tc>
          <w:tcPr>
            <w:tcW w:w="5348" w:type="dxa"/>
            <w:shd w:val="clear" w:color="auto" w:fill="auto"/>
          </w:tcPr>
          <w:p w:rsidR="00B51692" w:rsidRDefault="00B51692" w:rsidP="00B51692">
            <w:r w:rsidRPr="001500B5">
              <w:rPr>
                <w:color w:val="000000"/>
              </w:rPr>
              <w:t>1= yes and 0 = no</w:t>
            </w:r>
          </w:p>
        </w:tc>
      </w:tr>
      <w:tr w:rsidR="00B51692" w:rsidRPr="001C15E9" w:rsidTr="001F41FC">
        <w:trPr>
          <w:trHeight w:val="487"/>
        </w:trPr>
        <w:tc>
          <w:tcPr>
            <w:tcW w:w="751" w:type="dxa"/>
            <w:shd w:val="clear" w:color="auto" w:fill="auto"/>
            <w:noWrap/>
            <w:vAlign w:val="center"/>
          </w:tcPr>
          <w:p w:rsidR="00B51692" w:rsidRPr="001C15E9" w:rsidRDefault="003F6293" w:rsidP="00B51692">
            <w:pPr>
              <w:jc w:val="center"/>
              <w:rPr>
                <w:color w:val="000000"/>
              </w:rPr>
            </w:pPr>
            <w:r>
              <w:rPr>
                <w:color w:val="000000"/>
              </w:rPr>
              <w:t>4</w:t>
            </w:r>
          </w:p>
        </w:tc>
        <w:tc>
          <w:tcPr>
            <w:tcW w:w="2758" w:type="dxa"/>
            <w:shd w:val="clear" w:color="auto" w:fill="auto"/>
            <w:noWrap/>
            <w:vAlign w:val="center"/>
          </w:tcPr>
          <w:p w:rsidR="00B51692" w:rsidRPr="001C15E9" w:rsidRDefault="00B51692" w:rsidP="00B51692">
            <w:pPr>
              <w:rPr>
                <w:color w:val="000000"/>
              </w:rPr>
            </w:pPr>
            <w:r>
              <w:rPr>
                <w:color w:val="000000"/>
              </w:rPr>
              <w:t>Insurance</w:t>
            </w:r>
          </w:p>
        </w:tc>
        <w:tc>
          <w:tcPr>
            <w:tcW w:w="5348" w:type="dxa"/>
            <w:shd w:val="clear" w:color="auto" w:fill="auto"/>
          </w:tcPr>
          <w:p w:rsidR="00B51692" w:rsidRDefault="00B51692" w:rsidP="00B51692">
            <w:r w:rsidRPr="001500B5">
              <w:rPr>
                <w:color w:val="000000"/>
              </w:rPr>
              <w:t>1= yes and 0 = no</w:t>
            </w:r>
          </w:p>
        </w:tc>
      </w:tr>
      <w:tr w:rsidR="003F6293" w:rsidRPr="001C15E9" w:rsidTr="001F41FC">
        <w:trPr>
          <w:trHeight w:val="235"/>
        </w:trPr>
        <w:tc>
          <w:tcPr>
            <w:tcW w:w="751" w:type="dxa"/>
            <w:shd w:val="clear" w:color="auto" w:fill="auto"/>
            <w:noWrap/>
            <w:vAlign w:val="center"/>
            <w:hideMark/>
          </w:tcPr>
          <w:p w:rsidR="003F6293" w:rsidRPr="001C15E9" w:rsidRDefault="003F6293" w:rsidP="003F6293">
            <w:pPr>
              <w:jc w:val="center"/>
              <w:rPr>
                <w:b/>
                <w:bCs/>
                <w:color w:val="000000"/>
              </w:rPr>
            </w:pPr>
            <w:r w:rsidRPr="001C15E9">
              <w:rPr>
                <w:b/>
                <w:bCs/>
                <w:color w:val="000000"/>
              </w:rPr>
              <w:t>B</w:t>
            </w:r>
          </w:p>
        </w:tc>
        <w:tc>
          <w:tcPr>
            <w:tcW w:w="2758" w:type="dxa"/>
            <w:shd w:val="clear" w:color="auto" w:fill="auto"/>
            <w:noWrap/>
            <w:vAlign w:val="center"/>
            <w:hideMark/>
          </w:tcPr>
          <w:p w:rsidR="003F6293" w:rsidRPr="001C15E9" w:rsidRDefault="003F6293" w:rsidP="003F6293">
            <w:pPr>
              <w:rPr>
                <w:b/>
                <w:bCs/>
                <w:color w:val="000000"/>
              </w:rPr>
            </w:pPr>
            <w:r w:rsidRPr="001C15E9">
              <w:rPr>
                <w:b/>
                <w:bCs/>
                <w:color w:val="000000"/>
              </w:rPr>
              <w:t>Covariates</w:t>
            </w:r>
          </w:p>
        </w:tc>
        <w:tc>
          <w:tcPr>
            <w:tcW w:w="5348" w:type="dxa"/>
            <w:shd w:val="clear" w:color="auto" w:fill="auto"/>
            <w:noWrap/>
            <w:hideMark/>
          </w:tcPr>
          <w:p w:rsidR="003F6293" w:rsidRPr="001C15E9" w:rsidRDefault="003F6293" w:rsidP="003F6293">
            <w:pPr>
              <w:rPr>
                <w:rFonts w:ascii="Calibri" w:hAnsi="Calibri" w:cs="Calibri"/>
                <w:color w:val="000000"/>
                <w:sz w:val="22"/>
                <w:szCs w:val="22"/>
              </w:rPr>
            </w:pPr>
            <w:r w:rsidRPr="001C15E9">
              <w:rPr>
                <w:rFonts w:ascii="Calibri" w:hAnsi="Calibri" w:cs="Calibri"/>
                <w:color w:val="000000"/>
                <w:sz w:val="22"/>
                <w:szCs w:val="22"/>
              </w:rPr>
              <w:t> </w:t>
            </w:r>
          </w:p>
        </w:tc>
      </w:tr>
      <w:tr w:rsidR="00482E9B" w:rsidRPr="001C15E9" w:rsidTr="001F41FC">
        <w:trPr>
          <w:trHeight w:val="235"/>
        </w:trPr>
        <w:tc>
          <w:tcPr>
            <w:tcW w:w="751" w:type="dxa"/>
            <w:shd w:val="clear" w:color="auto" w:fill="auto"/>
            <w:noWrap/>
            <w:vAlign w:val="center"/>
            <w:hideMark/>
          </w:tcPr>
          <w:p w:rsidR="00482E9B" w:rsidRPr="00FC1BD7" w:rsidRDefault="00482E9B" w:rsidP="00482E9B">
            <w:pPr>
              <w:jc w:val="center"/>
              <w:rPr>
                <w:bCs/>
                <w:color w:val="000000"/>
              </w:rPr>
            </w:pPr>
            <w:r w:rsidRPr="00FC1BD7">
              <w:rPr>
                <w:bCs/>
                <w:color w:val="000000"/>
              </w:rPr>
              <w:t>1</w:t>
            </w:r>
          </w:p>
        </w:tc>
        <w:tc>
          <w:tcPr>
            <w:tcW w:w="2758" w:type="dxa"/>
            <w:shd w:val="clear" w:color="auto" w:fill="auto"/>
            <w:noWrap/>
            <w:vAlign w:val="center"/>
            <w:hideMark/>
          </w:tcPr>
          <w:p w:rsidR="00482E9B" w:rsidRPr="001C15E9" w:rsidRDefault="00482E9B" w:rsidP="00482E9B">
            <w:pPr>
              <w:rPr>
                <w:color w:val="000000"/>
              </w:rPr>
            </w:pPr>
            <w:r>
              <w:rPr>
                <w:color w:val="000000"/>
              </w:rPr>
              <w:t>Business registration</w:t>
            </w:r>
          </w:p>
        </w:tc>
        <w:tc>
          <w:tcPr>
            <w:tcW w:w="5348" w:type="dxa"/>
            <w:shd w:val="clear" w:color="auto" w:fill="auto"/>
            <w:noWrap/>
            <w:vAlign w:val="center"/>
            <w:hideMark/>
          </w:tcPr>
          <w:p w:rsidR="00482E9B" w:rsidRPr="001C15E9" w:rsidRDefault="00482E9B" w:rsidP="00482E9B">
            <w:pPr>
              <w:rPr>
                <w:color w:val="000000"/>
              </w:rPr>
            </w:pPr>
            <w:r w:rsidRPr="001C15E9">
              <w:rPr>
                <w:color w:val="000000"/>
              </w:rPr>
              <w:t xml:space="preserve">1= </w:t>
            </w:r>
            <w:r>
              <w:rPr>
                <w:color w:val="000000"/>
              </w:rPr>
              <w:t>registered</w:t>
            </w:r>
            <w:r w:rsidRPr="001C15E9">
              <w:rPr>
                <w:color w:val="000000"/>
              </w:rPr>
              <w:t xml:space="preserve"> and 0</w:t>
            </w:r>
            <w:r>
              <w:rPr>
                <w:color w:val="000000"/>
              </w:rPr>
              <w:t xml:space="preserve"> </w:t>
            </w:r>
            <w:r w:rsidRPr="001C15E9">
              <w:rPr>
                <w:color w:val="000000"/>
              </w:rPr>
              <w:t>=</w:t>
            </w:r>
            <w:r>
              <w:rPr>
                <w:color w:val="000000"/>
              </w:rPr>
              <w:t xml:space="preserve"> </w:t>
            </w:r>
            <w:r w:rsidRPr="001C15E9">
              <w:rPr>
                <w:color w:val="000000"/>
              </w:rPr>
              <w:t>no</w:t>
            </w:r>
          </w:p>
        </w:tc>
      </w:tr>
      <w:tr w:rsidR="00482E9B" w:rsidRPr="001C15E9" w:rsidTr="001F41FC">
        <w:trPr>
          <w:trHeight w:val="235"/>
        </w:trPr>
        <w:tc>
          <w:tcPr>
            <w:tcW w:w="751" w:type="dxa"/>
            <w:shd w:val="clear" w:color="auto" w:fill="auto"/>
            <w:noWrap/>
            <w:vAlign w:val="center"/>
          </w:tcPr>
          <w:p w:rsidR="00482E9B" w:rsidRPr="001C15E9" w:rsidRDefault="00482E9B" w:rsidP="00482E9B">
            <w:pPr>
              <w:jc w:val="center"/>
              <w:rPr>
                <w:color w:val="000000"/>
              </w:rPr>
            </w:pPr>
            <w:r>
              <w:rPr>
                <w:color w:val="000000"/>
              </w:rPr>
              <w:t>2</w:t>
            </w:r>
          </w:p>
        </w:tc>
        <w:tc>
          <w:tcPr>
            <w:tcW w:w="2758" w:type="dxa"/>
            <w:shd w:val="clear" w:color="auto" w:fill="auto"/>
            <w:noWrap/>
            <w:vAlign w:val="center"/>
          </w:tcPr>
          <w:p w:rsidR="00482E9B" w:rsidRPr="001C15E9" w:rsidRDefault="00482E9B" w:rsidP="00482E9B">
            <w:pPr>
              <w:rPr>
                <w:color w:val="000000"/>
              </w:rPr>
            </w:pPr>
            <w:r w:rsidRPr="001C15E9">
              <w:rPr>
                <w:color w:val="000000"/>
              </w:rPr>
              <w:t>Technology use</w:t>
            </w:r>
          </w:p>
        </w:tc>
        <w:tc>
          <w:tcPr>
            <w:tcW w:w="5348" w:type="dxa"/>
            <w:shd w:val="clear" w:color="auto" w:fill="auto"/>
            <w:noWrap/>
            <w:vAlign w:val="center"/>
          </w:tcPr>
          <w:p w:rsidR="00482E9B" w:rsidRPr="001C15E9" w:rsidRDefault="00482E9B" w:rsidP="00482E9B">
            <w:pPr>
              <w:rPr>
                <w:color w:val="000000"/>
              </w:rPr>
            </w:pPr>
            <w:r w:rsidRPr="001C15E9">
              <w:rPr>
                <w:color w:val="000000"/>
              </w:rPr>
              <w:t xml:space="preserve">1= yes and </w:t>
            </w:r>
            <w:r>
              <w:rPr>
                <w:color w:val="000000"/>
              </w:rPr>
              <w:t>0 = no</w:t>
            </w:r>
          </w:p>
        </w:tc>
      </w:tr>
      <w:tr w:rsidR="00482E9B" w:rsidRPr="001C15E9" w:rsidTr="001F41FC">
        <w:trPr>
          <w:trHeight w:val="235"/>
        </w:trPr>
        <w:tc>
          <w:tcPr>
            <w:tcW w:w="751" w:type="dxa"/>
            <w:shd w:val="clear" w:color="auto" w:fill="auto"/>
            <w:noWrap/>
            <w:vAlign w:val="center"/>
          </w:tcPr>
          <w:p w:rsidR="00482E9B" w:rsidRDefault="00482E9B" w:rsidP="00482E9B">
            <w:pPr>
              <w:jc w:val="center"/>
              <w:rPr>
                <w:color w:val="000000"/>
              </w:rPr>
            </w:pPr>
            <w:r>
              <w:rPr>
                <w:color w:val="000000"/>
              </w:rPr>
              <w:t>3</w:t>
            </w:r>
          </w:p>
        </w:tc>
        <w:tc>
          <w:tcPr>
            <w:tcW w:w="2758" w:type="dxa"/>
            <w:shd w:val="clear" w:color="auto" w:fill="auto"/>
            <w:noWrap/>
            <w:vAlign w:val="center"/>
          </w:tcPr>
          <w:p w:rsidR="00482E9B" w:rsidRPr="001C15E9" w:rsidRDefault="00482E9B" w:rsidP="00482E9B">
            <w:pPr>
              <w:rPr>
                <w:color w:val="000000"/>
              </w:rPr>
            </w:pPr>
            <w:r>
              <w:rPr>
                <w:color w:val="000000"/>
              </w:rPr>
              <w:t>Business plan</w:t>
            </w:r>
          </w:p>
        </w:tc>
        <w:tc>
          <w:tcPr>
            <w:tcW w:w="5348" w:type="dxa"/>
            <w:shd w:val="clear" w:color="auto" w:fill="auto"/>
            <w:noWrap/>
            <w:vAlign w:val="center"/>
          </w:tcPr>
          <w:p w:rsidR="00482E9B" w:rsidRPr="001C15E9" w:rsidRDefault="00482E9B" w:rsidP="00482E9B">
            <w:pPr>
              <w:rPr>
                <w:color w:val="000000"/>
              </w:rPr>
            </w:pPr>
            <w:r w:rsidRPr="001C15E9">
              <w:rPr>
                <w:color w:val="000000"/>
              </w:rPr>
              <w:t>1= yes and 0</w:t>
            </w:r>
            <w:r>
              <w:rPr>
                <w:color w:val="000000"/>
              </w:rPr>
              <w:t xml:space="preserve"> </w:t>
            </w:r>
            <w:r w:rsidRPr="001C15E9">
              <w:rPr>
                <w:color w:val="000000"/>
              </w:rPr>
              <w:t>=</w:t>
            </w:r>
            <w:r>
              <w:rPr>
                <w:color w:val="000000"/>
              </w:rPr>
              <w:t xml:space="preserve"> </w:t>
            </w:r>
            <w:r w:rsidRPr="001C15E9">
              <w:rPr>
                <w:color w:val="000000"/>
              </w:rPr>
              <w:t>no</w:t>
            </w:r>
          </w:p>
        </w:tc>
      </w:tr>
      <w:tr w:rsidR="003F6293" w:rsidRPr="001C15E9" w:rsidTr="001F41FC">
        <w:trPr>
          <w:trHeight w:val="235"/>
        </w:trPr>
        <w:tc>
          <w:tcPr>
            <w:tcW w:w="751" w:type="dxa"/>
            <w:shd w:val="clear" w:color="auto" w:fill="auto"/>
            <w:noWrap/>
            <w:vAlign w:val="center"/>
            <w:hideMark/>
          </w:tcPr>
          <w:p w:rsidR="003F6293" w:rsidRPr="00FC1BD7" w:rsidRDefault="003F6293" w:rsidP="003F6293">
            <w:pPr>
              <w:jc w:val="center"/>
              <w:rPr>
                <w:bCs/>
                <w:color w:val="000000"/>
              </w:rPr>
            </w:pPr>
            <w:r>
              <w:rPr>
                <w:bCs/>
                <w:color w:val="000000"/>
              </w:rPr>
              <w:t>3</w:t>
            </w:r>
          </w:p>
        </w:tc>
        <w:tc>
          <w:tcPr>
            <w:tcW w:w="2758" w:type="dxa"/>
            <w:shd w:val="clear" w:color="auto" w:fill="auto"/>
            <w:noWrap/>
            <w:vAlign w:val="center"/>
            <w:hideMark/>
          </w:tcPr>
          <w:p w:rsidR="003F6293" w:rsidRPr="001C15E9" w:rsidRDefault="003F6293" w:rsidP="003F6293">
            <w:pPr>
              <w:rPr>
                <w:color w:val="000000"/>
              </w:rPr>
            </w:pPr>
            <w:r w:rsidRPr="001C15E9">
              <w:rPr>
                <w:color w:val="000000"/>
              </w:rPr>
              <w:t>Financial records</w:t>
            </w:r>
          </w:p>
        </w:tc>
        <w:tc>
          <w:tcPr>
            <w:tcW w:w="5348" w:type="dxa"/>
            <w:shd w:val="clear" w:color="auto" w:fill="auto"/>
            <w:noWrap/>
            <w:vAlign w:val="center"/>
            <w:hideMark/>
          </w:tcPr>
          <w:p w:rsidR="003F6293" w:rsidRPr="001C15E9" w:rsidRDefault="003F6293" w:rsidP="003F6293">
            <w:pPr>
              <w:jc w:val="both"/>
              <w:rPr>
                <w:color w:val="000000"/>
              </w:rPr>
            </w:pPr>
            <w:r>
              <w:rPr>
                <w:color w:val="000000"/>
              </w:rPr>
              <w:t>1=keep record 0 = does not</w:t>
            </w:r>
          </w:p>
        </w:tc>
      </w:tr>
      <w:tr w:rsidR="003F6293" w:rsidRPr="001C15E9" w:rsidTr="001F41FC">
        <w:trPr>
          <w:trHeight w:val="235"/>
        </w:trPr>
        <w:tc>
          <w:tcPr>
            <w:tcW w:w="751" w:type="dxa"/>
            <w:shd w:val="clear" w:color="auto" w:fill="auto"/>
            <w:noWrap/>
            <w:vAlign w:val="center"/>
            <w:hideMark/>
          </w:tcPr>
          <w:p w:rsidR="003F6293" w:rsidRPr="00FC1BD7" w:rsidRDefault="003F6293" w:rsidP="003F6293">
            <w:pPr>
              <w:jc w:val="center"/>
              <w:rPr>
                <w:bCs/>
                <w:color w:val="000000"/>
              </w:rPr>
            </w:pPr>
            <w:r>
              <w:rPr>
                <w:bCs/>
                <w:color w:val="000000"/>
              </w:rPr>
              <w:t>4</w:t>
            </w:r>
          </w:p>
        </w:tc>
        <w:tc>
          <w:tcPr>
            <w:tcW w:w="2758" w:type="dxa"/>
            <w:shd w:val="clear" w:color="auto" w:fill="auto"/>
            <w:noWrap/>
            <w:vAlign w:val="center"/>
            <w:hideMark/>
          </w:tcPr>
          <w:p w:rsidR="003F6293" w:rsidRPr="001C15E9" w:rsidRDefault="003F6293" w:rsidP="003F6293">
            <w:pPr>
              <w:rPr>
                <w:color w:val="000000"/>
              </w:rPr>
            </w:pPr>
            <w:r w:rsidRPr="001C15E9">
              <w:rPr>
                <w:color w:val="000000"/>
              </w:rPr>
              <w:t>Internet</w:t>
            </w:r>
            <w:r>
              <w:rPr>
                <w:color w:val="000000"/>
              </w:rPr>
              <w:t xml:space="preserve"> </w:t>
            </w:r>
            <w:r w:rsidRPr="001C15E9">
              <w:rPr>
                <w:color w:val="000000"/>
              </w:rPr>
              <w:t>access</w:t>
            </w:r>
          </w:p>
        </w:tc>
        <w:tc>
          <w:tcPr>
            <w:tcW w:w="5348" w:type="dxa"/>
            <w:shd w:val="clear" w:color="auto" w:fill="auto"/>
            <w:noWrap/>
            <w:vAlign w:val="center"/>
            <w:hideMark/>
          </w:tcPr>
          <w:p w:rsidR="003F6293" w:rsidRPr="001C15E9" w:rsidRDefault="003F6293" w:rsidP="003F6293">
            <w:pPr>
              <w:jc w:val="both"/>
              <w:rPr>
                <w:color w:val="000000"/>
              </w:rPr>
            </w:pPr>
            <w:r>
              <w:rPr>
                <w:color w:val="000000"/>
              </w:rPr>
              <w:t>1= use internet 0 = no internet</w:t>
            </w:r>
          </w:p>
        </w:tc>
      </w:tr>
      <w:tr w:rsidR="003F6293" w:rsidRPr="001C15E9" w:rsidTr="001F41FC">
        <w:trPr>
          <w:trHeight w:val="235"/>
        </w:trPr>
        <w:tc>
          <w:tcPr>
            <w:tcW w:w="751" w:type="dxa"/>
            <w:shd w:val="clear" w:color="auto" w:fill="auto"/>
            <w:noWrap/>
            <w:vAlign w:val="center"/>
            <w:hideMark/>
          </w:tcPr>
          <w:p w:rsidR="003F6293" w:rsidRPr="00FC1BD7" w:rsidRDefault="003F6293" w:rsidP="003F6293">
            <w:pPr>
              <w:jc w:val="center"/>
              <w:rPr>
                <w:color w:val="000000"/>
              </w:rPr>
            </w:pPr>
            <w:r>
              <w:rPr>
                <w:color w:val="000000"/>
              </w:rPr>
              <w:t>5</w:t>
            </w:r>
          </w:p>
        </w:tc>
        <w:tc>
          <w:tcPr>
            <w:tcW w:w="2758" w:type="dxa"/>
            <w:shd w:val="clear" w:color="auto" w:fill="auto"/>
            <w:noWrap/>
            <w:vAlign w:val="center"/>
            <w:hideMark/>
          </w:tcPr>
          <w:p w:rsidR="003F6293" w:rsidRPr="001C15E9" w:rsidRDefault="00482E9B" w:rsidP="003F6293">
            <w:pPr>
              <w:rPr>
                <w:color w:val="000000"/>
              </w:rPr>
            </w:pPr>
            <w:r>
              <w:rPr>
                <w:color w:val="000000"/>
              </w:rPr>
              <w:t>Business network</w:t>
            </w:r>
          </w:p>
        </w:tc>
        <w:tc>
          <w:tcPr>
            <w:tcW w:w="5348" w:type="dxa"/>
            <w:shd w:val="clear" w:color="auto" w:fill="auto"/>
            <w:noWrap/>
            <w:vAlign w:val="center"/>
            <w:hideMark/>
          </w:tcPr>
          <w:p w:rsidR="003F6293" w:rsidRPr="001C15E9" w:rsidRDefault="003F6293" w:rsidP="003F6293">
            <w:pPr>
              <w:rPr>
                <w:color w:val="000000"/>
              </w:rPr>
            </w:pPr>
            <w:r w:rsidRPr="001C15E9">
              <w:rPr>
                <w:color w:val="000000"/>
              </w:rPr>
              <w:t>1= yes and 0</w:t>
            </w:r>
            <w:r>
              <w:rPr>
                <w:color w:val="000000"/>
              </w:rPr>
              <w:t xml:space="preserve"> </w:t>
            </w:r>
            <w:r w:rsidRPr="001C15E9">
              <w:rPr>
                <w:color w:val="000000"/>
              </w:rPr>
              <w:t>=</w:t>
            </w:r>
            <w:r>
              <w:rPr>
                <w:color w:val="000000"/>
              </w:rPr>
              <w:t xml:space="preserve"> </w:t>
            </w:r>
            <w:r w:rsidRPr="001C15E9">
              <w:rPr>
                <w:color w:val="000000"/>
              </w:rPr>
              <w:t>no</w:t>
            </w:r>
          </w:p>
        </w:tc>
      </w:tr>
      <w:tr w:rsidR="003F6293" w:rsidRPr="001C15E9" w:rsidTr="001F41FC">
        <w:trPr>
          <w:trHeight w:val="235"/>
        </w:trPr>
        <w:tc>
          <w:tcPr>
            <w:tcW w:w="751" w:type="dxa"/>
            <w:shd w:val="clear" w:color="auto" w:fill="auto"/>
            <w:noWrap/>
            <w:vAlign w:val="center"/>
            <w:hideMark/>
          </w:tcPr>
          <w:p w:rsidR="003F6293" w:rsidRPr="001C15E9" w:rsidRDefault="003F6293" w:rsidP="003F6293">
            <w:pPr>
              <w:jc w:val="center"/>
              <w:rPr>
                <w:color w:val="000000"/>
              </w:rPr>
            </w:pPr>
            <w:r>
              <w:rPr>
                <w:color w:val="000000"/>
              </w:rPr>
              <w:t>6</w:t>
            </w:r>
          </w:p>
        </w:tc>
        <w:tc>
          <w:tcPr>
            <w:tcW w:w="2758" w:type="dxa"/>
            <w:shd w:val="clear" w:color="auto" w:fill="auto"/>
            <w:noWrap/>
            <w:vAlign w:val="center"/>
          </w:tcPr>
          <w:p w:rsidR="003F6293" w:rsidRPr="001C15E9" w:rsidRDefault="00482E9B" w:rsidP="003F6293">
            <w:pPr>
              <w:rPr>
                <w:color w:val="000000"/>
              </w:rPr>
            </w:pPr>
            <w:r>
              <w:rPr>
                <w:color w:val="000000"/>
              </w:rPr>
              <w:t>Technology not mobile</w:t>
            </w:r>
          </w:p>
        </w:tc>
        <w:tc>
          <w:tcPr>
            <w:tcW w:w="5348" w:type="dxa"/>
            <w:shd w:val="clear" w:color="auto" w:fill="auto"/>
            <w:noWrap/>
            <w:vAlign w:val="center"/>
          </w:tcPr>
          <w:p w:rsidR="003F6293" w:rsidRPr="001C15E9" w:rsidRDefault="00482E9B" w:rsidP="003F6293">
            <w:pPr>
              <w:rPr>
                <w:color w:val="000000"/>
              </w:rPr>
            </w:pPr>
            <w:r w:rsidRPr="001C15E9">
              <w:rPr>
                <w:color w:val="000000"/>
              </w:rPr>
              <w:t>1= yes and 0</w:t>
            </w:r>
            <w:r>
              <w:rPr>
                <w:color w:val="000000"/>
              </w:rPr>
              <w:t xml:space="preserve"> </w:t>
            </w:r>
            <w:r w:rsidRPr="001C15E9">
              <w:rPr>
                <w:color w:val="000000"/>
              </w:rPr>
              <w:t>=</w:t>
            </w:r>
            <w:r>
              <w:rPr>
                <w:color w:val="000000"/>
              </w:rPr>
              <w:t xml:space="preserve"> </w:t>
            </w:r>
            <w:r w:rsidRPr="001C15E9">
              <w:rPr>
                <w:color w:val="000000"/>
              </w:rPr>
              <w:t>no</w:t>
            </w:r>
          </w:p>
        </w:tc>
      </w:tr>
      <w:tr w:rsidR="003F6293" w:rsidRPr="001C15E9" w:rsidTr="001F41FC">
        <w:trPr>
          <w:trHeight w:val="235"/>
        </w:trPr>
        <w:tc>
          <w:tcPr>
            <w:tcW w:w="751" w:type="dxa"/>
            <w:shd w:val="clear" w:color="auto" w:fill="auto"/>
            <w:noWrap/>
            <w:vAlign w:val="center"/>
            <w:hideMark/>
          </w:tcPr>
          <w:p w:rsidR="003F6293" w:rsidRPr="001C15E9" w:rsidRDefault="003F6293" w:rsidP="003F6293">
            <w:pPr>
              <w:jc w:val="center"/>
              <w:rPr>
                <w:color w:val="000000"/>
              </w:rPr>
            </w:pPr>
            <w:r>
              <w:rPr>
                <w:color w:val="000000"/>
              </w:rPr>
              <w:t>7</w:t>
            </w:r>
          </w:p>
        </w:tc>
        <w:tc>
          <w:tcPr>
            <w:tcW w:w="2758" w:type="dxa"/>
            <w:shd w:val="clear" w:color="auto" w:fill="auto"/>
            <w:noWrap/>
            <w:vAlign w:val="center"/>
            <w:hideMark/>
          </w:tcPr>
          <w:p w:rsidR="003F6293" w:rsidRPr="001C15E9" w:rsidRDefault="003F6293" w:rsidP="003F6293">
            <w:pPr>
              <w:rPr>
                <w:color w:val="000000"/>
              </w:rPr>
            </w:pPr>
            <w:r>
              <w:rPr>
                <w:color w:val="000000"/>
              </w:rPr>
              <w:t xml:space="preserve">Financial Literacy </w:t>
            </w:r>
            <w:r w:rsidRPr="001C15E9">
              <w:rPr>
                <w:color w:val="000000"/>
              </w:rPr>
              <w:t>Training</w:t>
            </w:r>
          </w:p>
        </w:tc>
        <w:tc>
          <w:tcPr>
            <w:tcW w:w="5348" w:type="dxa"/>
            <w:shd w:val="clear" w:color="auto" w:fill="auto"/>
            <w:noWrap/>
            <w:vAlign w:val="center"/>
            <w:hideMark/>
          </w:tcPr>
          <w:p w:rsidR="003F6293" w:rsidRPr="001C15E9" w:rsidRDefault="003F6293" w:rsidP="003F6293">
            <w:pPr>
              <w:rPr>
                <w:color w:val="000000"/>
              </w:rPr>
            </w:pPr>
            <w:r w:rsidRPr="001C15E9">
              <w:rPr>
                <w:color w:val="000000"/>
              </w:rPr>
              <w:t>1= yes and 0=no</w:t>
            </w:r>
          </w:p>
        </w:tc>
      </w:tr>
    </w:tbl>
    <w:p w:rsidR="00582085" w:rsidRDefault="00582085" w:rsidP="00E042DC">
      <w:pPr>
        <w:spacing w:before="100" w:beforeAutospacing="1" w:after="100" w:afterAutospacing="1"/>
        <w:jc w:val="both"/>
        <w:rPr>
          <w:b/>
        </w:rPr>
      </w:pPr>
    </w:p>
    <w:p w:rsidR="00582085" w:rsidRDefault="00582085" w:rsidP="00E042DC">
      <w:pPr>
        <w:spacing w:before="100" w:beforeAutospacing="1" w:after="100" w:afterAutospacing="1"/>
        <w:jc w:val="both"/>
        <w:rPr>
          <w:b/>
        </w:rPr>
      </w:pPr>
    </w:p>
    <w:p w:rsidR="00E042DC" w:rsidRPr="001F41FC" w:rsidRDefault="00482E9B" w:rsidP="00E042DC">
      <w:pPr>
        <w:spacing w:before="100" w:beforeAutospacing="1" w:after="100" w:afterAutospacing="1"/>
        <w:jc w:val="both"/>
        <w:rPr>
          <w:b/>
          <w:sz w:val="26"/>
          <w:szCs w:val="26"/>
        </w:rPr>
      </w:pPr>
      <w:r w:rsidRPr="001F41FC">
        <w:rPr>
          <w:b/>
          <w:sz w:val="26"/>
          <w:szCs w:val="26"/>
        </w:rPr>
        <w:lastRenderedPageBreak/>
        <w:t>Appendix 3</w:t>
      </w:r>
      <w:r w:rsidR="00E042DC" w:rsidRPr="001F41FC">
        <w:rPr>
          <w:b/>
          <w:sz w:val="26"/>
          <w:szCs w:val="26"/>
        </w:rPr>
        <w:t xml:space="preserve">: Matching Testing of Propensity Scores of firms accessing financial services and those that do not </w:t>
      </w:r>
    </w:p>
    <w:p w:rsidR="00E042DC" w:rsidRPr="00C00714" w:rsidRDefault="002421BE" w:rsidP="00E042DC">
      <w:pPr>
        <w:spacing w:before="100" w:beforeAutospacing="1" w:after="100" w:afterAutospacing="1"/>
        <w:jc w:val="both"/>
      </w:pPr>
      <w:r w:rsidRPr="002421BE">
        <w:rPr>
          <w:noProof/>
        </w:rPr>
        <w:drawing>
          <wp:inline distT="0" distB="0" distL="0" distR="0">
            <wp:extent cx="4483100" cy="2689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3100" cy="2689860"/>
                    </a:xfrm>
                    <a:prstGeom prst="rect">
                      <a:avLst/>
                    </a:prstGeom>
                    <a:noFill/>
                    <a:ln>
                      <a:noFill/>
                    </a:ln>
                  </pic:spPr>
                </pic:pic>
              </a:graphicData>
            </a:graphic>
          </wp:inline>
        </w:drawing>
      </w:r>
    </w:p>
    <w:p w:rsidR="00E042DC" w:rsidRDefault="00E042DC" w:rsidP="00E042DC">
      <w:pPr>
        <w:spacing w:before="100" w:beforeAutospacing="1" w:after="100" w:afterAutospacing="1"/>
        <w:jc w:val="both"/>
      </w:pPr>
      <w:r w:rsidRPr="00FB6E4F">
        <w:t>Source: Author estimation.</w:t>
      </w:r>
    </w:p>
    <w:p w:rsidR="00E042DC" w:rsidRPr="001F41FC" w:rsidRDefault="00482E9B" w:rsidP="00E042DC">
      <w:pPr>
        <w:spacing w:before="100" w:beforeAutospacing="1" w:after="100" w:afterAutospacing="1"/>
        <w:jc w:val="both"/>
        <w:rPr>
          <w:b/>
          <w:sz w:val="26"/>
          <w:szCs w:val="26"/>
        </w:rPr>
      </w:pPr>
      <w:r w:rsidRPr="001F41FC">
        <w:rPr>
          <w:b/>
          <w:sz w:val="26"/>
          <w:szCs w:val="26"/>
        </w:rPr>
        <w:t>Appendix 4</w:t>
      </w:r>
      <w:r w:rsidR="00E042DC" w:rsidRPr="001F41FC">
        <w:rPr>
          <w:b/>
          <w:sz w:val="26"/>
          <w:szCs w:val="26"/>
        </w:rPr>
        <w:t>: Common support region</w:t>
      </w:r>
    </w:p>
    <w:p w:rsidR="0078091B" w:rsidRPr="0061045E" w:rsidRDefault="00E042DC" w:rsidP="0061045E">
      <w:pPr>
        <w:spacing w:before="100" w:beforeAutospacing="1" w:after="100" w:afterAutospacing="1"/>
        <w:jc w:val="both"/>
      </w:pPr>
      <w:r w:rsidRPr="0085673C">
        <w:rPr>
          <w:noProof/>
        </w:rPr>
        <w:drawing>
          <wp:inline distT="0" distB="0" distL="0" distR="0" wp14:anchorId="4968D2AF" wp14:editId="556755EB">
            <wp:extent cx="4701540" cy="282092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13451" cy="2828072"/>
                    </a:xfrm>
                    <a:prstGeom prst="rect">
                      <a:avLst/>
                    </a:prstGeom>
                    <a:noFill/>
                    <a:ln>
                      <a:noFill/>
                    </a:ln>
                  </pic:spPr>
                </pic:pic>
              </a:graphicData>
            </a:graphic>
          </wp:inline>
        </w:drawing>
      </w:r>
    </w:p>
    <w:p w:rsidR="00E042DC" w:rsidRPr="001F41FC" w:rsidRDefault="008B20EB" w:rsidP="00E042DC">
      <w:pPr>
        <w:rPr>
          <w:b/>
          <w:sz w:val="26"/>
          <w:szCs w:val="26"/>
        </w:rPr>
      </w:pPr>
      <w:r>
        <w:rPr>
          <w:b/>
          <w:sz w:val="26"/>
          <w:szCs w:val="26"/>
          <w:lang w:val="en-US"/>
        </w:rPr>
        <w:t xml:space="preserve">Appendix </w:t>
      </w:r>
      <w:r w:rsidR="00D753CB">
        <w:rPr>
          <w:b/>
          <w:sz w:val="26"/>
          <w:szCs w:val="26"/>
          <w:lang w:val="en-US"/>
        </w:rPr>
        <w:t>5</w:t>
      </w:r>
      <w:r w:rsidR="00E042DC" w:rsidRPr="001F41FC">
        <w:rPr>
          <w:b/>
          <w:sz w:val="26"/>
          <w:szCs w:val="26"/>
          <w:lang w:val="en-US"/>
        </w:rPr>
        <w:t xml:space="preserve">: </w:t>
      </w:r>
      <w:r w:rsidR="00E042DC" w:rsidRPr="001F41FC">
        <w:rPr>
          <w:b/>
          <w:sz w:val="26"/>
          <w:szCs w:val="26"/>
        </w:rPr>
        <w:t xml:space="preserve">Distribution of firm-specific profit efficiency scores (%) </w:t>
      </w:r>
    </w:p>
    <w:p w:rsidR="001F41FC" w:rsidRPr="00880425" w:rsidRDefault="001F41FC" w:rsidP="00E042DC">
      <w:pPr>
        <w:rPr>
          <w:b/>
          <w:sz w:val="20"/>
          <w:szCs w:val="20"/>
        </w:rPr>
      </w:pPr>
    </w:p>
    <w:p w:rsidR="00E042DC" w:rsidRPr="00D86D34" w:rsidRDefault="00E042DC" w:rsidP="00E042DC">
      <w:pPr>
        <w:rPr>
          <w:sz w:val="20"/>
          <w:szCs w:val="20"/>
          <w:lang w:val="en-US"/>
        </w:rPr>
      </w:pPr>
      <w:r w:rsidRPr="00D86D34">
        <w:rPr>
          <w:noProof/>
        </w:rPr>
        <w:lastRenderedPageBreak/>
        <w:drawing>
          <wp:inline distT="0" distB="0" distL="0" distR="0" wp14:anchorId="78580A1C" wp14:editId="6488CA08">
            <wp:extent cx="5958840" cy="2446020"/>
            <wp:effectExtent l="0" t="0" r="381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042DC" w:rsidRPr="00655944" w:rsidRDefault="00E042DC" w:rsidP="00E042DC"/>
    <w:p w:rsidR="00F818B4" w:rsidRPr="001F41FC" w:rsidRDefault="00F818B4" w:rsidP="00F818B4">
      <w:pPr>
        <w:spacing w:before="100" w:beforeAutospacing="1" w:after="100" w:afterAutospacing="1"/>
        <w:jc w:val="both"/>
        <w:rPr>
          <w:b/>
          <w:sz w:val="26"/>
          <w:szCs w:val="26"/>
        </w:rPr>
      </w:pPr>
      <w:r w:rsidRPr="001F41FC">
        <w:rPr>
          <w:b/>
          <w:sz w:val="26"/>
          <w:szCs w:val="26"/>
        </w:rPr>
        <w:t xml:space="preserve">Appendix </w:t>
      </w:r>
      <w:r w:rsidR="00D753CB">
        <w:rPr>
          <w:b/>
          <w:sz w:val="26"/>
          <w:szCs w:val="26"/>
        </w:rPr>
        <w:t>6</w:t>
      </w:r>
      <w:r w:rsidRPr="001F41FC">
        <w:rPr>
          <w:b/>
          <w:sz w:val="26"/>
          <w:szCs w:val="26"/>
        </w:rPr>
        <w:t xml:space="preserve">: Average treatment effects from various Propensity Score Matching techniques </w:t>
      </w:r>
    </w:p>
    <w:tbl>
      <w:tblPr>
        <w:tblW w:w="9255" w:type="dxa"/>
        <w:tblLook w:val="04A0" w:firstRow="1" w:lastRow="0" w:firstColumn="1" w:lastColumn="0" w:noHBand="0" w:noVBand="1"/>
      </w:tblPr>
      <w:tblGrid>
        <w:gridCol w:w="1808"/>
        <w:gridCol w:w="1501"/>
        <w:gridCol w:w="1142"/>
        <w:gridCol w:w="1152"/>
        <w:gridCol w:w="1368"/>
        <w:gridCol w:w="1142"/>
        <w:gridCol w:w="1142"/>
      </w:tblGrid>
      <w:tr w:rsidR="00F818B4" w:rsidRPr="00256E18" w:rsidTr="00C928D0">
        <w:trPr>
          <w:trHeight w:val="272"/>
          <w:tblHeader/>
        </w:trPr>
        <w:tc>
          <w:tcPr>
            <w:tcW w:w="1808" w:type="dxa"/>
            <w:tcBorders>
              <w:top w:val="single" w:sz="4" w:space="0" w:color="auto"/>
              <w:left w:val="nil"/>
              <w:bottom w:val="single" w:sz="4" w:space="0" w:color="auto"/>
              <w:right w:val="nil"/>
            </w:tcBorders>
            <w:shd w:val="clear" w:color="auto" w:fill="auto"/>
            <w:noWrap/>
            <w:vAlign w:val="bottom"/>
            <w:hideMark/>
          </w:tcPr>
          <w:p w:rsidR="00F818B4" w:rsidRPr="00256E18" w:rsidRDefault="00F818B4" w:rsidP="00C928D0">
            <w:pPr>
              <w:rPr>
                <w:b/>
                <w:color w:val="000000"/>
                <w:sz w:val="22"/>
                <w:szCs w:val="22"/>
              </w:rPr>
            </w:pPr>
            <w:r w:rsidRPr="00256E18">
              <w:rPr>
                <w:b/>
                <w:color w:val="000000"/>
                <w:sz w:val="22"/>
                <w:szCs w:val="22"/>
              </w:rPr>
              <w:t>Variable</w:t>
            </w:r>
          </w:p>
        </w:tc>
        <w:tc>
          <w:tcPr>
            <w:tcW w:w="1501" w:type="dxa"/>
            <w:tcBorders>
              <w:top w:val="single" w:sz="4" w:space="0" w:color="auto"/>
              <w:left w:val="nil"/>
              <w:bottom w:val="single" w:sz="4" w:space="0" w:color="auto"/>
              <w:right w:val="nil"/>
            </w:tcBorders>
            <w:shd w:val="clear" w:color="auto" w:fill="auto"/>
            <w:noWrap/>
            <w:vAlign w:val="bottom"/>
            <w:hideMark/>
          </w:tcPr>
          <w:p w:rsidR="00F818B4" w:rsidRPr="00256E18" w:rsidRDefault="00F818B4" w:rsidP="00C928D0">
            <w:pPr>
              <w:rPr>
                <w:b/>
                <w:color w:val="000000"/>
                <w:sz w:val="22"/>
                <w:szCs w:val="22"/>
              </w:rPr>
            </w:pPr>
            <w:r w:rsidRPr="00256E18">
              <w:rPr>
                <w:b/>
                <w:color w:val="000000"/>
                <w:sz w:val="22"/>
                <w:szCs w:val="22"/>
              </w:rPr>
              <w:t>Sample</w:t>
            </w:r>
          </w:p>
        </w:tc>
        <w:tc>
          <w:tcPr>
            <w:tcW w:w="1142" w:type="dxa"/>
            <w:tcBorders>
              <w:top w:val="single" w:sz="4" w:space="0" w:color="auto"/>
              <w:left w:val="nil"/>
              <w:bottom w:val="single" w:sz="4" w:space="0" w:color="auto"/>
              <w:right w:val="nil"/>
            </w:tcBorders>
            <w:shd w:val="clear" w:color="auto" w:fill="auto"/>
            <w:noWrap/>
            <w:vAlign w:val="bottom"/>
            <w:hideMark/>
          </w:tcPr>
          <w:p w:rsidR="00F818B4" w:rsidRPr="00256E18" w:rsidRDefault="00F818B4" w:rsidP="00C928D0">
            <w:pPr>
              <w:rPr>
                <w:b/>
                <w:color w:val="000000"/>
                <w:sz w:val="22"/>
                <w:szCs w:val="22"/>
              </w:rPr>
            </w:pPr>
            <w:r w:rsidRPr="00256E18">
              <w:rPr>
                <w:b/>
                <w:color w:val="000000"/>
                <w:sz w:val="22"/>
                <w:szCs w:val="22"/>
              </w:rPr>
              <w:t>Treated</w:t>
            </w:r>
          </w:p>
        </w:tc>
        <w:tc>
          <w:tcPr>
            <w:tcW w:w="1152" w:type="dxa"/>
            <w:tcBorders>
              <w:top w:val="single" w:sz="4" w:space="0" w:color="auto"/>
              <w:left w:val="nil"/>
              <w:bottom w:val="single" w:sz="4" w:space="0" w:color="auto"/>
              <w:right w:val="nil"/>
            </w:tcBorders>
            <w:shd w:val="clear" w:color="auto" w:fill="auto"/>
            <w:noWrap/>
            <w:vAlign w:val="bottom"/>
            <w:hideMark/>
          </w:tcPr>
          <w:p w:rsidR="00F818B4" w:rsidRPr="00256E18" w:rsidRDefault="00F818B4" w:rsidP="00C928D0">
            <w:pPr>
              <w:rPr>
                <w:b/>
                <w:color w:val="000000"/>
                <w:sz w:val="22"/>
                <w:szCs w:val="22"/>
              </w:rPr>
            </w:pPr>
            <w:r w:rsidRPr="00256E18">
              <w:rPr>
                <w:b/>
                <w:color w:val="000000"/>
                <w:sz w:val="22"/>
                <w:szCs w:val="22"/>
              </w:rPr>
              <w:t>Controls</w:t>
            </w:r>
          </w:p>
        </w:tc>
        <w:tc>
          <w:tcPr>
            <w:tcW w:w="1368" w:type="dxa"/>
            <w:tcBorders>
              <w:top w:val="single" w:sz="4" w:space="0" w:color="auto"/>
              <w:left w:val="nil"/>
              <w:bottom w:val="single" w:sz="4" w:space="0" w:color="auto"/>
              <w:right w:val="nil"/>
            </w:tcBorders>
            <w:shd w:val="clear" w:color="auto" w:fill="auto"/>
            <w:noWrap/>
            <w:vAlign w:val="bottom"/>
            <w:hideMark/>
          </w:tcPr>
          <w:p w:rsidR="00F818B4" w:rsidRPr="00256E18" w:rsidRDefault="00F818B4" w:rsidP="00C928D0">
            <w:pPr>
              <w:rPr>
                <w:b/>
                <w:color w:val="000000"/>
                <w:sz w:val="22"/>
                <w:szCs w:val="22"/>
              </w:rPr>
            </w:pPr>
            <w:r w:rsidRPr="00256E18">
              <w:rPr>
                <w:b/>
                <w:color w:val="000000"/>
                <w:sz w:val="22"/>
                <w:szCs w:val="22"/>
              </w:rPr>
              <w:t>Difference</w:t>
            </w:r>
          </w:p>
        </w:tc>
        <w:tc>
          <w:tcPr>
            <w:tcW w:w="1142" w:type="dxa"/>
            <w:tcBorders>
              <w:top w:val="single" w:sz="4" w:space="0" w:color="auto"/>
              <w:left w:val="nil"/>
              <w:bottom w:val="single" w:sz="4" w:space="0" w:color="auto"/>
              <w:right w:val="nil"/>
            </w:tcBorders>
            <w:shd w:val="clear" w:color="auto" w:fill="auto"/>
            <w:noWrap/>
            <w:vAlign w:val="bottom"/>
            <w:hideMark/>
          </w:tcPr>
          <w:p w:rsidR="00F818B4" w:rsidRPr="00256E18" w:rsidRDefault="00F818B4" w:rsidP="00C928D0">
            <w:pPr>
              <w:rPr>
                <w:b/>
                <w:color w:val="000000"/>
                <w:sz w:val="22"/>
                <w:szCs w:val="22"/>
              </w:rPr>
            </w:pPr>
            <w:r w:rsidRPr="00256E18">
              <w:rPr>
                <w:b/>
                <w:color w:val="000000"/>
                <w:sz w:val="22"/>
                <w:szCs w:val="22"/>
              </w:rPr>
              <w:t>S.E.</w:t>
            </w:r>
          </w:p>
        </w:tc>
        <w:tc>
          <w:tcPr>
            <w:tcW w:w="1142" w:type="dxa"/>
            <w:tcBorders>
              <w:top w:val="single" w:sz="4" w:space="0" w:color="auto"/>
              <w:left w:val="nil"/>
              <w:bottom w:val="single" w:sz="4" w:space="0" w:color="auto"/>
              <w:right w:val="nil"/>
            </w:tcBorders>
            <w:shd w:val="clear" w:color="auto" w:fill="auto"/>
            <w:noWrap/>
            <w:vAlign w:val="bottom"/>
            <w:hideMark/>
          </w:tcPr>
          <w:p w:rsidR="00F818B4" w:rsidRPr="00256E18" w:rsidRDefault="00F818B4" w:rsidP="00C928D0">
            <w:pPr>
              <w:rPr>
                <w:b/>
                <w:color w:val="000000"/>
                <w:sz w:val="22"/>
                <w:szCs w:val="22"/>
              </w:rPr>
            </w:pPr>
            <w:r w:rsidRPr="00256E18">
              <w:rPr>
                <w:b/>
                <w:color w:val="000000"/>
                <w:sz w:val="22"/>
                <w:szCs w:val="22"/>
              </w:rPr>
              <w:t>T stat</w:t>
            </w:r>
          </w:p>
        </w:tc>
      </w:tr>
      <w:tr w:rsidR="00F818B4" w:rsidRPr="00256E18" w:rsidTr="00C928D0">
        <w:trPr>
          <w:trHeight w:val="272"/>
        </w:trPr>
        <w:tc>
          <w:tcPr>
            <w:tcW w:w="1808"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n(5) common</w:t>
            </w:r>
          </w:p>
        </w:tc>
        <w:tc>
          <w:tcPr>
            <w:tcW w:w="1501"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Unmatched</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0.112</w:t>
            </w:r>
          </w:p>
        </w:tc>
        <w:tc>
          <w:tcPr>
            <w:tcW w:w="136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0.011</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0.006</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1.78</w:t>
            </w:r>
          </w:p>
        </w:tc>
      </w:tr>
      <w:tr w:rsidR="00F818B4" w:rsidRPr="00256E18" w:rsidTr="00C928D0">
        <w:trPr>
          <w:trHeight w:val="272"/>
        </w:trPr>
        <w:tc>
          <w:tcPr>
            <w:tcW w:w="180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p>
        </w:tc>
        <w:tc>
          <w:tcPr>
            <w:tcW w:w="1501"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ATT</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0.205</w:t>
            </w:r>
          </w:p>
        </w:tc>
        <w:tc>
          <w:tcPr>
            <w:tcW w:w="136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-0.082</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0.033</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2.48</w:t>
            </w:r>
          </w:p>
        </w:tc>
      </w:tr>
      <w:tr w:rsidR="00F818B4" w:rsidRPr="00256E18" w:rsidTr="00C928D0">
        <w:trPr>
          <w:trHeight w:val="272"/>
        </w:trPr>
        <w:tc>
          <w:tcPr>
            <w:tcW w:w="1808"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 xml:space="preserve">radius common </w:t>
            </w:r>
          </w:p>
        </w:tc>
        <w:tc>
          <w:tcPr>
            <w:tcW w:w="1501"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Unmatched</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0.112</w:t>
            </w:r>
          </w:p>
        </w:tc>
        <w:tc>
          <w:tcPr>
            <w:tcW w:w="136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0.011</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0.006</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1.78</w:t>
            </w:r>
          </w:p>
        </w:tc>
      </w:tr>
      <w:tr w:rsidR="00F818B4" w:rsidRPr="00256E18" w:rsidTr="00C928D0">
        <w:trPr>
          <w:trHeight w:val="272"/>
        </w:trPr>
        <w:tc>
          <w:tcPr>
            <w:tcW w:w="180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p>
        </w:tc>
        <w:tc>
          <w:tcPr>
            <w:tcW w:w="1501"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ATT</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0.112</w:t>
            </w:r>
          </w:p>
        </w:tc>
        <w:tc>
          <w:tcPr>
            <w:tcW w:w="136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0.011</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0.005</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2.03</w:t>
            </w:r>
          </w:p>
        </w:tc>
      </w:tr>
      <w:tr w:rsidR="00F818B4" w:rsidRPr="00256E18" w:rsidTr="00C928D0">
        <w:trPr>
          <w:trHeight w:val="272"/>
        </w:trPr>
        <w:tc>
          <w:tcPr>
            <w:tcW w:w="1808"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kernel</w:t>
            </w:r>
          </w:p>
        </w:tc>
        <w:tc>
          <w:tcPr>
            <w:tcW w:w="1501"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Unmatched</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0.112</w:t>
            </w:r>
          </w:p>
        </w:tc>
        <w:tc>
          <w:tcPr>
            <w:tcW w:w="136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0.011</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0.006</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1.78</w:t>
            </w:r>
          </w:p>
        </w:tc>
      </w:tr>
      <w:tr w:rsidR="00F818B4" w:rsidRPr="00256E18" w:rsidTr="00C928D0">
        <w:trPr>
          <w:trHeight w:val="272"/>
        </w:trPr>
        <w:tc>
          <w:tcPr>
            <w:tcW w:w="180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p>
        </w:tc>
        <w:tc>
          <w:tcPr>
            <w:tcW w:w="1501"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ATT</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0.118</w:t>
            </w:r>
          </w:p>
        </w:tc>
        <w:tc>
          <w:tcPr>
            <w:tcW w:w="136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0.005</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0.006</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0.74</w:t>
            </w:r>
          </w:p>
        </w:tc>
      </w:tr>
      <w:tr w:rsidR="00F818B4" w:rsidRPr="00256E18" w:rsidTr="00C928D0">
        <w:trPr>
          <w:trHeight w:val="272"/>
        </w:trPr>
        <w:tc>
          <w:tcPr>
            <w:tcW w:w="1808"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proofErr w:type="spellStart"/>
            <w:r w:rsidRPr="00256E18">
              <w:rPr>
                <w:color w:val="000000"/>
                <w:sz w:val="22"/>
                <w:szCs w:val="22"/>
              </w:rPr>
              <w:t>llr</w:t>
            </w:r>
            <w:proofErr w:type="spellEnd"/>
            <w:r w:rsidRPr="00256E18">
              <w:rPr>
                <w:color w:val="000000"/>
                <w:sz w:val="22"/>
                <w:szCs w:val="22"/>
              </w:rPr>
              <w:t xml:space="preserve"> common</w:t>
            </w:r>
          </w:p>
        </w:tc>
        <w:tc>
          <w:tcPr>
            <w:tcW w:w="1501" w:type="dxa"/>
            <w:tcBorders>
              <w:top w:val="nil"/>
              <w:left w:val="nil"/>
              <w:bottom w:val="nil"/>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Unmatched</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0.112</w:t>
            </w:r>
          </w:p>
        </w:tc>
        <w:tc>
          <w:tcPr>
            <w:tcW w:w="1368"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0.011</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0.006</w:t>
            </w:r>
          </w:p>
        </w:tc>
        <w:tc>
          <w:tcPr>
            <w:tcW w:w="1142" w:type="dxa"/>
            <w:tcBorders>
              <w:top w:val="nil"/>
              <w:left w:val="nil"/>
              <w:bottom w:val="nil"/>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1.78</w:t>
            </w:r>
          </w:p>
        </w:tc>
      </w:tr>
      <w:tr w:rsidR="00F818B4" w:rsidRPr="00256E18" w:rsidTr="00C928D0">
        <w:trPr>
          <w:trHeight w:val="272"/>
        </w:trPr>
        <w:tc>
          <w:tcPr>
            <w:tcW w:w="1808" w:type="dxa"/>
            <w:tcBorders>
              <w:top w:val="nil"/>
              <w:left w:val="nil"/>
              <w:bottom w:val="single" w:sz="4" w:space="0" w:color="auto"/>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 </w:t>
            </w:r>
          </w:p>
        </w:tc>
        <w:tc>
          <w:tcPr>
            <w:tcW w:w="1501" w:type="dxa"/>
            <w:tcBorders>
              <w:top w:val="nil"/>
              <w:left w:val="nil"/>
              <w:bottom w:val="single" w:sz="4" w:space="0" w:color="auto"/>
              <w:right w:val="nil"/>
            </w:tcBorders>
            <w:shd w:val="clear" w:color="auto" w:fill="auto"/>
            <w:noWrap/>
            <w:vAlign w:val="bottom"/>
            <w:hideMark/>
          </w:tcPr>
          <w:p w:rsidR="00F818B4" w:rsidRPr="00256E18" w:rsidRDefault="00F818B4" w:rsidP="00C928D0">
            <w:pPr>
              <w:rPr>
                <w:color w:val="000000"/>
                <w:sz w:val="22"/>
                <w:szCs w:val="22"/>
              </w:rPr>
            </w:pPr>
            <w:r w:rsidRPr="00256E18">
              <w:rPr>
                <w:color w:val="000000"/>
                <w:sz w:val="22"/>
                <w:szCs w:val="22"/>
              </w:rPr>
              <w:t>ATT</w:t>
            </w:r>
          </w:p>
        </w:tc>
        <w:tc>
          <w:tcPr>
            <w:tcW w:w="1142" w:type="dxa"/>
            <w:tcBorders>
              <w:top w:val="nil"/>
              <w:left w:val="nil"/>
              <w:bottom w:val="single" w:sz="4" w:space="0" w:color="auto"/>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0.1232</w:t>
            </w:r>
          </w:p>
        </w:tc>
        <w:tc>
          <w:tcPr>
            <w:tcW w:w="1152" w:type="dxa"/>
            <w:tcBorders>
              <w:top w:val="nil"/>
              <w:left w:val="nil"/>
              <w:bottom w:val="single" w:sz="4" w:space="0" w:color="auto"/>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0.118</w:t>
            </w:r>
          </w:p>
        </w:tc>
        <w:tc>
          <w:tcPr>
            <w:tcW w:w="1368" w:type="dxa"/>
            <w:tcBorders>
              <w:top w:val="nil"/>
              <w:left w:val="nil"/>
              <w:bottom w:val="single" w:sz="4" w:space="0" w:color="auto"/>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0.005</w:t>
            </w:r>
          </w:p>
        </w:tc>
        <w:tc>
          <w:tcPr>
            <w:tcW w:w="1142" w:type="dxa"/>
            <w:tcBorders>
              <w:top w:val="nil"/>
              <w:left w:val="nil"/>
              <w:bottom w:val="single" w:sz="4" w:space="0" w:color="auto"/>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0.070</w:t>
            </w:r>
          </w:p>
        </w:tc>
        <w:tc>
          <w:tcPr>
            <w:tcW w:w="1142" w:type="dxa"/>
            <w:tcBorders>
              <w:top w:val="nil"/>
              <w:left w:val="nil"/>
              <w:bottom w:val="single" w:sz="4" w:space="0" w:color="auto"/>
              <w:right w:val="nil"/>
            </w:tcBorders>
            <w:shd w:val="clear" w:color="auto" w:fill="auto"/>
            <w:noWrap/>
            <w:vAlign w:val="bottom"/>
            <w:hideMark/>
          </w:tcPr>
          <w:p w:rsidR="00F818B4" w:rsidRPr="00256E18" w:rsidRDefault="00F818B4" w:rsidP="00C928D0">
            <w:pPr>
              <w:jc w:val="right"/>
              <w:rPr>
                <w:color w:val="000000"/>
                <w:sz w:val="22"/>
                <w:szCs w:val="22"/>
              </w:rPr>
            </w:pPr>
            <w:r w:rsidRPr="00256E18">
              <w:rPr>
                <w:color w:val="000000"/>
                <w:sz w:val="22"/>
                <w:szCs w:val="22"/>
              </w:rPr>
              <w:t>0.07</w:t>
            </w:r>
          </w:p>
        </w:tc>
      </w:tr>
    </w:tbl>
    <w:p w:rsidR="00E042DC" w:rsidRDefault="00E042DC" w:rsidP="00C44FEF">
      <w:pPr>
        <w:spacing w:line="360" w:lineRule="auto"/>
      </w:pPr>
    </w:p>
    <w:p w:rsidR="001F41FC" w:rsidRPr="001F41FC" w:rsidRDefault="008B20EB" w:rsidP="001F41FC">
      <w:pPr>
        <w:rPr>
          <w:b/>
          <w:sz w:val="26"/>
          <w:szCs w:val="26"/>
        </w:rPr>
      </w:pPr>
      <w:r>
        <w:rPr>
          <w:b/>
          <w:sz w:val="26"/>
          <w:szCs w:val="26"/>
        </w:rPr>
        <w:t xml:space="preserve">Appendix </w:t>
      </w:r>
      <w:r w:rsidR="00D753CB">
        <w:rPr>
          <w:b/>
          <w:sz w:val="26"/>
          <w:szCs w:val="26"/>
        </w:rPr>
        <w:t>7</w:t>
      </w:r>
      <w:r w:rsidR="001F41FC">
        <w:rPr>
          <w:b/>
          <w:sz w:val="26"/>
          <w:szCs w:val="26"/>
        </w:rPr>
        <w:t>. OLS Model Results</w:t>
      </w:r>
    </w:p>
    <w:p w:rsidR="008F028C" w:rsidRDefault="008F028C" w:rsidP="00C44FEF">
      <w:pPr>
        <w:spacing w:line="360" w:lineRule="auto"/>
      </w:pPr>
    </w:p>
    <w:tbl>
      <w:tblPr>
        <w:tblStyle w:val="TableGrid"/>
        <w:tblW w:w="0" w:type="auto"/>
        <w:tblInd w:w="0" w:type="dxa"/>
        <w:tblLook w:val="04A0" w:firstRow="1" w:lastRow="0" w:firstColumn="1" w:lastColumn="0" w:noHBand="0" w:noVBand="1"/>
      </w:tblPr>
      <w:tblGrid>
        <w:gridCol w:w="2625"/>
        <w:gridCol w:w="858"/>
        <w:gridCol w:w="489"/>
        <w:gridCol w:w="858"/>
        <w:gridCol w:w="489"/>
        <w:gridCol w:w="858"/>
        <w:gridCol w:w="489"/>
        <w:gridCol w:w="858"/>
        <w:gridCol w:w="489"/>
        <w:gridCol w:w="858"/>
        <w:gridCol w:w="489"/>
      </w:tblGrid>
      <w:tr w:rsidR="008F028C" w:rsidRPr="001F41FC" w:rsidTr="001F41FC">
        <w:tc>
          <w:tcPr>
            <w:tcW w:w="2625" w:type="dxa"/>
            <w:tcBorders>
              <w:top w:val="single" w:sz="2" w:space="0" w:color="000000"/>
              <w:left w:val="nil"/>
              <w:bottom w:val="single" w:sz="2" w:space="0" w:color="000000"/>
              <w:right w:val="nil"/>
            </w:tcBorders>
          </w:tcPr>
          <w:p w:rsidR="008F028C" w:rsidRPr="001F41FC" w:rsidRDefault="001F41FC" w:rsidP="008473E5">
            <w:pPr>
              <w:rPr>
                <w:b/>
                <w:sz w:val="22"/>
                <w:szCs w:val="22"/>
              </w:rPr>
            </w:pPr>
            <w:r w:rsidRPr="001F41FC">
              <w:rPr>
                <w:b/>
                <w:sz w:val="22"/>
                <w:szCs w:val="22"/>
              </w:rPr>
              <w:t>Variables</w:t>
            </w:r>
          </w:p>
        </w:tc>
        <w:tc>
          <w:tcPr>
            <w:tcW w:w="1347" w:type="dxa"/>
            <w:gridSpan w:val="2"/>
            <w:tcBorders>
              <w:top w:val="single" w:sz="2" w:space="0" w:color="000000"/>
              <w:left w:val="nil"/>
              <w:bottom w:val="single" w:sz="2" w:space="0" w:color="000000"/>
              <w:right w:val="nil"/>
            </w:tcBorders>
            <w:vAlign w:val="bottom"/>
            <w:hideMark/>
          </w:tcPr>
          <w:p w:rsidR="008F028C" w:rsidRPr="001F41FC" w:rsidRDefault="008F028C" w:rsidP="008473E5">
            <w:pPr>
              <w:jc w:val="center"/>
              <w:rPr>
                <w:b/>
                <w:sz w:val="22"/>
                <w:szCs w:val="22"/>
              </w:rPr>
            </w:pPr>
            <w:r w:rsidRPr="001F41FC">
              <w:rPr>
                <w:b/>
                <w:sz w:val="22"/>
                <w:szCs w:val="22"/>
              </w:rPr>
              <w:t>PE scores vs overall FSU services</w:t>
            </w:r>
          </w:p>
        </w:tc>
        <w:tc>
          <w:tcPr>
            <w:tcW w:w="1347" w:type="dxa"/>
            <w:gridSpan w:val="2"/>
            <w:tcBorders>
              <w:top w:val="single" w:sz="2" w:space="0" w:color="000000"/>
              <w:left w:val="nil"/>
              <w:bottom w:val="single" w:sz="2" w:space="0" w:color="000000"/>
              <w:right w:val="nil"/>
            </w:tcBorders>
            <w:hideMark/>
          </w:tcPr>
          <w:p w:rsidR="008F028C" w:rsidRPr="001F41FC" w:rsidRDefault="008F028C" w:rsidP="008473E5">
            <w:pPr>
              <w:rPr>
                <w:b/>
                <w:sz w:val="22"/>
                <w:szCs w:val="22"/>
              </w:rPr>
            </w:pPr>
            <w:r w:rsidRPr="001F41FC">
              <w:rPr>
                <w:b/>
                <w:sz w:val="22"/>
                <w:szCs w:val="22"/>
              </w:rPr>
              <w:t>PE scores vs overall Credit</w:t>
            </w:r>
          </w:p>
        </w:tc>
        <w:tc>
          <w:tcPr>
            <w:tcW w:w="1347" w:type="dxa"/>
            <w:gridSpan w:val="2"/>
            <w:tcBorders>
              <w:top w:val="single" w:sz="2" w:space="0" w:color="000000"/>
              <w:left w:val="nil"/>
              <w:bottom w:val="single" w:sz="2" w:space="0" w:color="000000"/>
              <w:right w:val="nil"/>
            </w:tcBorders>
            <w:hideMark/>
          </w:tcPr>
          <w:p w:rsidR="008F028C" w:rsidRPr="001F41FC" w:rsidRDefault="008F028C" w:rsidP="008473E5">
            <w:pPr>
              <w:rPr>
                <w:b/>
                <w:sz w:val="22"/>
                <w:szCs w:val="22"/>
              </w:rPr>
            </w:pPr>
            <w:r w:rsidRPr="001F41FC">
              <w:rPr>
                <w:b/>
                <w:sz w:val="22"/>
                <w:szCs w:val="22"/>
              </w:rPr>
              <w:t>PE scores vs overall Savings</w:t>
            </w:r>
          </w:p>
        </w:tc>
        <w:tc>
          <w:tcPr>
            <w:tcW w:w="1347" w:type="dxa"/>
            <w:gridSpan w:val="2"/>
            <w:tcBorders>
              <w:top w:val="single" w:sz="2" w:space="0" w:color="000000"/>
              <w:left w:val="nil"/>
              <w:bottom w:val="single" w:sz="2" w:space="0" w:color="000000"/>
              <w:right w:val="nil"/>
            </w:tcBorders>
            <w:hideMark/>
          </w:tcPr>
          <w:p w:rsidR="008F028C" w:rsidRPr="001F41FC" w:rsidRDefault="008F028C" w:rsidP="008473E5">
            <w:pPr>
              <w:rPr>
                <w:b/>
                <w:sz w:val="22"/>
                <w:szCs w:val="22"/>
              </w:rPr>
            </w:pPr>
            <w:r w:rsidRPr="001F41FC">
              <w:rPr>
                <w:b/>
                <w:sz w:val="22"/>
                <w:szCs w:val="22"/>
              </w:rPr>
              <w:t>PE scores vs overall Insurance</w:t>
            </w:r>
          </w:p>
        </w:tc>
        <w:tc>
          <w:tcPr>
            <w:tcW w:w="1347" w:type="dxa"/>
            <w:gridSpan w:val="2"/>
            <w:tcBorders>
              <w:top w:val="single" w:sz="2" w:space="0" w:color="000000"/>
              <w:left w:val="nil"/>
              <w:bottom w:val="single" w:sz="2" w:space="0" w:color="000000"/>
              <w:right w:val="nil"/>
            </w:tcBorders>
            <w:hideMark/>
          </w:tcPr>
          <w:p w:rsidR="008F028C" w:rsidRPr="001F41FC" w:rsidRDefault="008F028C" w:rsidP="008473E5">
            <w:pPr>
              <w:rPr>
                <w:b/>
                <w:sz w:val="22"/>
                <w:szCs w:val="22"/>
              </w:rPr>
            </w:pPr>
            <w:r w:rsidRPr="001F41FC">
              <w:rPr>
                <w:b/>
                <w:sz w:val="22"/>
                <w:szCs w:val="22"/>
              </w:rPr>
              <w:t>PE scores vs overall Banking</w:t>
            </w:r>
          </w:p>
        </w:tc>
      </w:tr>
      <w:tr w:rsidR="008F028C" w:rsidRPr="008F028C" w:rsidTr="001F41FC">
        <w:tc>
          <w:tcPr>
            <w:tcW w:w="2625" w:type="dxa"/>
            <w:tcBorders>
              <w:top w:val="single" w:sz="2" w:space="0" w:color="000000"/>
              <w:left w:val="nil"/>
              <w:bottom w:val="nil"/>
              <w:right w:val="nil"/>
            </w:tcBorders>
            <w:vAlign w:val="center"/>
            <w:hideMark/>
          </w:tcPr>
          <w:p w:rsidR="008F028C" w:rsidRPr="008F028C" w:rsidRDefault="008F028C" w:rsidP="008473E5">
            <w:pPr>
              <w:rPr>
                <w:sz w:val="22"/>
                <w:szCs w:val="22"/>
              </w:rPr>
            </w:pPr>
            <w:r w:rsidRPr="008F028C">
              <w:rPr>
                <w:sz w:val="22"/>
                <w:szCs w:val="22"/>
              </w:rPr>
              <w:t>Financial services (FSU, Credit, Savings, Insurance, and Banking)</w:t>
            </w:r>
          </w:p>
        </w:tc>
        <w:tc>
          <w:tcPr>
            <w:tcW w:w="858" w:type="dxa"/>
            <w:tcBorders>
              <w:top w:val="single" w:sz="2" w:space="0" w:color="000000"/>
              <w:left w:val="nil"/>
              <w:bottom w:val="nil"/>
              <w:right w:val="nil"/>
            </w:tcBorders>
            <w:vAlign w:val="center"/>
            <w:hideMark/>
          </w:tcPr>
          <w:p w:rsidR="008F028C" w:rsidRPr="008F028C" w:rsidRDefault="008F028C" w:rsidP="008473E5">
            <w:pPr>
              <w:jc w:val="right"/>
              <w:rPr>
                <w:sz w:val="22"/>
                <w:szCs w:val="22"/>
              </w:rPr>
            </w:pPr>
            <w:r w:rsidRPr="008F028C">
              <w:rPr>
                <w:sz w:val="22"/>
                <w:szCs w:val="22"/>
              </w:rPr>
              <w:t>0.003</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-0.011</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-0.002</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0.022</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0.011</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(0.013)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SMED </w:t>
            </w:r>
            <w:r w:rsidR="008F028C" w:rsidRPr="008F028C">
              <w:rPr>
                <w:sz w:val="22"/>
                <w:szCs w:val="22"/>
              </w:rPr>
              <w:t>helped</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F7AAC">
            <w:pPr>
              <w:rPr>
                <w:sz w:val="22"/>
                <w:szCs w:val="22"/>
              </w:rPr>
            </w:pPr>
            <w:r w:rsidRPr="008F028C">
              <w:rPr>
                <w:sz w:val="22"/>
                <w:szCs w:val="22"/>
              </w:rPr>
              <w:t>B</w:t>
            </w:r>
            <w:r w:rsidR="008F028C" w:rsidRPr="008F028C">
              <w:rPr>
                <w:sz w:val="22"/>
                <w:szCs w:val="22"/>
              </w:rPr>
              <w:t>usiness</w:t>
            </w:r>
            <w:r>
              <w:rPr>
                <w:sz w:val="22"/>
                <w:szCs w:val="22"/>
              </w:rPr>
              <w:t xml:space="preserve"> years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Business </w:t>
            </w:r>
            <w:r w:rsidR="008F028C" w:rsidRPr="008F028C">
              <w:rPr>
                <w:sz w:val="22"/>
                <w:szCs w:val="22"/>
              </w:rPr>
              <w:t>registration</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0.042</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0.039</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0.042</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sidRPr="008F028C">
              <w:rPr>
                <w:sz w:val="22"/>
                <w:szCs w:val="22"/>
              </w:rPr>
              <w:t>E</w:t>
            </w:r>
            <w:r w:rsidR="008F028C" w:rsidRPr="008F028C">
              <w:rPr>
                <w:sz w:val="22"/>
                <w:szCs w:val="22"/>
              </w:rPr>
              <w:t>lectricity</w:t>
            </w:r>
            <w:r>
              <w:rPr>
                <w:sz w:val="22"/>
                <w:szCs w:val="22"/>
              </w:rPr>
              <w:t xml:space="preserve"> </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Piped </w:t>
            </w:r>
            <w:r w:rsidR="008F028C" w:rsidRPr="008F028C">
              <w:rPr>
                <w:sz w:val="22"/>
                <w:szCs w:val="22"/>
              </w:rPr>
              <w:t>water</w:t>
            </w:r>
            <w:r>
              <w:rPr>
                <w:sz w:val="22"/>
                <w:szCs w:val="22"/>
              </w:rPr>
              <w:t xml:space="preserve"> </w:t>
            </w:r>
            <w:r w:rsidR="008F028C" w:rsidRPr="008F028C">
              <w:rPr>
                <w:sz w:val="22"/>
                <w:szCs w:val="22"/>
              </w:rPr>
              <w:t>access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0.037</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Technology use</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F7AAC">
            <w:pPr>
              <w:rPr>
                <w:sz w:val="22"/>
                <w:szCs w:val="22"/>
              </w:rPr>
            </w:pPr>
            <w:r>
              <w:rPr>
                <w:sz w:val="22"/>
                <w:szCs w:val="22"/>
              </w:rPr>
              <w:t xml:space="preserve">Total </w:t>
            </w:r>
            <w:r w:rsidR="008F028C" w:rsidRPr="008F028C">
              <w:rPr>
                <w:sz w:val="22"/>
                <w:szCs w:val="22"/>
              </w:rPr>
              <w:t>employees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Business </w:t>
            </w:r>
            <w:r w:rsidR="008F028C" w:rsidRPr="008F028C">
              <w:rPr>
                <w:sz w:val="22"/>
                <w:szCs w:val="22"/>
              </w:rPr>
              <w:t>equipment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Business </w:t>
            </w:r>
            <w:r w:rsidR="008F028C" w:rsidRPr="008F028C">
              <w:rPr>
                <w:sz w:val="22"/>
                <w:szCs w:val="22"/>
              </w:rPr>
              <w:t>plan</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Technology less phone</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-0.032</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-0.034</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Business </w:t>
            </w:r>
            <w:r w:rsidR="008F028C" w:rsidRPr="008F028C">
              <w:rPr>
                <w:sz w:val="22"/>
                <w:szCs w:val="22"/>
              </w:rPr>
              <w:t>network</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0.059</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0.059</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Internet </w:t>
            </w:r>
            <w:r w:rsidR="008F028C" w:rsidRPr="008F028C">
              <w:rPr>
                <w:sz w:val="22"/>
                <w:szCs w:val="22"/>
              </w:rPr>
              <w:t>access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Keep </w:t>
            </w:r>
            <w:r w:rsidR="008F028C" w:rsidRPr="008F028C">
              <w:rPr>
                <w:sz w:val="22"/>
                <w:szCs w:val="22"/>
              </w:rPr>
              <w:t>financial</w:t>
            </w:r>
            <w:r>
              <w:rPr>
                <w:sz w:val="22"/>
                <w:szCs w:val="22"/>
              </w:rPr>
              <w:t xml:space="preserve"> </w:t>
            </w:r>
            <w:r w:rsidR="008F028C" w:rsidRPr="008F028C">
              <w:rPr>
                <w:sz w:val="22"/>
                <w:szCs w:val="22"/>
              </w:rPr>
              <w:t>records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Credit Access</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Savings</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Insurance</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Banking</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0.011</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Intercept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0.075</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0.074</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0.068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single" w:sz="2" w:space="0" w:color="000000"/>
              <w:right w:val="nil"/>
            </w:tcBorders>
            <w:vAlign w:val="bottom"/>
            <w:hideMark/>
          </w:tcPr>
          <w:p w:rsidR="008F028C" w:rsidRPr="008F028C" w:rsidRDefault="008F028C" w:rsidP="008473E5">
            <w:pPr>
              <w:rPr>
                <w:sz w:val="22"/>
                <w:szCs w:val="22"/>
              </w:rPr>
            </w:pPr>
            <w:r w:rsidRPr="008F028C">
              <w:rPr>
                <w:sz w:val="22"/>
                <w:szCs w:val="22"/>
              </w:rPr>
              <w:t>Number of observations</w:t>
            </w: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r>
      <w:tr w:rsidR="008F028C" w:rsidRPr="008F028C" w:rsidTr="008473E5">
        <w:tc>
          <w:tcPr>
            <w:tcW w:w="0" w:type="auto"/>
            <w:gridSpan w:val="11"/>
            <w:tcBorders>
              <w:top w:val="single" w:sz="2" w:space="0" w:color="000000"/>
              <w:left w:val="nil"/>
              <w:bottom w:val="nil"/>
              <w:right w:val="nil"/>
            </w:tcBorders>
            <w:hideMark/>
          </w:tcPr>
          <w:p w:rsidR="008F028C" w:rsidRPr="008F028C" w:rsidRDefault="008F028C" w:rsidP="008473E5">
            <w:pPr>
              <w:rPr>
                <w:sz w:val="22"/>
                <w:szCs w:val="22"/>
              </w:rPr>
            </w:pPr>
            <w:r w:rsidRPr="008F028C">
              <w:rPr>
                <w:sz w:val="22"/>
                <w:szCs w:val="22"/>
              </w:rPr>
              <w:t>** p&lt;.01, * p&lt;.05</w:t>
            </w:r>
          </w:p>
        </w:tc>
      </w:tr>
    </w:tbl>
    <w:p w:rsidR="008F028C" w:rsidRDefault="008F028C" w:rsidP="008F028C"/>
    <w:p w:rsidR="001F41FC" w:rsidRPr="001F41FC" w:rsidRDefault="008B20EB" w:rsidP="008F028C">
      <w:pPr>
        <w:rPr>
          <w:b/>
          <w:sz w:val="26"/>
          <w:szCs w:val="26"/>
        </w:rPr>
      </w:pPr>
      <w:r>
        <w:rPr>
          <w:b/>
          <w:sz w:val="26"/>
          <w:szCs w:val="26"/>
        </w:rPr>
        <w:t xml:space="preserve">Appendix </w:t>
      </w:r>
      <w:r w:rsidR="00D753CB">
        <w:rPr>
          <w:b/>
          <w:sz w:val="26"/>
          <w:szCs w:val="26"/>
        </w:rPr>
        <w:t>8</w:t>
      </w:r>
      <w:r w:rsidR="001F41FC">
        <w:rPr>
          <w:b/>
          <w:sz w:val="26"/>
          <w:szCs w:val="26"/>
        </w:rPr>
        <w:t>. Tobit Regression Model Results</w:t>
      </w:r>
    </w:p>
    <w:p w:rsidR="001F41FC" w:rsidRDefault="001F41FC" w:rsidP="008F028C"/>
    <w:tbl>
      <w:tblPr>
        <w:tblStyle w:val="TableGrid"/>
        <w:tblW w:w="0" w:type="auto"/>
        <w:tblInd w:w="0" w:type="dxa"/>
        <w:tblLook w:val="04A0" w:firstRow="1" w:lastRow="0" w:firstColumn="1" w:lastColumn="0" w:noHBand="0" w:noVBand="1"/>
      </w:tblPr>
      <w:tblGrid>
        <w:gridCol w:w="2625"/>
        <w:gridCol w:w="858"/>
        <w:gridCol w:w="489"/>
        <w:gridCol w:w="858"/>
        <w:gridCol w:w="489"/>
        <w:gridCol w:w="858"/>
        <w:gridCol w:w="489"/>
        <w:gridCol w:w="858"/>
        <w:gridCol w:w="489"/>
        <w:gridCol w:w="858"/>
        <w:gridCol w:w="489"/>
      </w:tblGrid>
      <w:tr w:rsidR="008F028C" w:rsidRPr="008F028C" w:rsidTr="001F41FC">
        <w:tc>
          <w:tcPr>
            <w:tcW w:w="2625" w:type="dxa"/>
            <w:tcBorders>
              <w:top w:val="single" w:sz="2" w:space="0" w:color="000000"/>
              <w:left w:val="nil"/>
              <w:bottom w:val="single" w:sz="2" w:space="0" w:color="000000"/>
              <w:right w:val="nil"/>
            </w:tcBorders>
          </w:tcPr>
          <w:p w:rsidR="008F028C" w:rsidRPr="008F028C" w:rsidRDefault="008F028C" w:rsidP="008473E5">
            <w:pPr>
              <w:rPr>
                <w:sz w:val="22"/>
                <w:szCs w:val="22"/>
              </w:rPr>
            </w:pPr>
          </w:p>
        </w:tc>
        <w:tc>
          <w:tcPr>
            <w:tcW w:w="1347" w:type="dxa"/>
            <w:gridSpan w:val="2"/>
            <w:tcBorders>
              <w:top w:val="single" w:sz="2" w:space="0" w:color="000000"/>
              <w:left w:val="nil"/>
              <w:bottom w:val="single" w:sz="2" w:space="0" w:color="000000"/>
              <w:right w:val="nil"/>
            </w:tcBorders>
            <w:vAlign w:val="bottom"/>
            <w:hideMark/>
          </w:tcPr>
          <w:p w:rsidR="008F028C" w:rsidRPr="008F028C" w:rsidRDefault="008F028C" w:rsidP="008473E5">
            <w:pPr>
              <w:jc w:val="center"/>
              <w:rPr>
                <w:sz w:val="22"/>
                <w:szCs w:val="22"/>
              </w:rPr>
            </w:pPr>
            <w:r w:rsidRPr="008F028C">
              <w:rPr>
                <w:sz w:val="22"/>
                <w:szCs w:val="22"/>
              </w:rPr>
              <w:t>PE scores vs overall FSU services</w:t>
            </w:r>
          </w:p>
        </w:tc>
        <w:tc>
          <w:tcPr>
            <w:tcW w:w="1347" w:type="dxa"/>
            <w:gridSpan w:val="2"/>
            <w:tcBorders>
              <w:top w:val="single" w:sz="2" w:space="0" w:color="000000"/>
              <w:left w:val="nil"/>
              <w:bottom w:val="single" w:sz="2" w:space="0" w:color="000000"/>
              <w:right w:val="nil"/>
            </w:tcBorders>
            <w:hideMark/>
          </w:tcPr>
          <w:p w:rsidR="008F028C" w:rsidRPr="008F028C" w:rsidRDefault="008F028C" w:rsidP="008473E5">
            <w:pPr>
              <w:rPr>
                <w:sz w:val="22"/>
                <w:szCs w:val="22"/>
              </w:rPr>
            </w:pPr>
            <w:r w:rsidRPr="008F028C">
              <w:rPr>
                <w:sz w:val="22"/>
                <w:szCs w:val="22"/>
              </w:rPr>
              <w:t>PE scores vs overall Credit</w:t>
            </w:r>
          </w:p>
        </w:tc>
        <w:tc>
          <w:tcPr>
            <w:tcW w:w="1347" w:type="dxa"/>
            <w:gridSpan w:val="2"/>
            <w:tcBorders>
              <w:top w:val="single" w:sz="2" w:space="0" w:color="000000"/>
              <w:left w:val="nil"/>
              <w:bottom w:val="single" w:sz="2" w:space="0" w:color="000000"/>
              <w:right w:val="nil"/>
            </w:tcBorders>
            <w:hideMark/>
          </w:tcPr>
          <w:p w:rsidR="008F028C" w:rsidRPr="008F028C" w:rsidRDefault="008F028C" w:rsidP="008473E5">
            <w:pPr>
              <w:rPr>
                <w:sz w:val="22"/>
                <w:szCs w:val="22"/>
              </w:rPr>
            </w:pPr>
            <w:r w:rsidRPr="008F028C">
              <w:rPr>
                <w:sz w:val="22"/>
                <w:szCs w:val="22"/>
              </w:rPr>
              <w:t>PE scores vs overall Savings</w:t>
            </w:r>
          </w:p>
        </w:tc>
        <w:tc>
          <w:tcPr>
            <w:tcW w:w="1347" w:type="dxa"/>
            <w:gridSpan w:val="2"/>
            <w:tcBorders>
              <w:top w:val="single" w:sz="2" w:space="0" w:color="000000"/>
              <w:left w:val="nil"/>
              <w:bottom w:val="single" w:sz="2" w:space="0" w:color="000000"/>
              <w:right w:val="nil"/>
            </w:tcBorders>
            <w:hideMark/>
          </w:tcPr>
          <w:p w:rsidR="008F028C" w:rsidRPr="008F028C" w:rsidRDefault="008F028C" w:rsidP="008473E5">
            <w:pPr>
              <w:rPr>
                <w:sz w:val="22"/>
                <w:szCs w:val="22"/>
              </w:rPr>
            </w:pPr>
            <w:r w:rsidRPr="008F028C">
              <w:rPr>
                <w:sz w:val="22"/>
                <w:szCs w:val="22"/>
              </w:rPr>
              <w:t>PE scores vs overall Insurance</w:t>
            </w:r>
          </w:p>
        </w:tc>
        <w:tc>
          <w:tcPr>
            <w:tcW w:w="1347" w:type="dxa"/>
            <w:gridSpan w:val="2"/>
            <w:tcBorders>
              <w:top w:val="single" w:sz="2" w:space="0" w:color="000000"/>
              <w:left w:val="nil"/>
              <w:bottom w:val="single" w:sz="2" w:space="0" w:color="000000"/>
              <w:right w:val="nil"/>
            </w:tcBorders>
            <w:hideMark/>
          </w:tcPr>
          <w:p w:rsidR="008F028C" w:rsidRPr="008F028C" w:rsidRDefault="008F028C" w:rsidP="008473E5">
            <w:pPr>
              <w:rPr>
                <w:sz w:val="22"/>
                <w:szCs w:val="22"/>
              </w:rPr>
            </w:pPr>
            <w:r w:rsidRPr="008F028C">
              <w:rPr>
                <w:sz w:val="22"/>
                <w:szCs w:val="22"/>
              </w:rPr>
              <w:t>PE scores vs overall Banking</w:t>
            </w:r>
          </w:p>
        </w:tc>
      </w:tr>
      <w:tr w:rsidR="008F028C" w:rsidRPr="008F028C" w:rsidTr="001F41FC">
        <w:tc>
          <w:tcPr>
            <w:tcW w:w="2625" w:type="dxa"/>
            <w:tcBorders>
              <w:top w:val="single" w:sz="2" w:space="0" w:color="000000"/>
              <w:left w:val="nil"/>
              <w:bottom w:val="nil"/>
              <w:right w:val="nil"/>
            </w:tcBorders>
            <w:vAlign w:val="center"/>
            <w:hideMark/>
          </w:tcPr>
          <w:p w:rsidR="008F028C" w:rsidRPr="008F028C" w:rsidRDefault="008F028C" w:rsidP="008473E5">
            <w:pPr>
              <w:rPr>
                <w:sz w:val="22"/>
                <w:szCs w:val="22"/>
              </w:rPr>
            </w:pPr>
            <w:r w:rsidRPr="008F028C">
              <w:rPr>
                <w:sz w:val="22"/>
                <w:szCs w:val="22"/>
              </w:rPr>
              <w:t>Financial services (FSU, Credit, Savings, Insurance, and Banking)</w:t>
            </w:r>
          </w:p>
        </w:tc>
        <w:tc>
          <w:tcPr>
            <w:tcW w:w="858" w:type="dxa"/>
            <w:tcBorders>
              <w:top w:val="single" w:sz="2" w:space="0" w:color="000000"/>
              <w:left w:val="nil"/>
              <w:bottom w:val="nil"/>
              <w:right w:val="nil"/>
            </w:tcBorders>
            <w:vAlign w:val="center"/>
            <w:hideMark/>
          </w:tcPr>
          <w:p w:rsidR="008F028C" w:rsidRPr="008F028C" w:rsidRDefault="008F028C" w:rsidP="008473E5">
            <w:pPr>
              <w:jc w:val="right"/>
              <w:rPr>
                <w:sz w:val="22"/>
                <w:szCs w:val="22"/>
              </w:rPr>
            </w:pPr>
            <w:r w:rsidRPr="008F028C">
              <w:rPr>
                <w:sz w:val="22"/>
                <w:szCs w:val="22"/>
              </w:rPr>
              <w:t>0.004</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-0.011</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-0.002</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0.022</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c>
          <w:tcPr>
            <w:tcW w:w="858" w:type="dxa"/>
            <w:tcBorders>
              <w:top w:val="single" w:sz="2" w:space="0" w:color="000000"/>
              <w:left w:val="nil"/>
              <w:bottom w:val="nil"/>
              <w:right w:val="nil"/>
            </w:tcBorders>
            <w:vAlign w:val="center"/>
          </w:tcPr>
          <w:p w:rsidR="008F028C" w:rsidRPr="008F028C" w:rsidRDefault="008F028C" w:rsidP="008473E5">
            <w:pPr>
              <w:jc w:val="right"/>
              <w:rPr>
                <w:sz w:val="22"/>
                <w:szCs w:val="22"/>
              </w:rPr>
            </w:pPr>
            <w:r w:rsidRPr="008F028C">
              <w:rPr>
                <w:sz w:val="22"/>
                <w:szCs w:val="22"/>
              </w:rPr>
              <w:t>0.011</w:t>
            </w:r>
          </w:p>
        </w:tc>
        <w:tc>
          <w:tcPr>
            <w:tcW w:w="489" w:type="dxa"/>
            <w:tcBorders>
              <w:top w:val="single" w:sz="2" w:space="0" w:color="000000"/>
              <w:left w:val="nil"/>
              <w:bottom w:val="nil"/>
              <w:right w:val="nil"/>
            </w:tcBorders>
            <w:vAlign w:val="center"/>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(0.013)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7AAC" w:rsidP="008473E5">
            <w:pPr>
              <w:rPr>
                <w:sz w:val="22"/>
                <w:szCs w:val="22"/>
              </w:rPr>
            </w:pPr>
            <w:r>
              <w:rPr>
                <w:sz w:val="22"/>
                <w:szCs w:val="22"/>
              </w:rPr>
              <w:t xml:space="preserve">SMED </w:t>
            </w:r>
            <w:r w:rsidR="008F028C" w:rsidRPr="008F028C">
              <w:rPr>
                <w:sz w:val="22"/>
                <w:szCs w:val="22"/>
              </w:rPr>
              <w:t>helped</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0.100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(0.035)</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Business years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0.002</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 xml:space="preserve">Business </w:t>
            </w:r>
            <w:r w:rsidR="008F028C" w:rsidRPr="008F028C">
              <w:rPr>
                <w:sz w:val="22"/>
                <w:szCs w:val="22"/>
              </w:rPr>
              <w:t>registration</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0.042</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0.039</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0.042</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sidRPr="008F028C">
              <w:rPr>
                <w:sz w:val="22"/>
                <w:szCs w:val="22"/>
              </w:rPr>
              <w:t>E</w:t>
            </w:r>
            <w:r w:rsidR="008F028C" w:rsidRPr="008F028C">
              <w:rPr>
                <w:sz w:val="22"/>
                <w:szCs w:val="22"/>
              </w:rPr>
              <w:t>lectricity</w:t>
            </w:r>
            <w:r>
              <w:rPr>
                <w:sz w:val="22"/>
                <w:szCs w:val="22"/>
              </w:rPr>
              <w:t xml:space="preserve"> </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 xml:space="preserve">Piped </w:t>
            </w:r>
            <w:r w:rsidR="008F028C" w:rsidRPr="008F028C">
              <w:rPr>
                <w:sz w:val="22"/>
                <w:szCs w:val="22"/>
              </w:rPr>
              <w:t>water</w:t>
            </w:r>
            <w:r>
              <w:rPr>
                <w:sz w:val="22"/>
                <w:szCs w:val="22"/>
              </w:rPr>
              <w:t xml:space="preserve"> </w:t>
            </w:r>
            <w:r w:rsidR="008F028C" w:rsidRPr="008F028C">
              <w:rPr>
                <w:sz w:val="22"/>
                <w:szCs w:val="22"/>
              </w:rPr>
              <w:t>access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0.037</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Technology use</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0.021</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0.020</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Total employ</w:t>
            </w:r>
            <w:r w:rsidR="008F028C" w:rsidRPr="008F028C">
              <w:rPr>
                <w:sz w:val="22"/>
                <w:szCs w:val="22"/>
              </w:rPr>
              <w:t>ees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 xml:space="preserve">Business </w:t>
            </w:r>
            <w:r w:rsidR="008F028C" w:rsidRPr="008F028C">
              <w:rPr>
                <w:sz w:val="22"/>
                <w:szCs w:val="22"/>
              </w:rPr>
              <w:t>equipment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 xml:space="preserve">Business </w:t>
            </w:r>
            <w:r w:rsidR="008F028C" w:rsidRPr="008F028C">
              <w:rPr>
                <w:sz w:val="22"/>
                <w:szCs w:val="22"/>
              </w:rPr>
              <w:t>plan</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0.004</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(0.012)</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Technology less phone</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-0.032</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-0.034</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 xml:space="preserve">Business </w:t>
            </w:r>
            <w:r w:rsidR="008F028C" w:rsidRPr="008F028C">
              <w:rPr>
                <w:sz w:val="22"/>
                <w:szCs w:val="22"/>
              </w:rPr>
              <w:t>network</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0.059</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0.058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(0.016)</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 xml:space="preserve">Internet </w:t>
            </w:r>
            <w:r w:rsidR="008F028C" w:rsidRPr="008F028C">
              <w:rPr>
                <w:sz w:val="22"/>
                <w:szCs w:val="22"/>
              </w:rPr>
              <w:t>access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0.036</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A5727A" w:rsidP="008473E5">
            <w:pPr>
              <w:rPr>
                <w:sz w:val="22"/>
                <w:szCs w:val="22"/>
              </w:rPr>
            </w:pPr>
            <w:r>
              <w:rPr>
                <w:sz w:val="22"/>
                <w:szCs w:val="22"/>
              </w:rPr>
              <w:t xml:space="preserve">Keep </w:t>
            </w:r>
            <w:r w:rsidR="008F028C" w:rsidRPr="008F028C">
              <w:rPr>
                <w:sz w:val="22"/>
                <w:szCs w:val="22"/>
              </w:rPr>
              <w:t>financial</w:t>
            </w:r>
            <w:r>
              <w:rPr>
                <w:sz w:val="22"/>
                <w:szCs w:val="22"/>
              </w:rPr>
              <w:t xml:space="preserve"> </w:t>
            </w:r>
            <w:r w:rsidR="008F028C" w:rsidRPr="008F028C">
              <w:rPr>
                <w:sz w:val="22"/>
                <w:szCs w:val="22"/>
              </w:rPr>
              <w:t>records</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0.008</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Credit Access</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Savings</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(0.007)</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Insurance</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0.022</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(0.013)</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Banking</w:t>
            </w: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0.011</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tcPr>
          <w:p w:rsidR="008F028C" w:rsidRPr="008F028C" w:rsidRDefault="008F028C" w:rsidP="008473E5">
            <w:pPr>
              <w:rPr>
                <w:sz w:val="22"/>
                <w:szCs w:val="22"/>
              </w:rPr>
            </w:pP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Intercept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0.073</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0.076</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0.075</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0.074</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0.068</w:t>
            </w:r>
          </w:p>
        </w:tc>
        <w:tc>
          <w:tcPr>
            <w:tcW w:w="489"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w:t>
            </w: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(0.009)</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(0.010)</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vAlign w:val="bottom"/>
            <w:hideMark/>
          </w:tcPr>
          <w:p w:rsidR="008F028C" w:rsidRPr="008F028C" w:rsidRDefault="008F028C" w:rsidP="008473E5">
            <w:pPr>
              <w:rPr>
                <w:sz w:val="22"/>
                <w:szCs w:val="22"/>
              </w:rPr>
            </w:pPr>
            <w:r w:rsidRPr="008F028C">
              <w:rPr>
                <w:sz w:val="22"/>
                <w:szCs w:val="22"/>
              </w:rPr>
              <w:t>var(e.eff_G_1)</w:t>
            </w: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0.025</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0.025</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c>
          <w:tcPr>
            <w:tcW w:w="858" w:type="dxa"/>
            <w:tcBorders>
              <w:top w:val="nil"/>
              <w:left w:val="nil"/>
              <w:bottom w:val="nil"/>
              <w:right w:val="nil"/>
            </w:tcBorders>
            <w:vAlign w:val="bottom"/>
            <w:hideMark/>
          </w:tcPr>
          <w:p w:rsidR="008F028C" w:rsidRPr="008F028C" w:rsidRDefault="008F028C" w:rsidP="008473E5">
            <w:pPr>
              <w:jc w:val="right"/>
              <w:rPr>
                <w:sz w:val="22"/>
                <w:szCs w:val="22"/>
              </w:rPr>
            </w:pPr>
            <w:r w:rsidRPr="008F028C">
              <w:rPr>
                <w:sz w:val="22"/>
                <w:szCs w:val="22"/>
              </w:rPr>
              <w:t>(0.001)</w:t>
            </w:r>
          </w:p>
        </w:tc>
        <w:tc>
          <w:tcPr>
            <w:tcW w:w="489" w:type="dxa"/>
            <w:tcBorders>
              <w:top w:val="nil"/>
              <w:left w:val="nil"/>
              <w:bottom w:val="nil"/>
              <w:right w:val="nil"/>
            </w:tcBorders>
          </w:tcPr>
          <w:p w:rsidR="008F028C" w:rsidRPr="008F028C" w:rsidRDefault="008F028C" w:rsidP="008473E5">
            <w:pPr>
              <w:rPr>
                <w:sz w:val="22"/>
                <w:szCs w:val="22"/>
              </w:rPr>
            </w:pPr>
          </w:p>
        </w:tc>
      </w:tr>
      <w:tr w:rsidR="008F028C" w:rsidRPr="008F028C" w:rsidTr="001F41FC">
        <w:tc>
          <w:tcPr>
            <w:tcW w:w="2625" w:type="dxa"/>
            <w:tcBorders>
              <w:top w:val="nil"/>
              <w:left w:val="nil"/>
              <w:bottom w:val="single" w:sz="2" w:space="0" w:color="000000"/>
              <w:right w:val="nil"/>
            </w:tcBorders>
            <w:vAlign w:val="bottom"/>
            <w:hideMark/>
          </w:tcPr>
          <w:p w:rsidR="008F028C" w:rsidRPr="008F028C" w:rsidRDefault="008F028C" w:rsidP="008473E5">
            <w:pPr>
              <w:rPr>
                <w:sz w:val="22"/>
                <w:szCs w:val="22"/>
              </w:rPr>
            </w:pPr>
            <w:r w:rsidRPr="008F028C">
              <w:rPr>
                <w:sz w:val="22"/>
                <w:szCs w:val="22"/>
              </w:rPr>
              <w:t>Number of observations</w:t>
            </w: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c>
          <w:tcPr>
            <w:tcW w:w="858" w:type="dxa"/>
            <w:tcBorders>
              <w:top w:val="nil"/>
              <w:left w:val="nil"/>
              <w:bottom w:val="single" w:sz="2" w:space="0" w:color="000000"/>
              <w:right w:val="nil"/>
            </w:tcBorders>
            <w:vAlign w:val="bottom"/>
            <w:hideMark/>
          </w:tcPr>
          <w:p w:rsidR="008F028C" w:rsidRPr="008F028C" w:rsidRDefault="008F028C" w:rsidP="008473E5">
            <w:pPr>
              <w:jc w:val="right"/>
              <w:rPr>
                <w:sz w:val="22"/>
                <w:szCs w:val="22"/>
              </w:rPr>
            </w:pPr>
            <w:r w:rsidRPr="008F028C">
              <w:rPr>
                <w:sz w:val="22"/>
                <w:szCs w:val="22"/>
              </w:rPr>
              <w:t>2666</w:t>
            </w:r>
          </w:p>
        </w:tc>
        <w:tc>
          <w:tcPr>
            <w:tcW w:w="489" w:type="dxa"/>
            <w:tcBorders>
              <w:top w:val="nil"/>
              <w:left w:val="nil"/>
              <w:bottom w:val="single" w:sz="2" w:space="0" w:color="000000"/>
              <w:right w:val="nil"/>
            </w:tcBorders>
          </w:tcPr>
          <w:p w:rsidR="008F028C" w:rsidRPr="008F028C" w:rsidRDefault="008F028C" w:rsidP="008473E5">
            <w:pPr>
              <w:rPr>
                <w:sz w:val="22"/>
                <w:szCs w:val="22"/>
              </w:rPr>
            </w:pPr>
          </w:p>
        </w:tc>
      </w:tr>
      <w:tr w:rsidR="008F028C" w:rsidRPr="008F028C" w:rsidTr="008473E5">
        <w:tc>
          <w:tcPr>
            <w:tcW w:w="0" w:type="auto"/>
            <w:gridSpan w:val="11"/>
            <w:tcBorders>
              <w:top w:val="single" w:sz="2" w:space="0" w:color="000000"/>
              <w:left w:val="nil"/>
              <w:bottom w:val="nil"/>
              <w:right w:val="nil"/>
            </w:tcBorders>
            <w:hideMark/>
          </w:tcPr>
          <w:p w:rsidR="008F028C" w:rsidRPr="008F028C" w:rsidRDefault="008F028C" w:rsidP="008473E5">
            <w:pPr>
              <w:rPr>
                <w:sz w:val="22"/>
                <w:szCs w:val="22"/>
              </w:rPr>
            </w:pPr>
            <w:r w:rsidRPr="008F028C">
              <w:rPr>
                <w:sz w:val="22"/>
                <w:szCs w:val="22"/>
              </w:rPr>
              <w:t>** p&lt;.01, * p&lt;.05</w:t>
            </w:r>
          </w:p>
        </w:tc>
      </w:tr>
    </w:tbl>
    <w:p w:rsidR="008F028C" w:rsidRPr="00655944" w:rsidRDefault="008F028C" w:rsidP="008F028C"/>
    <w:p w:rsidR="001D2408" w:rsidRDefault="001D2408" w:rsidP="001D2408">
      <w:pPr>
        <w:rPr>
          <w:b/>
          <w:lang w:val="en-US"/>
        </w:rPr>
      </w:pPr>
    </w:p>
    <w:sectPr w:rsidR="001D2408" w:rsidSect="00525B94">
      <w:pgSz w:w="12240" w:h="15840"/>
      <w:pgMar w:top="1191"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D7" w:rsidRDefault="00DF63D7" w:rsidP="007A20BD">
      <w:r>
        <w:separator/>
      </w:r>
    </w:p>
  </w:endnote>
  <w:endnote w:type="continuationSeparator" w:id="0">
    <w:p w:rsidR="00DF63D7" w:rsidRDefault="00DF63D7" w:rsidP="007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MI10~91">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88896"/>
      <w:docPartObj>
        <w:docPartGallery w:val="Page Numbers (Bottom of Page)"/>
        <w:docPartUnique/>
      </w:docPartObj>
    </w:sdtPr>
    <w:sdtEndPr>
      <w:rPr>
        <w:noProof/>
      </w:rPr>
    </w:sdtEndPr>
    <w:sdtContent>
      <w:p w:rsidR="00853DCA" w:rsidRDefault="00853DCA">
        <w:pPr>
          <w:pStyle w:val="Footer"/>
          <w:jc w:val="center"/>
        </w:pPr>
        <w:r>
          <w:fldChar w:fldCharType="begin"/>
        </w:r>
        <w:r>
          <w:instrText xml:space="preserve"> PAGE   \* MERGEFORMAT </w:instrText>
        </w:r>
        <w:r>
          <w:fldChar w:fldCharType="separate"/>
        </w:r>
        <w:r w:rsidR="005705FD">
          <w:rPr>
            <w:noProof/>
          </w:rPr>
          <w:t>21</w:t>
        </w:r>
        <w:r>
          <w:rPr>
            <w:noProof/>
          </w:rPr>
          <w:fldChar w:fldCharType="end"/>
        </w:r>
      </w:p>
    </w:sdtContent>
  </w:sdt>
  <w:p w:rsidR="00853DCA" w:rsidRDefault="00853D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D7" w:rsidRDefault="00DF63D7" w:rsidP="007A20BD">
      <w:r>
        <w:separator/>
      </w:r>
    </w:p>
  </w:footnote>
  <w:footnote w:type="continuationSeparator" w:id="0">
    <w:p w:rsidR="00DF63D7" w:rsidRDefault="00DF63D7" w:rsidP="007A20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72D"/>
    <w:multiLevelType w:val="hybridMultilevel"/>
    <w:tmpl w:val="2F08CFAC"/>
    <w:lvl w:ilvl="0" w:tplc="495E32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B02F1"/>
    <w:multiLevelType w:val="multilevel"/>
    <w:tmpl w:val="FF98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8657F"/>
    <w:multiLevelType w:val="hybridMultilevel"/>
    <w:tmpl w:val="2440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73F1"/>
    <w:multiLevelType w:val="multilevel"/>
    <w:tmpl w:val="478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E4471"/>
    <w:multiLevelType w:val="multilevel"/>
    <w:tmpl w:val="C0DC4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623E74"/>
    <w:multiLevelType w:val="multilevel"/>
    <w:tmpl w:val="477C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04E12"/>
    <w:multiLevelType w:val="hybridMultilevel"/>
    <w:tmpl w:val="AAA28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D1054"/>
    <w:multiLevelType w:val="multilevel"/>
    <w:tmpl w:val="3D38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B6440"/>
    <w:multiLevelType w:val="hybridMultilevel"/>
    <w:tmpl w:val="754EC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8354B"/>
    <w:multiLevelType w:val="multilevel"/>
    <w:tmpl w:val="97B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0174A"/>
    <w:multiLevelType w:val="multilevel"/>
    <w:tmpl w:val="45C275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3"/>
  </w:num>
  <w:num w:numId="4">
    <w:abstractNumId w:val="6"/>
  </w:num>
  <w:num w:numId="5">
    <w:abstractNumId w:val="0"/>
  </w:num>
  <w:num w:numId="6">
    <w:abstractNumId w:val="7"/>
  </w:num>
  <w:num w:numId="7">
    <w:abstractNumId w:val="4"/>
  </w:num>
  <w:num w:numId="8">
    <w:abstractNumId w:val="9"/>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5D"/>
    <w:rsid w:val="00014C06"/>
    <w:rsid w:val="000165A5"/>
    <w:rsid w:val="000173EE"/>
    <w:rsid w:val="00022C1F"/>
    <w:rsid w:val="00022EEB"/>
    <w:rsid w:val="0002597F"/>
    <w:rsid w:val="00025FD1"/>
    <w:rsid w:val="00032599"/>
    <w:rsid w:val="000326CD"/>
    <w:rsid w:val="0003409C"/>
    <w:rsid w:val="0004597C"/>
    <w:rsid w:val="00061C80"/>
    <w:rsid w:val="00071ABC"/>
    <w:rsid w:val="000761C3"/>
    <w:rsid w:val="00077DCC"/>
    <w:rsid w:val="00082A9F"/>
    <w:rsid w:val="00087567"/>
    <w:rsid w:val="00095523"/>
    <w:rsid w:val="000A6EFE"/>
    <w:rsid w:val="000B263D"/>
    <w:rsid w:val="000B59FE"/>
    <w:rsid w:val="000B6565"/>
    <w:rsid w:val="000C28E7"/>
    <w:rsid w:val="000C3273"/>
    <w:rsid w:val="000C4FB5"/>
    <w:rsid w:val="000C5FC9"/>
    <w:rsid w:val="000C63AD"/>
    <w:rsid w:val="000C7545"/>
    <w:rsid w:val="000D3D2F"/>
    <w:rsid w:val="000E2FC1"/>
    <w:rsid w:val="000E6065"/>
    <w:rsid w:val="000F6BA5"/>
    <w:rsid w:val="000F7BF1"/>
    <w:rsid w:val="00102AAC"/>
    <w:rsid w:val="00110A43"/>
    <w:rsid w:val="001159F5"/>
    <w:rsid w:val="001220F4"/>
    <w:rsid w:val="00123FA0"/>
    <w:rsid w:val="00130A38"/>
    <w:rsid w:val="00133738"/>
    <w:rsid w:val="00137A08"/>
    <w:rsid w:val="0014468D"/>
    <w:rsid w:val="001460A6"/>
    <w:rsid w:val="00150002"/>
    <w:rsid w:val="00152C8E"/>
    <w:rsid w:val="00166A98"/>
    <w:rsid w:val="00177917"/>
    <w:rsid w:val="00194964"/>
    <w:rsid w:val="0019583A"/>
    <w:rsid w:val="001A4AE8"/>
    <w:rsid w:val="001A72C9"/>
    <w:rsid w:val="001B6CD0"/>
    <w:rsid w:val="001C15E9"/>
    <w:rsid w:val="001D2408"/>
    <w:rsid w:val="001D2D55"/>
    <w:rsid w:val="001D3C5D"/>
    <w:rsid w:val="001D492C"/>
    <w:rsid w:val="001D6F46"/>
    <w:rsid w:val="001E3D5B"/>
    <w:rsid w:val="001F1D41"/>
    <w:rsid w:val="001F41FC"/>
    <w:rsid w:val="001F740A"/>
    <w:rsid w:val="00201004"/>
    <w:rsid w:val="002043C3"/>
    <w:rsid w:val="0020605D"/>
    <w:rsid w:val="0021181A"/>
    <w:rsid w:val="00211AE6"/>
    <w:rsid w:val="00212787"/>
    <w:rsid w:val="002137F6"/>
    <w:rsid w:val="0021439B"/>
    <w:rsid w:val="00223807"/>
    <w:rsid w:val="00227764"/>
    <w:rsid w:val="00233650"/>
    <w:rsid w:val="00235DB2"/>
    <w:rsid w:val="00237865"/>
    <w:rsid w:val="002421BE"/>
    <w:rsid w:val="00244927"/>
    <w:rsid w:val="002452B5"/>
    <w:rsid w:val="002509B9"/>
    <w:rsid w:val="0025117D"/>
    <w:rsid w:val="0025292A"/>
    <w:rsid w:val="00252940"/>
    <w:rsid w:val="00253829"/>
    <w:rsid w:val="00256E18"/>
    <w:rsid w:val="0026071E"/>
    <w:rsid w:val="00263ABB"/>
    <w:rsid w:val="0026633A"/>
    <w:rsid w:val="002762EE"/>
    <w:rsid w:val="00276DA9"/>
    <w:rsid w:val="00281702"/>
    <w:rsid w:val="00281980"/>
    <w:rsid w:val="00285263"/>
    <w:rsid w:val="00295044"/>
    <w:rsid w:val="002A1E30"/>
    <w:rsid w:val="002B03F8"/>
    <w:rsid w:val="002B1CC3"/>
    <w:rsid w:val="002B7053"/>
    <w:rsid w:val="002C687D"/>
    <w:rsid w:val="002D0FB1"/>
    <w:rsid w:val="002E2677"/>
    <w:rsid w:val="002E479C"/>
    <w:rsid w:val="002E4FCA"/>
    <w:rsid w:val="002F1F51"/>
    <w:rsid w:val="00301140"/>
    <w:rsid w:val="003138A9"/>
    <w:rsid w:val="00313B08"/>
    <w:rsid w:val="00321926"/>
    <w:rsid w:val="00327B13"/>
    <w:rsid w:val="00344939"/>
    <w:rsid w:val="00352FFB"/>
    <w:rsid w:val="00353598"/>
    <w:rsid w:val="00357D57"/>
    <w:rsid w:val="00361154"/>
    <w:rsid w:val="00362BBE"/>
    <w:rsid w:val="00363161"/>
    <w:rsid w:val="00374957"/>
    <w:rsid w:val="003764F1"/>
    <w:rsid w:val="0038173C"/>
    <w:rsid w:val="003856D4"/>
    <w:rsid w:val="00393114"/>
    <w:rsid w:val="00393CB8"/>
    <w:rsid w:val="003A59C2"/>
    <w:rsid w:val="003A5E91"/>
    <w:rsid w:val="003B102A"/>
    <w:rsid w:val="003C02C4"/>
    <w:rsid w:val="003C2460"/>
    <w:rsid w:val="003C6F8D"/>
    <w:rsid w:val="003D26D6"/>
    <w:rsid w:val="003D31AE"/>
    <w:rsid w:val="003E1F05"/>
    <w:rsid w:val="003E54DB"/>
    <w:rsid w:val="003F044D"/>
    <w:rsid w:val="003F12F1"/>
    <w:rsid w:val="003F6293"/>
    <w:rsid w:val="003F780A"/>
    <w:rsid w:val="00410F1A"/>
    <w:rsid w:val="004120CA"/>
    <w:rsid w:val="00412491"/>
    <w:rsid w:val="00412EC0"/>
    <w:rsid w:val="00415B4B"/>
    <w:rsid w:val="00422B9C"/>
    <w:rsid w:val="004355A1"/>
    <w:rsid w:val="00442FFA"/>
    <w:rsid w:val="00443CF4"/>
    <w:rsid w:val="0045336D"/>
    <w:rsid w:val="004562C9"/>
    <w:rsid w:val="00460327"/>
    <w:rsid w:val="00463A7D"/>
    <w:rsid w:val="00464345"/>
    <w:rsid w:val="00482E9B"/>
    <w:rsid w:val="00483B06"/>
    <w:rsid w:val="004841C8"/>
    <w:rsid w:val="00487873"/>
    <w:rsid w:val="004908C0"/>
    <w:rsid w:val="00492472"/>
    <w:rsid w:val="00492954"/>
    <w:rsid w:val="004934BB"/>
    <w:rsid w:val="004A0374"/>
    <w:rsid w:val="004A28C2"/>
    <w:rsid w:val="004A3B1D"/>
    <w:rsid w:val="004B103B"/>
    <w:rsid w:val="004B431D"/>
    <w:rsid w:val="004B6B97"/>
    <w:rsid w:val="004B74D4"/>
    <w:rsid w:val="004C529E"/>
    <w:rsid w:val="004D1FE0"/>
    <w:rsid w:val="004D7F55"/>
    <w:rsid w:val="004E342D"/>
    <w:rsid w:val="004F275A"/>
    <w:rsid w:val="004F4862"/>
    <w:rsid w:val="004F4E12"/>
    <w:rsid w:val="004F77CD"/>
    <w:rsid w:val="005033DC"/>
    <w:rsid w:val="00504E83"/>
    <w:rsid w:val="00514BC3"/>
    <w:rsid w:val="00522921"/>
    <w:rsid w:val="005237CE"/>
    <w:rsid w:val="00525B94"/>
    <w:rsid w:val="00532943"/>
    <w:rsid w:val="00535AE4"/>
    <w:rsid w:val="00537115"/>
    <w:rsid w:val="00541698"/>
    <w:rsid w:val="0055501A"/>
    <w:rsid w:val="00562744"/>
    <w:rsid w:val="00565757"/>
    <w:rsid w:val="0056692A"/>
    <w:rsid w:val="005705FD"/>
    <w:rsid w:val="005748AF"/>
    <w:rsid w:val="00582085"/>
    <w:rsid w:val="00585E4B"/>
    <w:rsid w:val="00586210"/>
    <w:rsid w:val="00586DBD"/>
    <w:rsid w:val="005918AE"/>
    <w:rsid w:val="00591B30"/>
    <w:rsid w:val="00593BC7"/>
    <w:rsid w:val="00593E42"/>
    <w:rsid w:val="00594EC5"/>
    <w:rsid w:val="005A10B1"/>
    <w:rsid w:val="005A6BF0"/>
    <w:rsid w:val="005B0106"/>
    <w:rsid w:val="005C0C1D"/>
    <w:rsid w:val="005C0F45"/>
    <w:rsid w:val="005C2748"/>
    <w:rsid w:val="005C38F1"/>
    <w:rsid w:val="005C7D2D"/>
    <w:rsid w:val="005F03D7"/>
    <w:rsid w:val="005F1C65"/>
    <w:rsid w:val="005F739A"/>
    <w:rsid w:val="00601945"/>
    <w:rsid w:val="00602491"/>
    <w:rsid w:val="00610305"/>
    <w:rsid w:val="0061045E"/>
    <w:rsid w:val="00617E2A"/>
    <w:rsid w:val="0062099D"/>
    <w:rsid w:val="00636041"/>
    <w:rsid w:val="006371AF"/>
    <w:rsid w:val="00643C4D"/>
    <w:rsid w:val="006444F8"/>
    <w:rsid w:val="00644CDB"/>
    <w:rsid w:val="00644E1F"/>
    <w:rsid w:val="00644E7D"/>
    <w:rsid w:val="00652213"/>
    <w:rsid w:val="00656A4A"/>
    <w:rsid w:val="00657374"/>
    <w:rsid w:val="00660BEB"/>
    <w:rsid w:val="0067274E"/>
    <w:rsid w:val="00676474"/>
    <w:rsid w:val="00683E51"/>
    <w:rsid w:val="006918EF"/>
    <w:rsid w:val="0069205F"/>
    <w:rsid w:val="006926C5"/>
    <w:rsid w:val="00694E66"/>
    <w:rsid w:val="00695101"/>
    <w:rsid w:val="00695DFC"/>
    <w:rsid w:val="006A1204"/>
    <w:rsid w:val="006A4D7D"/>
    <w:rsid w:val="006A694D"/>
    <w:rsid w:val="006B03B5"/>
    <w:rsid w:val="006B329C"/>
    <w:rsid w:val="006B4B65"/>
    <w:rsid w:val="006B761F"/>
    <w:rsid w:val="006C51DB"/>
    <w:rsid w:val="006C79E6"/>
    <w:rsid w:val="006C7ADE"/>
    <w:rsid w:val="006D15F2"/>
    <w:rsid w:val="006E08E9"/>
    <w:rsid w:val="006E2EC4"/>
    <w:rsid w:val="006E78FF"/>
    <w:rsid w:val="006F6FF7"/>
    <w:rsid w:val="0070732A"/>
    <w:rsid w:val="00711612"/>
    <w:rsid w:val="00725D5E"/>
    <w:rsid w:val="00735951"/>
    <w:rsid w:val="00740DA1"/>
    <w:rsid w:val="007438CC"/>
    <w:rsid w:val="0074612B"/>
    <w:rsid w:val="00746807"/>
    <w:rsid w:val="00746D97"/>
    <w:rsid w:val="00747AC3"/>
    <w:rsid w:val="00750F56"/>
    <w:rsid w:val="0075172C"/>
    <w:rsid w:val="00753F04"/>
    <w:rsid w:val="007627AE"/>
    <w:rsid w:val="00767D12"/>
    <w:rsid w:val="007746DE"/>
    <w:rsid w:val="00777936"/>
    <w:rsid w:val="00777E22"/>
    <w:rsid w:val="0078091B"/>
    <w:rsid w:val="0078163D"/>
    <w:rsid w:val="007827E5"/>
    <w:rsid w:val="0078304B"/>
    <w:rsid w:val="00792BE7"/>
    <w:rsid w:val="00792FA8"/>
    <w:rsid w:val="00793B66"/>
    <w:rsid w:val="00794A95"/>
    <w:rsid w:val="007A1711"/>
    <w:rsid w:val="007A20BD"/>
    <w:rsid w:val="007A33E4"/>
    <w:rsid w:val="007A4B41"/>
    <w:rsid w:val="007A71F6"/>
    <w:rsid w:val="007B0130"/>
    <w:rsid w:val="007B5ED2"/>
    <w:rsid w:val="007B7F52"/>
    <w:rsid w:val="007C516E"/>
    <w:rsid w:val="007C63A5"/>
    <w:rsid w:val="007C6620"/>
    <w:rsid w:val="007D2A9F"/>
    <w:rsid w:val="007D6C82"/>
    <w:rsid w:val="007E2E8E"/>
    <w:rsid w:val="007F3AEB"/>
    <w:rsid w:val="00800510"/>
    <w:rsid w:val="008035F8"/>
    <w:rsid w:val="00805CBF"/>
    <w:rsid w:val="008068F8"/>
    <w:rsid w:val="00807A4E"/>
    <w:rsid w:val="00807DB6"/>
    <w:rsid w:val="00812842"/>
    <w:rsid w:val="00813B35"/>
    <w:rsid w:val="00825008"/>
    <w:rsid w:val="008267AA"/>
    <w:rsid w:val="00831E89"/>
    <w:rsid w:val="00836A1E"/>
    <w:rsid w:val="00836AB8"/>
    <w:rsid w:val="008417A7"/>
    <w:rsid w:val="00844396"/>
    <w:rsid w:val="008473E5"/>
    <w:rsid w:val="0085317A"/>
    <w:rsid w:val="00853DCA"/>
    <w:rsid w:val="0085508D"/>
    <w:rsid w:val="00857E6A"/>
    <w:rsid w:val="00862C08"/>
    <w:rsid w:val="00865467"/>
    <w:rsid w:val="00865620"/>
    <w:rsid w:val="00874E9B"/>
    <w:rsid w:val="00877B6E"/>
    <w:rsid w:val="00877EF6"/>
    <w:rsid w:val="008834CC"/>
    <w:rsid w:val="008926F3"/>
    <w:rsid w:val="00894A63"/>
    <w:rsid w:val="008A77CF"/>
    <w:rsid w:val="008B20EB"/>
    <w:rsid w:val="008C0C29"/>
    <w:rsid w:val="008C1465"/>
    <w:rsid w:val="008C61E7"/>
    <w:rsid w:val="008D6C93"/>
    <w:rsid w:val="008E7096"/>
    <w:rsid w:val="008F028C"/>
    <w:rsid w:val="008F3780"/>
    <w:rsid w:val="008F7AAC"/>
    <w:rsid w:val="009006CC"/>
    <w:rsid w:val="00900AF0"/>
    <w:rsid w:val="0090289B"/>
    <w:rsid w:val="00905BDF"/>
    <w:rsid w:val="00924B75"/>
    <w:rsid w:val="00926685"/>
    <w:rsid w:val="0093275E"/>
    <w:rsid w:val="00945861"/>
    <w:rsid w:val="00946980"/>
    <w:rsid w:val="00952EAF"/>
    <w:rsid w:val="009531B0"/>
    <w:rsid w:val="00960E45"/>
    <w:rsid w:val="0096234C"/>
    <w:rsid w:val="00963CB1"/>
    <w:rsid w:val="00970B7D"/>
    <w:rsid w:val="00970BEB"/>
    <w:rsid w:val="00971C00"/>
    <w:rsid w:val="00972374"/>
    <w:rsid w:val="00974B86"/>
    <w:rsid w:val="00985A47"/>
    <w:rsid w:val="00991B04"/>
    <w:rsid w:val="00992C61"/>
    <w:rsid w:val="00994747"/>
    <w:rsid w:val="009974C2"/>
    <w:rsid w:val="009A1C98"/>
    <w:rsid w:val="009A37DE"/>
    <w:rsid w:val="009A71EB"/>
    <w:rsid w:val="009A7206"/>
    <w:rsid w:val="009B0334"/>
    <w:rsid w:val="009B188A"/>
    <w:rsid w:val="009D063A"/>
    <w:rsid w:val="009D2230"/>
    <w:rsid w:val="009D4A1C"/>
    <w:rsid w:val="009E33E6"/>
    <w:rsid w:val="009E45FB"/>
    <w:rsid w:val="009E58B9"/>
    <w:rsid w:val="009F58A1"/>
    <w:rsid w:val="00A03DA2"/>
    <w:rsid w:val="00A076F7"/>
    <w:rsid w:val="00A12F16"/>
    <w:rsid w:val="00A153ED"/>
    <w:rsid w:val="00A16F02"/>
    <w:rsid w:val="00A31C1D"/>
    <w:rsid w:val="00A331BC"/>
    <w:rsid w:val="00A5120C"/>
    <w:rsid w:val="00A5363B"/>
    <w:rsid w:val="00A5539A"/>
    <w:rsid w:val="00A5727A"/>
    <w:rsid w:val="00A6484D"/>
    <w:rsid w:val="00A67B00"/>
    <w:rsid w:val="00A83B2F"/>
    <w:rsid w:val="00A86518"/>
    <w:rsid w:val="00AB2211"/>
    <w:rsid w:val="00AB3341"/>
    <w:rsid w:val="00AB5DAA"/>
    <w:rsid w:val="00AB7296"/>
    <w:rsid w:val="00AC2D7C"/>
    <w:rsid w:val="00AC6548"/>
    <w:rsid w:val="00AC7CBC"/>
    <w:rsid w:val="00AD3A46"/>
    <w:rsid w:val="00AD5B1E"/>
    <w:rsid w:val="00AE75F8"/>
    <w:rsid w:val="00AF176C"/>
    <w:rsid w:val="00AF46E0"/>
    <w:rsid w:val="00AF642F"/>
    <w:rsid w:val="00B02609"/>
    <w:rsid w:val="00B0289A"/>
    <w:rsid w:val="00B1106C"/>
    <w:rsid w:val="00B148CB"/>
    <w:rsid w:val="00B2025D"/>
    <w:rsid w:val="00B22D40"/>
    <w:rsid w:val="00B2348F"/>
    <w:rsid w:val="00B248B5"/>
    <w:rsid w:val="00B249D0"/>
    <w:rsid w:val="00B3087E"/>
    <w:rsid w:val="00B319D7"/>
    <w:rsid w:val="00B32EA2"/>
    <w:rsid w:val="00B43952"/>
    <w:rsid w:val="00B51692"/>
    <w:rsid w:val="00B51D6D"/>
    <w:rsid w:val="00B56F36"/>
    <w:rsid w:val="00B609A5"/>
    <w:rsid w:val="00B6133C"/>
    <w:rsid w:val="00B65DB3"/>
    <w:rsid w:val="00B70CCA"/>
    <w:rsid w:val="00B72853"/>
    <w:rsid w:val="00B7686E"/>
    <w:rsid w:val="00B833C2"/>
    <w:rsid w:val="00BA17B2"/>
    <w:rsid w:val="00BA5420"/>
    <w:rsid w:val="00BB00CB"/>
    <w:rsid w:val="00BB0A3E"/>
    <w:rsid w:val="00BB3608"/>
    <w:rsid w:val="00BB3BF5"/>
    <w:rsid w:val="00BB4F25"/>
    <w:rsid w:val="00BC3311"/>
    <w:rsid w:val="00BD0F84"/>
    <w:rsid w:val="00BD63CB"/>
    <w:rsid w:val="00BE099C"/>
    <w:rsid w:val="00BE42BA"/>
    <w:rsid w:val="00BE52C3"/>
    <w:rsid w:val="00C01D32"/>
    <w:rsid w:val="00C04D5E"/>
    <w:rsid w:val="00C16F55"/>
    <w:rsid w:val="00C2112A"/>
    <w:rsid w:val="00C21622"/>
    <w:rsid w:val="00C23FC6"/>
    <w:rsid w:val="00C2456B"/>
    <w:rsid w:val="00C250A1"/>
    <w:rsid w:val="00C30145"/>
    <w:rsid w:val="00C3284E"/>
    <w:rsid w:val="00C334EE"/>
    <w:rsid w:val="00C40C91"/>
    <w:rsid w:val="00C41BD9"/>
    <w:rsid w:val="00C44FEF"/>
    <w:rsid w:val="00C459E3"/>
    <w:rsid w:val="00C52128"/>
    <w:rsid w:val="00C53594"/>
    <w:rsid w:val="00C6182C"/>
    <w:rsid w:val="00C6192B"/>
    <w:rsid w:val="00C649D9"/>
    <w:rsid w:val="00C654AF"/>
    <w:rsid w:val="00C66B6B"/>
    <w:rsid w:val="00C7085D"/>
    <w:rsid w:val="00C71B9E"/>
    <w:rsid w:val="00C82F1B"/>
    <w:rsid w:val="00C8566F"/>
    <w:rsid w:val="00C928D0"/>
    <w:rsid w:val="00C92E8F"/>
    <w:rsid w:val="00C9693E"/>
    <w:rsid w:val="00C977FF"/>
    <w:rsid w:val="00CC7756"/>
    <w:rsid w:val="00CE340F"/>
    <w:rsid w:val="00CE412E"/>
    <w:rsid w:val="00CF06B7"/>
    <w:rsid w:val="00CF3FF6"/>
    <w:rsid w:val="00D0164C"/>
    <w:rsid w:val="00D102E6"/>
    <w:rsid w:val="00D114C6"/>
    <w:rsid w:val="00D12E6B"/>
    <w:rsid w:val="00D158EB"/>
    <w:rsid w:val="00D17D40"/>
    <w:rsid w:val="00D220C3"/>
    <w:rsid w:val="00D27D75"/>
    <w:rsid w:val="00D3390C"/>
    <w:rsid w:val="00D34562"/>
    <w:rsid w:val="00D34FA8"/>
    <w:rsid w:val="00D64021"/>
    <w:rsid w:val="00D6771E"/>
    <w:rsid w:val="00D7397F"/>
    <w:rsid w:val="00D753CB"/>
    <w:rsid w:val="00D84862"/>
    <w:rsid w:val="00D860A5"/>
    <w:rsid w:val="00D950EC"/>
    <w:rsid w:val="00D97632"/>
    <w:rsid w:val="00DA2EA1"/>
    <w:rsid w:val="00DA48CD"/>
    <w:rsid w:val="00DA4975"/>
    <w:rsid w:val="00DB12B3"/>
    <w:rsid w:val="00DB24F6"/>
    <w:rsid w:val="00DB4D81"/>
    <w:rsid w:val="00DC158C"/>
    <w:rsid w:val="00DD1B34"/>
    <w:rsid w:val="00DD39B3"/>
    <w:rsid w:val="00DD3AA9"/>
    <w:rsid w:val="00DE1057"/>
    <w:rsid w:val="00DE6A55"/>
    <w:rsid w:val="00DF0B39"/>
    <w:rsid w:val="00DF4934"/>
    <w:rsid w:val="00DF50D2"/>
    <w:rsid w:val="00DF63D7"/>
    <w:rsid w:val="00E02A12"/>
    <w:rsid w:val="00E042DC"/>
    <w:rsid w:val="00E151F1"/>
    <w:rsid w:val="00E201C8"/>
    <w:rsid w:val="00E2513F"/>
    <w:rsid w:val="00E4212E"/>
    <w:rsid w:val="00E46C01"/>
    <w:rsid w:val="00E47C12"/>
    <w:rsid w:val="00E57B01"/>
    <w:rsid w:val="00E61EF4"/>
    <w:rsid w:val="00E6306A"/>
    <w:rsid w:val="00E65BFC"/>
    <w:rsid w:val="00E66DA0"/>
    <w:rsid w:val="00E672BE"/>
    <w:rsid w:val="00E7509A"/>
    <w:rsid w:val="00E80D39"/>
    <w:rsid w:val="00E823DC"/>
    <w:rsid w:val="00E90950"/>
    <w:rsid w:val="00E90F10"/>
    <w:rsid w:val="00E9386E"/>
    <w:rsid w:val="00E93ADE"/>
    <w:rsid w:val="00E97D92"/>
    <w:rsid w:val="00E97DD9"/>
    <w:rsid w:val="00EA0B56"/>
    <w:rsid w:val="00EB4956"/>
    <w:rsid w:val="00EC14FE"/>
    <w:rsid w:val="00EC18C2"/>
    <w:rsid w:val="00EC1A84"/>
    <w:rsid w:val="00EC52C2"/>
    <w:rsid w:val="00EC5EDA"/>
    <w:rsid w:val="00ED1262"/>
    <w:rsid w:val="00ED1F7C"/>
    <w:rsid w:val="00ED2E96"/>
    <w:rsid w:val="00EE0753"/>
    <w:rsid w:val="00EE2145"/>
    <w:rsid w:val="00EE2564"/>
    <w:rsid w:val="00EE43EB"/>
    <w:rsid w:val="00EE4AAE"/>
    <w:rsid w:val="00EF7ADB"/>
    <w:rsid w:val="00F04B32"/>
    <w:rsid w:val="00F0679E"/>
    <w:rsid w:val="00F166BF"/>
    <w:rsid w:val="00F16EEF"/>
    <w:rsid w:val="00F17D5C"/>
    <w:rsid w:val="00F21C00"/>
    <w:rsid w:val="00F2264B"/>
    <w:rsid w:val="00F23852"/>
    <w:rsid w:val="00F24842"/>
    <w:rsid w:val="00F26964"/>
    <w:rsid w:val="00F304AC"/>
    <w:rsid w:val="00F3554D"/>
    <w:rsid w:val="00F42018"/>
    <w:rsid w:val="00F439FD"/>
    <w:rsid w:val="00F56CFD"/>
    <w:rsid w:val="00F57A43"/>
    <w:rsid w:val="00F62160"/>
    <w:rsid w:val="00F63EFE"/>
    <w:rsid w:val="00F655C8"/>
    <w:rsid w:val="00F74C40"/>
    <w:rsid w:val="00F76750"/>
    <w:rsid w:val="00F8160B"/>
    <w:rsid w:val="00F818B4"/>
    <w:rsid w:val="00F85BEF"/>
    <w:rsid w:val="00F86B77"/>
    <w:rsid w:val="00F910CA"/>
    <w:rsid w:val="00F92527"/>
    <w:rsid w:val="00F95E03"/>
    <w:rsid w:val="00FA2412"/>
    <w:rsid w:val="00FA4DAA"/>
    <w:rsid w:val="00FA63BA"/>
    <w:rsid w:val="00FB0A6C"/>
    <w:rsid w:val="00FB1838"/>
    <w:rsid w:val="00FB369A"/>
    <w:rsid w:val="00FB3BAB"/>
    <w:rsid w:val="00FB74BF"/>
    <w:rsid w:val="00FB7B41"/>
    <w:rsid w:val="00FC1BD7"/>
    <w:rsid w:val="00FC2214"/>
    <w:rsid w:val="00FC293E"/>
    <w:rsid w:val="00FC3460"/>
    <w:rsid w:val="00FD0230"/>
    <w:rsid w:val="00FE45E9"/>
    <w:rsid w:val="00FE4AF4"/>
    <w:rsid w:val="00FE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D253C"/>
  <w15:chartTrackingRefBased/>
  <w15:docId w15:val="{6E928E94-06F9-4C19-A7C6-A2EA1F40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5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8267A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1B6CD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C5D"/>
    <w:rPr>
      <w:color w:val="0000FF"/>
      <w:u w:val="single"/>
    </w:rPr>
  </w:style>
  <w:style w:type="paragraph" w:customStyle="1" w:styleId="paragraph">
    <w:name w:val="paragraph"/>
    <w:basedOn w:val="Normal"/>
    <w:rsid w:val="001460A6"/>
    <w:pPr>
      <w:spacing w:before="100" w:beforeAutospacing="1" w:after="100" w:afterAutospacing="1"/>
    </w:pPr>
  </w:style>
  <w:style w:type="character" w:customStyle="1" w:styleId="citation">
    <w:name w:val="citation"/>
    <w:basedOn w:val="DefaultParagraphFont"/>
    <w:rsid w:val="001460A6"/>
  </w:style>
  <w:style w:type="character" w:customStyle="1" w:styleId="citation-link">
    <w:name w:val="citation-link"/>
    <w:basedOn w:val="DefaultParagraphFont"/>
    <w:rsid w:val="001460A6"/>
  </w:style>
  <w:style w:type="paragraph" w:styleId="Header">
    <w:name w:val="header"/>
    <w:basedOn w:val="Normal"/>
    <w:link w:val="HeaderChar"/>
    <w:uiPriority w:val="99"/>
    <w:unhideWhenUsed/>
    <w:rsid w:val="007A20BD"/>
    <w:pPr>
      <w:tabs>
        <w:tab w:val="center" w:pos="4680"/>
        <w:tab w:val="right" w:pos="9360"/>
      </w:tabs>
    </w:pPr>
  </w:style>
  <w:style w:type="character" w:customStyle="1" w:styleId="HeaderChar">
    <w:name w:val="Header Char"/>
    <w:basedOn w:val="DefaultParagraphFont"/>
    <w:link w:val="Header"/>
    <w:uiPriority w:val="99"/>
    <w:rsid w:val="007A20BD"/>
  </w:style>
  <w:style w:type="paragraph" w:styleId="Footer">
    <w:name w:val="footer"/>
    <w:basedOn w:val="Normal"/>
    <w:link w:val="FooterChar"/>
    <w:uiPriority w:val="99"/>
    <w:unhideWhenUsed/>
    <w:rsid w:val="007A20BD"/>
    <w:pPr>
      <w:tabs>
        <w:tab w:val="center" w:pos="4680"/>
        <w:tab w:val="right" w:pos="9360"/>
      </w:tabs>
    </w:pPr>
  </w:style>
  <w:style w:type="character" w:customStyle="1" w:styleId="FooterChar">
    <w:name w:val="Footer Char"/>
    <w:basedOn w:val="DefaultParagraphFont"/>
    <w:link w:val="Footer"/>
    <w:uiPriority w:val="99"/>
    <w:rsid w:val="007A20BD"/>
  </w:style>
  <w:style w:type="character" w:customStyle="1" w:styleId="Heading4Char">
    <w:name w:val="Heading 4 Char"/>
    <w:basedOn w:val="DefaultParagraphFont"/>
    <w:link w:val="Heading4"/>
    <w:uiPriority w:val="9"/>
    <w:rsid w:val="001B6CD0"/>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B6CD0"/>
    <w:pPr>
      <w:spacing w:before="100" w:beforeAutospacing="1" w:after="100" w:afterAutospacing="1"/>
    </w:pPr>
  </w:style>
  <w:style w:type="character" w:styleId="Strong">
    <w:name w:val="Strong"/>
    <w:basedOn w:val="DefaultParagraphFont"/>
    <w:uiPriority w:val="22"/>
    <w:qFormat/>
    <w:rsid w:val="001B6CD0"/>
    <w:rPr>
      <w:b/>
      <w:bCs/>
    </w:rPr>
  </w:style>
  <w:style w:type="paragraph" w:styleId="ListParagraph">
    <w:name w:val="List Paragraph"/>
    <w:basedOn w:val="Normal"/>
    <w:uiPriority w:val="34"/>
    <w:qFormat/>
    <w:rsid w:val="00CE340F"/>
    <w:pPr>
      <w:ind w:left="720"/>
      <w:contextualSpacing/>
    </w:pPr>
  </w:style>
  <w:style w:type="character" w:customStyle="1" w:styleId="uv3um">
    <w:name w:val="uv3um"/>
    <w:basedOn w:val="DefaultParagraphFont"/>
    <w:rsid w:val="00DF50D2"/>
  </w:style>
  <w:style w:type="character" w:customStyle="1" w:styleId="Heading3Char">
    <w:name w:val="Heading 3 Char"/>
    <w:basedOn w:val="DefaultParagraphFont"/>
    <w:link w:val="Heading3"/>
    <w:uiPriority w:val="9"/>
    <w:rsid w:val="008267AA"/>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2509B9"/>
  </w:style>
  <w:style w:type="character" w:customStyle="1" w:styleId="mord">
    <w:name w:val="mord"/>
    <w:basedOn w:val="DefaultParagraphFont"/>
    <w:rsid w:val="002509B9"/>
  </w:style>
  <w:style w:type="character" w:customStyle="1" w:styleId="vlist-s">
    <w:name w:val="vlist-s"/>
    <w:basedOn w:val="DefaultParagraphFont"/>
    <w:rsid w:val="002509B9"/>
  </w:style>
  <w:style w:type="character" w:customStyle="1" w:styleId="mrel">
    <w:name w:val="mrel"/>
    <w:basedOn w:val="DefaultParagraphFont"/>
    <w:rsid w:val="002509B9"/>
  </w:style>
  <w:style w:type="character" w:customStyle="1" w:styleId="mbin">
    <w:name w:val="mbin"/>
    <w:basedOn w:val="DefaultParagraphFont"/>
    <w:rsid w:val="002509B9"/>
  </w:style>
  <w:style w:type="character" w:customStyle="1" w:styleId="mopen">
    <w:name w:val="mopen"/>
    <w:basedOn w:val="DefaultParagraphFont"/>
    <w:rsid w:val="002509B9"/>
  </w:style>
  <w:style w:type="character" w:customStyle="1" w:styleId="mclose">
    <w:name w:val="mclose"/>
    <w:basedOn w:val="DefaultParagraphFont"/>
    <w:rsid w:val="002509B9"/>
  </w:style>
  <w:style w:type="character" w:styleId="PlaceholderText">
    <w:name w:val="Placeholder Text"/>
    <w:basedOn w:val="DefaultParagraphFont"/>
    <w:uiPriority w:val="99"/>
    <w:semiHidden/>
    <w:rsid w:val="002509B9"/>
    <w:rPr>
      <w:color w:val="808080"/>
    </w:rPr>
  </w:style>
  <w:style w:type="table" w:styleId="TableGrid">
    <w:name w:val="Table Grid"/>
    <w:basedOn w:val="TableNormal"/>
    <w:uiPriority w:val="99"/>
    <w:unhideWhenUsed/>
    <w:rsid w:val="008D6C93"/>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77936"/>
    <w:rPr>
      <w:i/>
      <w:iCs/>
    </w:rPr>
  </w:style>
  <w:style w:type="paragraph" w:styleId="FootnoteText">
    <w:name w:val="footnote text"/>
    <w:basedOn w:val="Normal"/>
    <w:link w:val="FootnoteTextChar"/>
    <w:uiPriority w:val="99"/>
    <w:semiHidden/>
    <w:unhideWhenUsed/>
    <w:rsid w:val="005C0F45"/>
    <w:rPr>
      <w:sz w:val="20"/>
      <w:szCs w:val="20"/>
    </w:rPr>
  </w:style>
  <w:style w:type="character" w:customStyle="1" w:styleId="FootnoteTextChar">
    <w:name w:val="Footnote Text Char"/>
    <w:basedOn w:val="DefaultParagraphFont"/>
    <w:link w:val="FootnoteText"/>
    <w:uiPriority w:val="99"/>
    <w:semiHidden/>
    <w:rsid w:val="005C0F4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C0F45"/>
    <w:rPr>
      <w:vertAlign w:val="superscript"/>
    </w:rPr>
  </w:style>
  <w:style w:type="paragraph" w:styleId="Bibliography">
    <w:name w:val="Bibliography"/>
    <w:basedOn w:val="Normal"/>
    <w:next w:val="Normal"/>
    <w:uiPriority w:val="37"/>
    <w:semiHidden/>
    <w:unhideWhenUsed/>
    <w:rsid w:val="005C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60">
      <w:bodyDiv w:val="1"/>
      <w:marLeft w:val="0"/>
      <w:marRight w:val="0"/>
      <w:marTop w:val="0"/>
      <w:marBottom w:val="0"/>
      <w:divBdr>
        <w:top w:val="none" w:sz="0" w:space="0" w:color="auto"/>
        <w:left w:val="none" w:sz="0" w:space="0" w:color="auto"/>
        <w:bottom w:val="none" w:sz="0" w:space="0" w:color="auto"/>
        <w:right w:val="none" w:sz="0" w:space="0" w:color="auto"/>
      </w:divBdr>
    </w:div>
    <w:div w:id="39523654">
      <w:bodyDiv w:val="1"/>
      <w:marLeft w:val="0"/>
      <w:marRight w:val="0"/>
      <w:marTop w:val="0"/>
      <w:marBottom w:val="0"/>
      <w:divBdr>
        <w:top w:val="none" w:sz="0" w:space="0" w:color="auto"/>
        <w:left w:val="none" w:sz="0" w:space="0" w:color="auto"/>
        <w:bottom w:val="none" w:sz="0" w:space="0" w:color="auto"/>
        <w:right w:val="none" w:sz="0" w:space="0" w:color="auto"/>
      </w:divBdr>
    </w:div>
    <w:div w:id="121655148">
      <w:bodyDiv w:val="1"/>
      <w:marLeft w:val="0"/>
      <w:marRight w:val="0"/>
      <w:marTop w:val="0"/>
      <w:marBottom w:val="0"/>
      <w:divBdr>
        <w:top w:val="none" w:sz="0" w:space="0" w:color="auto"/>
        <w:left w:val="none" w:sz="0" w:space="0" w:color="auto"/>
        <w:bottom w:val="none" w:sz="0" w:space="0" w:color="auto"/>
        <w:right w:val="none" w:sz="0" w:space="0" w:color="auto"/>
      </w:divBdr>
    </w:div>
    <w:div w:id="360787284">
      <w:bodyDiv w:val="1"/>
      <w:marLeft w:val="0"/>
      <w:marRight w:val="0"/>
      <w:marTop w:val="0"/>
      <w:marBottom w:val="0"/>
      <w:divBdr>
        <w:top w:val="none" w:sz="0" w:space="0" w:color="auto"/>
        <w:left w:val="none" w:sz="0" w:space="0" w:color="auto"/>
        <w:bottom w:val="none" w:sz="0" w:space="0" w:color="auto"/>
        <w:right w:val="none" w:sz="0" w:space="0" w:color="auto"/>
      </w:divBdr>
      <w:divsChild>
        <w:div w:id="1886990557">
          <w:marLeft w:val="0"/>
          <w:marRight w:val="0"/>
          <w:marTop w:val="0"/>
          <w:marBottom w:val="0"/>
          <w:divBdr>
            <w:top w:val="none" w:sz="0" w:space="0" w:color="auto"/>
            <w:left w:val="none" w:sz="0" w:space="0" w:color="auto"/>
            <w:bottom w:val="none" w:sz="0" w:space="0" w:color="auto"/>
            <w:right w:val="none" w:sz="0" w:space="0" w:color="auto"/>
          </w:divBdr>
        </w:div>
      </w:divsChild>
    </w:div>
    <w:div w:id="390034351">
      <w:bodyDiv w:val="1"/>
      <w:marLeft w:val="0"/>
      <w:marRight w:val="0"/>
      <w:marTop w:val="0"/>
      <w:marBottom w:val="0"/>
      <w:divBdr>
        <w:top w:val="none" w:sz="0" w:space="0" w:color="auto"/>
        <w:left w:val="none" w:sz="0" w:space="0" w:color="auto"/>
        <w:bottom w:val="none" w:sz="0" w:space="0" w:color="auto"/>
        <w:right w:val="none" w:sz="0" w:space="0" w:color="auto"/>
      </w:divBdr>
    </w:div>
    <w:div w:id="425617630">
      <w:bodyDiv w:val="1"/>
      <w:marLeft w:val="0"/>
      <w:marRight w:val="0"/>
      <w:marTop w:val="0"/>
      <w:marBottom w:val="0"/>
      <w:divBdr>
        <w:top w:val="none" w:sz="0" w:space="0" w:color="auto"/>
        <w:left w:val="none" w:sz="0" w:space="0" w:color="auto"/>
        <w:bottom w:val="none" w:sz="0" w:space="0" w:color="auto"/>
        <w:right w:val="none" w:sz="0" w:space="0" w:color="auto"/>
      </w:divBdr>
    </w:div>
    <w:div w:id="485823813">
      <w:bodyDiv w:val="1"/>
      <w:marLeft w:val="0"/>
      <w:marRight w:val="0"/>
      <w:marTop w:val="0"/>
      <w:marBottom w:val="0"/>
      <w:divBdr>
        <w:top w:val="none" w:sz="0" w:space="0" w:color="auto"/>
        <w:left w:val="none" w:sz="0" w:space="0" w:color="auto"/>
        <w:bottom w:val="none" w:sz="0" w:space="0" w:color="auto"/>
        <w:right w:val="none" w:sz="0" w:space="0" w:color="auto"/>
      </w:divBdr>
    </w:div>
    <w:div w:id="628442163">
      <w:bodyDiv w:val="1"/>
      <w:marLeft w:val="0"/>
      <w:marRight w:val="0"/>
      <w:marTop w:val="0"/>
      <w:marBottom w:val="0"/>
      <w:divBdr>
        <w:top w:val="none" w:sz="0" w:space="0" w:color="auto"/>
        <w:left w:val="none" w:sz="0" w:space="0" w:color="auto"/>
        <w:bottom w:val="none" w:sz="0" w:space="0" w:color="auto"/>
        <w:right w:val="none" w:sz="0" w:space="0" w:color="auto"/>
      </w:divBdr>
    </w:div>
    <w:div w:id="645552878">
      <w:bodyDiv w:val="1"/>
      <w:marLeft w:val="0"/>
      <w:marRight w:val="0"/>
      <w:marTop w:val="0"/>
      <w:marBottom w:val="0"/>
      <w:divBdr>
        <w:top w:val="none" w:sz="0" w:space="0" w:color="auto"/>
        <w:left w:val="none" w:sz="0" w:space="0" w:color="auto"/>
        <w:bottom w:val="none" w:sz="0" w:space="0" w:color="auto"/>
        <w:right w:val="none" w:sz="0" w:space="0" w:color="auto"/>
      </w:divBdr>
    </w:div>
    <w:div w:id="661743388">
      <w:bodyDiv w:val="1"/>
      <w:marLeft w:val="0"/>
      <w:marRight w:val="0"/>
      <w:marTop w:val="0"/>
      <w:marBottom w:val="0"/>
      <w:divBdr>
        <w:top w:val="none" w:sz="0" w:space="0" w:color="auto"/>
        <w:left w:val="none" w:sz="0" w:space="0" w:color="auto"/>
        <w:bottom w:val="none" w:sz="0" w:space="0" w:color="auto"/>
        <w:right w:val="none" w:sz="0" w:space="0" w:color="auto"/>
      </w:divBdr>
    </w:div>
    <w:div w:id="760834264">
      <w:bodyDiv w:val="1"/>
      <w:marLeft w:val="0"/>
      <w:marRight w:val="0"/>
      <w:marTop w:val="0"/>
      <w:marBottom w:val="0"/>
      <w:divBdr>
        <w:top w:val="none" w:sz="0" w:space="0" w:color="auto"/>
        <w:left w:val="none" w:sz="0" w:space="0" w:color="auto"/>
        <w:bottom w:val="none" w:sz="0" w:space="0" w:color="auto"/>
        <w:right w:val="none" w:sz="0" w:space="0" w:color="auto"/>
      </w:divBdr>
    </w:div>
    <w:div w:id="903837738">
      <w:bodyDiv w:val="1"/>
      <w:marLeft w:val="0"/>
      <w:marRight w:val="0"/>
      <w:marTop w:val="0"/>
      <w:marBottom w:val="0"/>
      <w:divBdr>
        <w:top w:val="none" w:sz="0" w:space="0" w:color="auto"/>
        <w:left w:val="none" w:sz="0" w:space="0" w:color="auto"/>
        <w:bottom w:val="none" w:sz="0" w:space="0" w:color="auto"/>
        <w:right w:val="none" w:sz="0" w:space="0" w:color="auto"/>
      </w:divBdr>
    </w:div>
    <w:div w:id="985889346">
      <w:bodyDiv w:val="1"/>
      <w:marLeft w:val="0"/>
      <w:marRight w:val="0"/>
      <w:marTop w:val="0"/>
      <w:marBottom w:val="0"/>
      <w:divBdr>
        <w:top w:val="none" w:sz="0" w:space="0" w:color="auto"/>
        <w:left w:val="none" w:sz="0" w:space="0" w:color="auto"/>
        <w:bottom w:val="none" w:sz="0" w:space="0" w:color="auto"/>
        <w:right w:val="none" w:sz="0" w:space="0" w:color="auto"/>
      </w:divBdr>
    </w:div>
    <w:div w:id="991061419">
      <w:bodyDiv w:val="1"/>
      <w:marLeft w:val="0"/>
      <w:marRight w:val="0"/>
      <w:marTop w:val="0"/>
      <w:marBottom w:val="0"/>
      <w:divBdr>
        <w:top w:val="none" w:sz="0" w:space="0" w:color="auto"/>
        <w:left w:val="none" w:sz="0" w:space="0" w:color="auto"/>
        <w:bottom w:val="none" w:sz="0" w:space="0" w:color="auto"/>
        <w:right w:val="none" w:sz="0" w:space="0" w:color="auto"/>
      </w:divBdr>
    </w:div>
    <w:div w:id="1174686660">
      <w:bodyDiv w:val="1"/>
      <w:marLeft w:val="0"/>
      <w:marRight w:val="0"/>
      <w:marTop w:val="0"/>
      <w:marBottom w:val="0"/>
      <w:divBdr>
        <w:top w:val="none" w:sz="0" w:space="0" w:color="auto"/>
        <w:left w:val="none" w:sz="0" w:space="0" w:color="auto"/>
        <w:bottom w:val="none" w:sz="0" w:space="0" w:color="auto"/>
        <w:right w:val="none" w:sz="0" w:space="0" w:color="auto"/>
      </w:divBdr>
    </w:div>
    <w:div w:id="1187789734">
      <w:bodyDiv w:val="1"/>
      <w:marLeft w:val="0"/>
      <w:marRight w:val="0"/>
      <w:marTop w:val="0"/>
      <w:marBottom w:val="0"/>
      <w:divBdr>
        <w:top w:val="none" w:sz="0" w:space="0" w:color="auto"/>
        <w:left w:val="none" w:sz="0" w:space="0" w:color="auto"/>
        <w:bottom w:val="none" w:sz="0" w:space="0" w:color="auto"/>
        <w:right w:val="none" w:sz="0" w:space="0" w:color="auto"/>
      </w:divBdr>
    </w:div>
    <w:div w:id="1197811761">
      <w:bodyDiv w:val="1"/>
      <w:marLeft w:val="0"/>
      <w:marRight w:val="0"/>
      <w:marTop w:val="0"/>
      <w:marBottom w:val="0"/>
      <w:divBdr>
        <w:top w:val="none" w:sz="0" w:space="0" w:color="auto"/>
        <w:left w:val="none" w:sz="0" w:space="0" w:color="auto"/>
        <w:bottom w:val="none" w:sz="0" w:space="0" w:color="auto"/>
        <w:right w:val="none" w:sz="0" w:space="0" w:color="auto"/>
      </w:divBdr>
      <w:divsChild>
        <w:div w:id="935864071">
          <w:marLeft w:val="0"/>
          <w:marRight w:val="0"/>
          <w:marTop w:val="0"/>
          <w:marBottom w:val="0"/>
          <w:divBdr>
            <w:top w:val="none" w:sz="0" w:space="0" w:color="auto"/>
            <w:left w:val="none" w:sz="0" w:space="0" w:color="auto"/>
            <w:bottom w:val="none" w:sz="0" w:space="0" w:color="auto"/>
            <w:right w:val="none" w:sz="0" w:space="0" w:color="auto"/>
          </w:divBdr>
        </w:div>
      </w:divsChild>
    </w:div>
    <w:div w:id="1281179239">
      <w:bodyDiv w:val="1"/>
      <w:marLeft w:val="0"/>
      <w:marRight w:val="0"/>
      <w:marTop w:val="0"/>
      <w:marBottom w:val="0"/>
      <w:divBdr>
        <w:top w:val="none" w:sz="0" w:space="0" w:color="auto"/>
        <w:left w:val="none" w:sz="0" w:space="0" w:color="auto"/>
        <w:bottom w:val="none" w:sz="0" w:space="0" w:color="auto"/>
        <w:right w:val="none" w:sz="0" w:space="0" w:color="auto"/>
      </w:divBdr>
    </w:div>
    <w:div w:id="1385326291">
      <w:bodyDiv w:val="1"/>
      <w:marLeft w:val="0"/>
      <w:marRight w:val="0"/>
      <w:marTop w:val="0"/>
      <w:marBottom w:val="0"/>
      <w:divBdr>
        <w:top w:val="none" w:sz="0" w:space="0" w:color="auto"/>
        <w:left w:val="none" w:sz="0" w:space="0" w:color="auto"/>
        <w:bottom w:val="none" w:sz="0" w:space="0" w:color="auto"/>
        <w:right w:val="none" w:sz="0" w:space="0" w:color="auto"/>
      </w:divBdr>
    </w:div>
    <w:div w:id="1390765517">
      <w:bodyDiv w:val="1"/>
      <w:marLeft w:val="0"/>
      <w:marRight w:val="0"/>
      <w:marTop w:val="0"/>
      <w:marBottom w:val="0"/>
      <w:divBdr>
        <w:top w:val="none" w:sz="0" w:space="0" w:color="auto"/>
        <w:left w:val="none" w:sz="0" w:space="0" w:color="auto"/>
        <w:bottom w:val="none" w:sz="0" w:space="0" w:color="auto"/>
        <w:right w:val="none" w:sz="0" w:space="0" w:color="auto"/>
      </w:divBdr>
    </w:div>
    <w:div w:id="1398824921">
      <w:bodyDiv w:val="1"/>
      <w:marLeft w:val="0"/>
      <w:marRight w:val="0"/>
      <w:marTop w:val="0"/>
      <w:marBottom w:val="0"/>
      <w:divBdr>
        <w:top w:val="none" w:sz="0" w:space="0" w:color="auto"/>
        <w:left w:val="none" w:sz="0" w:space="0" w:color="auto"/>
        <w:bottom w:val="none" w:sz="0" w:space="0" w:color="auto"/>
        <w:right w:val="none" w:sz="0" w:space="0" w:color="auto"/>
      </w:divBdr>
    </w:div>
    <w:div w:id="1424261057">
      <w:bodyDiv w:val="1"/>
      <w:marLeft w:val="0"/>
      <w:marRight w:val="0"/>
      <w:marTop w:val="0"/>
      <w:marBottom w:val="0"/>
      <w:divBdr>
        <w:top w:val="none" w:sz="0" w:space="0" w:color="auto"/>
        <w:left w:val="none" w:sz="0" w:space="0" w:color="auto"/>
        <w:bottom w:val="none" w:sz="0" w:space="0" w:color="auto"/>
        <w:right w:val="none" w:sz="0" w:space="0" w:color="auto"/>
      </w:divBdr>
    </w:div>
    <w:div w:id="1466508452">
      <w:bodyDiv w:val="1"/>
      <w:marLeft w:val="0"/>
      <w:marRight w:val="0"/>
      <w:marTop w:val="0"/>
      <w:marBottom w:val="0"/>
      <w:divBdr>
        <w:top w:val="none" w:sz="0" w:space="0" w:color="auto"/>
        <w:left w:val="none" w:sz="0" w:space="0" w:color="auto"/>
        <w:bottom w:val="none" w:sz="0" w:space="0" w:color="auto"/>
        <w:right w:val="none" w:sz="0" w:space="0" w:color="auto"/>
      </w:divBdr>
    </w:div>
    <w:div w:id="1511718997">
      <w:bodyDiv w:val="1"/>
      <w:marLeft w:val="0"/>
      <w:marRight w:val="0"/>
      <w:marTop w:val="0"/>
      <w:marBottom w:val="0"/>
      <w:divBdr>
        <w:top w:val="none" w:sz="0" w:space="0" w:color="auto"/>
        <w:left w:val="none" w:sz="0" w:space="0" w:color="auto"/>
        <w:bottom w:val="none" w:sz="0" w:space="0" w:color="auto"/>
        <w:right w:val="none" w:sz="0" w:space="0" w:color="auto"/>
      </w:divBdr>
    </w:div>
    <w:div w:id="1519002531">
      <w:bodyDiv w:val="1"/>
      <w:marLeft w:val="0"/>
      <w:marRight w:val="0"/>
      <w:marTop w:val="0"/>
      <w:marBottom w:val="0"/>
      <w:divBdr>
        <w:top w:val="none" w:sz="0" w:space="0" w:color="auto"/>
        <w:left w:val="none" w:sz="0" w:space="0" w:color="auto"/>
        <w:bottom w:val="none" w:sz="0" w:space="0" w:color="auto"/>
        <w:right w:val="none" w:sz="0" w:space="0" w:color="auto"/>
      </w:divBdr>
    </w:div>
    <w:div w:id="1658218033">
      <w:bodyDiv w:val="1"/>
      <w:marLeft w:val="0"/>
      <w:marRight w:val="0"/>
      <w:marTop w:val="0"/>
      <w:marBottom w:val="0"/>
      <w:divBdr>
        <w:top w:val="none" w:sz="0" w:space="0" w:color="auto"/>
        <w:left w:val="none" w:sz="0" w:space="0" w:color="auto"/>
        <w:bottom w:val="none" w:sz="0" w:space="0" w:color="auto"/>
        <w:right w:val="none" w:sz="0" w:space="0" w:color="auto"/>
      </w:divBdr>
    </w:div>
    <w:div w:id="1752434434">
      <w:bodyDiv w:val="1"/>
      <w:marLeft w:val="0"/>
      <w:marRight w:val="0"/>
      <w:marTop w:val="0"/>
      <w:marBottom w:val="0"/>
      <w:divBdr>
        <w:top w:val="none" w:sz="0" w:space="0" w:color="auto"/>
        <w:left w:val="none" w:sz="0" w:space="0" w:color="auto"/>
        <w:bottom w:val="none" w:sz="0" w:space="0" w:color="auto"/>
        <w:right w:val="none" w:sz="0" w:space="0" w:color="auto"/>
      </w:divBdr>
    </w:div>
    <w:div w:id="2079284008">
      <w:bodyDiv w:val="1"/>
      <w:marLeft w:val="0"/>
      <w:marRight w:val="0"/>
      <w:marTop w:val="0"/>
      <w:marBottom w:val="0"/>
      <w:divBdr>
        <w:top w:val="none" w:sz="0" w:space="0" w:color="auto"/>
        <w:left w:val="none" w:sz="0" w:space="0" w:color="auto"/>
        <w:bottom w:val="none" w:sz="0" w:space="0" w:color="auto"/>
        <w:right w:val="none" w:sz="0" w:space="0" w:color="auto"/>
      </w:divBdr>
    </w:div>
    <w:div w:id="21398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93/ajae/aar006" TargetMode="External"/><Relationship Id="rId18" Type="http://schemas.openxmlformats.org/officeDocument/2006/relationships/hyperlink" Target="https://www.worldbank.org/en/topic/financialinclusion/overview"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onnect.sivioinstitute.org/2024/04/30/report-publication-digital-financial-inclusion-in-malawi" TargetMode="External"/><Relationship Id="rId2" Type="http://schemas.openxmlformats.org/officeDocument/2006/relationships/numbering" Target="numbering.xml"/><Relationship Id="rId16" Type="http://schemas.openxmlformats.org/officeDocument/2006/relationships/hyperlink" Target="https://doi.org/10.1257/jep.28.3.109"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07/s12571-014-0332-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cribd.com/document/596128373/Finscope-MSME-2019-survey-Full-Report"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ALL%20DESKTOP%20DOCUMENTS\NEW\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Sheet10!$B$1</c:f>
              <c:strCache>
                <c:ptCount val="1"/>
                <c:pt idx="0">
                  <c:v>Micro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Sheet10!$A$2:$A$5</c:f>
              <c:strCache>
                <c:ptCount val="4"/>
                <c:pt idx="0">
                  <c:v>0-30</c:v>
                </c:pt>
                <c:pt idx="1">
                  <c:v>31-50</c:v>
                </c:pt>
                <c:pt idx="2">
                  <c:v>51-70</c:v>
                </c:pt>
                <c:pt idx="3">
                  <c:v>71-100</c:v>
                </c:pt>
              </c:strCache>
            </c:strRef>
          </c:cat>
          <c:val>
            <c:numRef>
              <c:f>Sheet10!$B$2:$B$5</c:f>
              <c:numCache>
                <c:formatCode>General</c:formatCode>
                <c:ptCount val="4"/>
                <c:pt idx="0">
                  <c:v>93.7</c:v>
                </c:pt>
                <c:pt idx="1">
                  <c:v>4.72</c:v>
                </c:pt>
                <c:pt idx="2">
                  <c:v>1.51</c:v>
                </c:pt>
                <c:pt idx="3">
                  <c:v>0.06</c:v>
                </c:pt>
              </c:numCache>
            </c:numRef>
          </c:val>
          <c:extLst>
            <c:ext xmlns:c16="http://schemas.microsoft.com/office/drawing/2014/chart" uri="{C3380CC4-5D6E-409C-BE32-E72D297353CC}">
              <c16:uniqueId val="{00000000-BA62-456C-94B6-95D8D4D8864A}"/>
            </c:ext>
          </c:extLst>
        </c:ser>
        <c:ser>
          <c:idx val="1"/>
          <c:order val="1"/>
          <c:tx>
            <c:strRef>
              <c:f>Sheet10!$C$1</c:f>
              <c:strCache>
                <c:ptCount val="1"/>
                <c:pt idx="0">
                  <c:v>Small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Sheet10!$A$2:$A$5</c:f>
              <c:strCache>
                <c:ptCount val="4"/>
                <c:pt idx="0">
                  <c:v>0-30</c:v>
                </c:pt>
                <c:pt idx="1">
                  <c:v>31-50</c:v>
                </c:pt>
                <c:pt idx="2">
                  <c:v>51-70</c:v>
                </c:pt>
                <c:pt idx="3">
                  <c:v>71-100</c:v>
                </c:pt>
              </c:strCache>
            </c:strRef>
          </c:cat>
          <c:val>
            <c:numRef>
              <c:f>Sheet10!$C$2:$C$5</c:f>
              <c:numCache>
                <c:formatCode>General</c:formatCode>
                <c:ptCount val="4"/>
                <c:pt idx="0">
                  <c:v>89.5</c:v>
                </c:pt>
                <c:pt idx="1">
                  <c:v>9.1999999999999993</c:v>
                </c:pt>
                <c:pt idx="2">
                  <c:v>1</c:v>
                </c:pt>
                <c:pt idx="3">
                  <c:v>0.33</c:v>
                </c:pt>
              </c:numCache>
            </c:numRef>
          </c:val>
          <c:extLst>
            <c:ext xmlns:c16="http://schemas.microsoft.com/office/drawing/2014/chart" uri="{C3380CC4-5D6E-409C-BE32-E72D297353CC}">
              <c16:uniqueId val="{00000001-BA62-456C-94B6-95D8D4D8864A}"/>
            </c:ext>
          </c:extLst>
        </c:ser>
        <c:ser>
          <c:idx val="2"/>
          <c:order val="2"/>
          <c:tx>
            <c:strRef>
              <c:f>Sheet10!$D$1</c:f>
              <c:strCache>
                <c:ptCount val="1"/>
                <c:pt idx="0">
                  <c:v>Macro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Sheet10!$A$2:$A$5</c:f>
              <c:strCache>
                <c:ptCount val="4"/>
                <c:pt idx="0">
                  <c:v>0-30</c:v>
                </c:pt>
                <c:pt idx="1">
                  <c:v>31-50</c:v>
                </c:pt>
                <c:pt idx="2">
                  <c:v>51-70</c:v>
                </c:pt>
                <c:pt idx="3">
                  <c:v>71-100</c:v>
                </c:pt>
              </c:strCache>
            </c:strRef>
          </c:cat>
          <c:val>
            <c:numRef>
              <c:f>Sheet10!$D$2:$D$5</c:f>
              <c:numCache>
                <c:formatCode>General</c:formatCode>
                <c:ptCount val="4"/>
                <c:pt idx="0">
                  <c:v>31.9</c:v>
                </c:pt>
                <c:pt idx="1">
                  <c:v>13.7</c:v>
                </c:pt>
                <c:pt idx="2">
                  <c:v>50.6</c:v>
                </c:pt>
                <c:pt idx="3">
                  <c:v>3.9</c:v>
                </c:pt>
              </c:numCache>
            </c:numRef>
          </c:val>
          <c:extLst>
            <c:ext xmlns:c16="http://schemas.microsoft.com/office/drawing/2014/chart" uri="{C3380CC4-5D6E-409C-BE32-E72D297353CC}">
              <c16:uniqueId val="{00000002-BA62-456C-94B6-95D8D4D8864A}"/>
            </c:ext>
          </c:extLst>
        </c:ser>
        <c:dLbls>
          <c:dLblPos val="outEnd"/>
          <c:showLegendKey val="0"/>
          <c:showVal val="1"/>
          <c:showCatName val="0"/>
          <c:showSerName val="0"/>
          <c:showPercent val="0"/>
          <c:showBubbleSize val="0"/>
        </c:dLbls>
        <c:gapWidth val="219"/>
        <c:overlap val="-27"/>
        <c:axId val="401214592"/>
        <c:axId val="401213344"/>
      </c:barChart>
      <c:catAx>
        <c:axId val="40121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1213344"/>
        <c:crosses val="autoZero"/>
        <c:auto val="1"/>
        <c:lblAlgn val="ctr"/>
        <c:lblOffset val="100"/>
        <c:noMultiLvlLbl val="0"/>
      </c:catAx>
      <c:valAx>
        <c:axId val="401213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121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B0B8-ABBC-42FF-A53C-390E9F6C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9272</Words>
  <Characters>54706</Characters>
  <Application>Microsoft Office Word</Application>
  <DocSecurity>0</DocSecurity>
  <Lines>2735</Lines>
  <Paragraphs>1640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Mbukwa</dc:creator>
  <cp:keywords/>
  <dc:description/>
  <cp:lastModifiedBy>Chris Mbukwa</cp:lastModifiedBy>
  <cp:revision>5</cp:revision>
  <dcterms:created xsi:type="dcterms:W3CDTF">2025-06-14T10:38:00Z</dcterms:created>
  <dcterms:modified xsi:type="dcterms:W3CDTF">2025-06-14T11:05:00Z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9ee5af84-c641-4fb1-90fc-084c1bba807c</vt:lpwstr>
  </property>
</Properties>
</file>