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BDC6" w14:textId="77777777" w:rsidR="00CC68EE" w:rsidRDefault="00CC68EE" w:rsidP="00256989">
      <w:pPr>
        <w:tabs>
          <w:tab w:val="left" w:pos="3503"/>
          <w:tab w:val="center" w:pos="5076"/>
        </w:tabs>
        <w:jc w:val="both"/>
        <w:rPr>
          <w:rFonts w:ascii="Times New Roman" w:eastAsia="Times New Roman" w:hAnsi="Times New Roman" w:cs="Times New Roman"/>
          <w:b/>
          <w:sz w:val="24"/>
          <w:szCs w:val="24"/>
        </w:rPr>
      </w:pPr>
    </w:p>
    <w:p w14:paraId="19E76738" w14:textId="77777777" w:rsidR="005930FE" w:rsidRPr="00443F97" w:rsidRDefault="005930FE" w:rsidP="005930FE">
      <w:pPr>
        <w:jc w:val="center"/>
        <w:rPr>
          <w:rFonts w:ascii="Times New Roman" w:hAnsi="Times New Roman" w:cs="Times New Roman"/>
          <w:b/>
          <w:sz w:val="24"/>
          <w:szCs w:val="24"/>
          <w:lang w:val="fr-FR"/>
        </w:rPr>
      </w:pPr>
      <w:r w:rsidRPr="004A0069">
        <w:rPr>
          <w:rFonts w:ascii="Times New Roman" w:hAnsi="Times New Roman" w:cs="Times New Roman"/>
          <w:b/>
          <w:noProof/>
          <w:sz w:val="24"/>
          <w:szCs w:val="24"/>
          <w:lang w:val="fr-FR"/>
        </w:rPr>
        <w:drawing>
          <wp:anchor distT="0" distB="0" distL="114300" distR="114300" simplePos="0" relativeHeight="251659264" behindDoc="0" locked="0" layoutInCell="1" allowOverlap="1" wp14:anchorId="52E2F8CA" wp14:editId="686F4AED">
            <wp:simplePos x="0" y="0"/>
            <wp:positionH relativeFrom="margin">
              <wp:posOffset>1550568</wp:posOffset>
            </wp:positionH>
            <wp:positionV relativeFrom="paragraph">
              <wp:posOffset>261620</wp:posOffset>
            </wp:positionV>
            <wp:extent cx="2374265" cy="884555"/>
            <wp:effectExtent l="0" t="0" r="6985" b="0"/>
            <wp:wrapSquare wrapText="bothSides"/>
            <wp:docPr id="677221861" name="Image 2">
              <a:extLst xmlns:a="http://schemas.openxmlformats.org/drawingml/2006/main">
                <a:ext uri="{FF2B5EF4-FFF2-40B4-BE49-F238E27FC236}">
                  <a16:creationId xmlns:a16="http://schemas.microsoft.com/office/drawing/2014/main" id="{F9F55EA0-20E0-4262-9F38-46D56BA25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F9F55EA0-20E0-4262-9F38-46D56BA25D57}"/>
                        </a:ext>
                      </a:extLst>
                    </pic:cNvPr>
                    <pic:cNvPicPr>
                      <a:picLocks noChangeAspect="1"/>
                    </pic:cNvPicPr>
                  </pic:nvPicPr>
                  <pic:blipFill rotWithShape="1">
                    <a:blip r:embed="rId9">
                      <a:extLst>
                        <a:ext uri="{28A0092B-C50C-407E-A947-70E740481C1C}">
                          <a14:useLocalDpi xmlns:a14="http://schemas.microsoft.com/office/drawing/2010/main" val="0"/>
                        </a:ext>
                      </a:extLst>
                    </a:blip>
                    <a:srcRect t="15532" b="19073"/>
                    <a:stretch/>
                  </pic:blipFill>
                  <pic:spPr>
                    <a:xfrm>
                      <a:off x="0" y="0"/>
                      <a:ext cx="2374265" cy="884555"/>
                    </a:xfrm>
                    <a:prstGeom prst="rect">
                      <a:avLst/>
                    </a:prstGeom>
                  </pic:spPr>
                </pic:pic>
              </a:graphicData>
            </a:graphic>
            <wp14:sizeRelH relativeFrom="margin">
              <wp14:pctWidth>0</wp14:pctWidth>
            </wp14:sizeRelH>
            <wp14:sizeRelV relativeFrom="margin">
              <wp14:pctHeight>0</wp14:pctHeight>
            </wp14:sizeRelV>
          </wp:anchor>
        </w:drawing>
      </w:r>
      <w:r w:rsidRPr="00443F97">
        <w:rPr>
          <w:rFonts w:ascii="Times New Roman" w:hAnsi="Times New Roman" w:cs="Times New Roman"/>
          <w:b/>
          <w:sz w:val="24"/>
          <w:szCs w:val="24"/>
          <w:lang w:val="fr-FR"/>
        </w:rPr>
        <w:t>UNIVERSIT</w:t>
      </w:r>
      <w:r>
        <w:rPr>
          <w:rFonts w:ascii="Times New Roman" w:hAnsi="Times New Roman" w:cs="Times New Roman"/>
          <w:b/>
          <w:sz w:val="24"/>
          <w:szCs w:val="24"/>
          <w:lang w:val="fr-FR"/>
        </w:rPr>
        <w:t>É</w:t>
      </w:r>
      <w:r w:rsidRPr="00443F97">
        <w:rPr>
          <w:rFonts w:ascii="Times New Roman" w:hAnsi="Times New Roman" w:cs="Times New Roman"/>
          <w:b/>
          <w:sz w:val="24"/>
          <w:szCs w:val="24"/>
          <w:lang w:val="fr-FR"/>
        </w:rPr>
        <w:t xml:space="preserve"> THOMAS SANKARA</w:t>
      </w:r>
    </w:p>
    <w:p w14:paraId="5D6F9F84" w14:textId="77777777" w:rsidR="005930FE" w:rsidRPr="00443F97" w:rsidRDefault="005930FE" w:rsidP="005930FE">
      <w:pPr>
        <w:jc w:val="center"/>
        <w:rPr>
          <w:lang w:val="fr-FR"/>
        </w:rPr>
      </w:pPr>
    </w:p>
    <w:p w14:paraId="1E47726E" w14:textId="77777777" w:rsidR="005930FE" w:rsidRPr="00D911EF" w:rsidRDefault="005930FE" w:rsidP="005930FE">
      <w:pPr>
        <w:pStyle w:val="Default"/>
        <w:tabs>
          <w:tab w:val="left" w:pos="6847"/>
        </w:tabs>
        <w:jc w:val="both"/>
        <w:rPr>
          <w:rFonts w:ascii="Times New Roman" w:hAnsi="Times New Roman" w:cs="Times New Roman"/>
          <w:b/>
        </w:rPr>
      </w:pPr>
    </w:p>
    <w:p w14:paraId="35FDB9E2" w14:textId="77777777" w:rsidR="005930FE" w:rsidRPr="00D911EF" w:rsidRDefault="005930FE" w:rsidP="005930FE">
      <w:pPr>
        <w:pStyle w:val="Default"/>
        <w:jc w:val="both"/>
        <w:rPr>
          <w:rFonts w:ascii="Times New Roman" w:hAnsi="Times New Roman" w:cs="Times New Roman"/>
          <w:b/>
        </w:rPr>
      </w:pPr>
    </w:p>
    <w:p w14:paraId="61D0D75C" w14:textId="77777777" w:rsidR="005930FE" w:rsidRPr="00443F97" w:rsidRDefault="005930FE" w:rsidP="005930FE">
      <w:pPr>
        <w:tabs>
          <w:tab w:val="left" w:pos="3226"/>
        </w:tabs>
        <w:spacing w:line="240" w:lineRule="auto"/>
        <w:jc w:val="both"/>
        <w:rPr>
          <w:rStyle w:val="apple-style-span"/>
          <w:rFonts w:ascii="Times New Roman" w:hAnsi="Times New Roman" w:cs="Times New Roman"/>
          <w:b/>
          <w:sz w:val="24"/>
          <w:szCs w:val="24"/>
          <w:lang w:val="fr-FR"/>
        </w:rPr>
      </w:pPr>
      <w:r w:rsidRPr="00443F97">
        <w:rPr>
          <w:rStyle w:val="apple-style-span"/>
          <w:rFonts w:ascii="Times New Roman" w:hAnsi="Times New Roman" w:cs="Times New Roman"/>
          <w:b/>
          <w:sz w:val="24"/>
          <w:szCs w:val="24"/>
          <w:lang w:val="fr-FR"/>
        </w:rPr>
        <w:tab/>
        <w:t xml:space="preserve"> </w:t>
      </w:r>
    </w:p>
    <w:p w14:paraId="23E2D078" w14:textId="77777777" w:rsidR="005930FE" w:rsidRPr="00443F97" w:rsidRDefault="005930FE" w:rsidP="005930FE">
      <w:pPr>
        <w:jc w:val="center"/>
        <w:rPr>
          <w:rFonts w:ascii="Times New Roman" w:hAnsi="Times New Roman" w:cs="Times New Roman"/>
          <w:b/>
          <w:sz w:val="24"/>
          <w:szCs w:val="24"/>
          <w:lang w:val="fr-FR"/>
        </w:rPr>
      </w:pPr>
      <w:r w:rsidRPr="00443F97">
        <w:rPr>
          <w:rFonts w:ascii="Times New Roman" w:hAnsi="Times New Roman" w:cs="Times New Roman"/>
          <w:b/>
          <w:sz w:val="24"/>
          <w:szCs w:val="24"/>
          <w:lang w:val="fr-FR"/>
        </w:rPr>
        <w:t>UNIT</w:t>
      </w:r>
      <w:r>
        <w:rPr>
          <w:rFonts w:ascii="Times New Roman" w:hAnsi="Times New Roman" w:cs="Times New Roman"/>
          <w:b/>
          <w:sz w:val="24"/>
          <w:szCs w:val="24"/>
          <w:lang w:val="fr-FR"/>
        </w:rPr>
        <w:t>É</w:t>
      </w:r>
      <w:r w:rsidRPr="00443F97">
        <w:rPr>
          <w:rFonts w:ascii="Times New Roman" w:hAnsi="Times New Roman" w:cs="Times New Roman"/>
          <w:b/>
          <w:sz w:val="24"/>
          <w:szCs w:val="24"/>
          <w:lang w:val="fr-FR"/>
        </w:rPr>
        <w:t xml:space="preserve"> DE FORMATION ET DE RECHERCHE EN SCIENCES </w:t>
      </w:r>
      <w:r>
        <w:rPr>
          <w:rFonts w:ascii="Times New Roman" w:hAnsi="Times New Roman" w:cs="Times New Roman"/>
          <w:b/>
          <w:sz w:val="24"/>
          <w:szCs w:val="24"/>
          <w:lang w:val="fr-FR"/>
        </w:rPr>
        <w:t>É</w:t>
      </w:r>
      <w:r w:rsidRPr="00443F97">
        <w:rPr>
          <w:rFonts w:ascii="Times New Roman" w:hAnsi="Times New Roman" w:cs="Times New Roman"/>
          <w:b/>
          <w:sz w:val="24"/>
          <w:szCs w:val="24"/>
          <w:lang w:val="fr-FR"/>
        </w:rPr>
        <w:t>CONOMIQUES ET DE GESTION (UFR/SEG)</w:t>
      </w:r>
    </w:p>
    <w:p w14:paraId="4F646296" w14:textId="0EF9F50D" w:rsidR="005930FE" w:rsidRPr="00443F97" w:rsidRDefault="005930FE" w:rsidP="005930FE">
      <w:pPr>
        <w:rPr>
          <w:b/>
          <w:sz w:val="36"/>
          <w:szCs w:val="36"/>
          <w:lang w:val="fr-FR"/>
        </w:rPr>
      </w:pPr>
      <w:r w:rsidRPr="00443F97">
        <w:rPr>
          <w:i/>
          <w:iCs/>
          <w:lang w:val="fr-FR"/>
        </w:rPr>
        <w:t xml:space="preserve">                                                                         </w:t>
      </w:r>
    </w:p>
    <w:p w14:paraId="5926E9E9" w14:textId="263AB73C" w:rsidR="005930FE" w:rsidRPr="00443F97" w:rsidRDefault="00B80D64" w:rsidP="005930FE">
      <w:pPr>
        <w:rPr>
          <w:b/>
          <w:sz w:val="36"/>
          <w:szCs w:val="36"/>
          <w:lang w:val="fr-FR"/>
        </w:rPr>
      </w:pPr>
      <w:r>
        <w:rPr>
          <w:noProof/>
          <w:lang w:val="fr-FR"/>
        </w:rPr>
        <mc:AlternateContent>
          <mc:Choice Requires="wps">
            <w:drawing>
              <wp:anchor distT="0" distB="0" distL="114300" distR="114300" simplePos="0" relativeHeight="251660288" behindDoc="0" locked="0" layoutInCell="1" allowOverlap="1" wp14:anchorId="109A555F" wp14:editId="0853955D">
                <wp:simplePos x="0" y="0"/>
                <wp:positionH relativeFrom="margin">
                  <wp:align>left</wp:align>
                </wp:positionH>
                <wp:positionV relativeFrom="paragraph">
                  <wp:posOffset>133351</wp:posOffset>
                </wp:positionV>
                <wp:extent cx="5934075" cy="1244600"/>
                <wp:effectExtent l="0" t="0" r="28575" b="12700"/>
                <wp:wrapNone/>
                <wp:docPr id="1" name="Parchemin horizont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44600"/>
                        </a:xfrm>
                        <a:prstGeom prst="horizontalScrol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3DF857" w14:textId="77777777" w:rsidR="005930FE" w:rsidRPr="00443F97" w:rsidRDefault="005930FE" w:rsidP="005930FE">
                            <w:pPr>
                              <w:rPr>
                                <w:rFonts w:ascii="Times New Roman" w:hAnsi="Times New Roman" w:cs="Times New Roman"/>
                                <w:color w:val="000000" w:themeColor="text1"/>
                                <w:sz w:val="28"/>
                                <w:szCs w:val="28"/>
                                <w:u w:val="single"/>
                                <w:lang w:val="fr-FR"/>
                              </w:rPr>
                            </w:pPr>
                            <w:r w:rsidRPr="00BB0458">
                              <w:rPr>
                                <w:color w:val="000000" w:themeColor="text1"/>
                                <w:lang w:val="fr-FR"/>
                              </w:rPr>
                              <w:t xml:space="preserve">                                                                         </w:t>
                            </w:r>
                            <w:r w:rsidRPr="00443F97">
                              <w:rPr>
                                <w:rFonts w:ascii="Times New Roman" w:hAnsi="Times New Roman" w:cs="Times New Roman"/>
                                <w:color w:val="000000" w:themeColor="text1"/>
                                <w:sz w:val="28"/>
                                <w:szCs w:val="28"/>
                                <w:u w:val="single"/>
                                <w:lang w:val="fr-FR"/>
                              </w:rPr>
                              <w:t>TH</w:t>
                            </w:r>
                            <w:r>
                              <w:rPr>
                                <w:rFonts w:ascii="Times New Roman" w:hAnsi="Times New Roman" w:cs="Times New Roman"/>
                                <w:color w:val="000000" w:themeColor="text1"/>
                                <w:sz w:val="28"/>
                                <w:szCs w:val="28"/>
                                <w:u w:val="single"/>
                                <w:lang w:val="fr-FR"/>
                              </w:rPr>
                              <w:t>Ѐ</w:t>
                            </w:r>
                            <w:r w:rsidRPr="00443F97">
                              <w:rPr>
                                <w:rFonts w:ascii="Times New Roman" w:hAnsi="Times New Roman" w:cs="Times New Roman"/>
                                <w:color w:val="000000" w:themeColor="text1"/>
                                <w:sz w:val="28"/>
                                <w:szCs w:val="28"/>
                                <w:u w:val="single"/>
                                <w:lang w:val="fr-FR"/>
                              </w:rPr>
                              <w:t>ME </w:t>
                            </w:r>
                          </w:p>
                          <w:p w14:paraId="62935429" w14:textId="06862AE7" w:rsidR="005930FE" w:rsidRPr="00443F97" w:rsidRDefault="00B3511E" w:rsidP="005930FE">
                            <w:pPr>
                              <w:rPr>
                                <w:color w:val="000000" w:themeColor="text1"/>
                                <w:lang w:val="fr-FR"/>
                              </w:rPr>
                            </w:pPr>
                            <w:r>
                              <w:rPr>
                                <w:rFonts w:ascii="Times New Roman" w:hAnsi="Times New Roman" w:cs="Times New Roman"/>
                                <w:b/>
                                <w:color w:val="000000" w:themeColor="text1"/>
                                <w:sz w:val="32"/>
                                <w:szCs w:val="32"/>
                                <w:lang w:val="fr-FR"/>
                              </w:rPr>
                              <w:t>Effet de la structure fiscale sur les dépenses de consommation des ménages</w:t>
                            </w:r>
                            <w:r w:rsidR="00060E49">
                              <w:rPr>
                                <w:rFonts w:ascii="Times New Roman" w:hAnsi="Times New Roman" w:cs="Times New Roman"/>
                                <w:b/>
                                <w:color w:val="000000" w:themeColor="text1"/>
                                <w:sz w:val="32"/>
                                <w:szCs w:val="32"/>
                                <w:lang w:val="fr-FR"/>
                              </w:rPr>
                              <w:t xml:space="preserve"> au Burkina</w:t>
                            </w:r>
                            <w:r w:rsidR="00B80D64">
                              <w:rPr>
                                <w:rFonts w:ascii="Times New Roman" w:hAnsi="Times New Roman" w:cs="Times New Roman"/>
                                <w:b/>
                                <w:color w:val="000000" w:themeColor="text1"/>
                                <w:sz w:val="32"/>
                                <w:szCs w:val="32"/>
                                <w:lang w:val="fr-FR"/>
                              </w:rPr>
                              <w:t xml:space="preserve"> Faso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9A555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4" o:spid="_x0000_s1026" type="#_x0000_t98" style="position:absolute;margin-left:0;margin-top:10.5pt;width:467.25pt;height: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" fillcolor="#bdd6ee [1300]" strokecolor="#1f4d78 [1604]" strokeweight="1pt">
                <v:stroke joinstyle="miter"/>
                <v:path arrowok="t"/>
                <v:textbox>
                  <w:txbxContent>
                    <w:p w14:paraId="043DF857" w14:textId="77777777" w:rsidR="005930FE" w:rsidRPr="00443F97" w:rsidRDefault="005930FE" w:rsidP="005930FE">
                      <w:pPr>
                        <w:rPr>
                          <w:rFonts w:ascii="Times New Roman" w:hAnsi="Times New Roman" w:cs="Times New Roman"/>
                          <w:color w:val="000000" w:themeColor="text1"/>
                          <w:sz w:val="28"/>
                          <w:szCs w:val="28"/>
                          <w:u w:val="single"/>
                          <w:lang w:val="fr-FR"/>
                        </w:rPr>
                      </w:pPr>
                      <w:r w:rsidRPr="00BB0458">
                        <w:rPr>
                          <w:color w:val="000000" w:themeColor="text1"/>
                          <w:lang w:val="fr-FR"/>
                        </w:rPr>
                        <w:t xml:space="preserve">                                                                         </w:t>
                      </w:r>
                      <w:r w:rsidRPr="00443F97">
                        <w:rPr>
                          <w:rFonts w:ascii="Times New Roman" w:hAnsi="Times New Roman" w:cs="Times New Roman"/>
                          <w:color w:val="000000" w:themeColor="text1"/>
                          <w:sz w:val="28"/>
                          <w:szCs w:val="28"/>
                          <w:u w:val="single"/>
                          <w:lang w:val="fr-FR"/>
                        </w:rPr>
                        <w:t>TH</w:t>
                      </w:r>
                      <w:r>
                        <w:rPr>
                          <w:rFonts w:ascii="Times New Roman" w:hAnsi="Times New Roman" w:cs="Times New Roman"/>
                          <w:color w:val="000000" w:themeColor="text1"/>
                          <w:sz w:val="28"/>
                          <w:szCs w:val="28"/>
                          <w:u w:val="single"/>
                          <w:lang w:val="fr-FR"/>
                        </w:rPr>
                        <w:t>Ѐ</w:t>
                      </w:r>
                      <w:r w:rsidRPr="00443F97">
                        <w:rPr>
                          <w:rFonts w:ascii="Times New Roman" w:hAnsi="Times New Roman" w:cs="Times New Roman"/>
                          <w:color w:val="000000" w:themeColor="text1"/>
                          <w:sz w:val="28"/>
                          <w:szCs w:val="28"/>
                          <w:u w:val="single"/>
                          <w:lang w:val="fr-FR"/>
                        </w:rPr>
                        <w:t>ME </w:t>
                      </w:r>
                    </w:p>
                    <w:p w14:paraId="62935429" w14:textId="06862AE7" w:rsidR="005930FE" w:rsidRPr="00443F97" w:rsidRDefault="00B3511E" w:rsidP="005930FE">
                      <w:pPr>
                        <w:rPr>
                          <w:color w:val="000000" w:themeColor="text1"/>
                          <w:lang w:val="fr-FR"/>
                        </w:rPr>
                      </w:pPr>
                      <w:r>
                        <w:rPr>
                          <w:rFonts w:ascii="Times New Roman" w:hAnsi="Times New Roman" w:cs="Times New Roman"/>
                          <w:b/>
                          <w:color w:val="000000" w:themeColor="text1"/>
                          <w:sz w:val="32"/>
                          <w:szCs w:val="32"/>
                          <w:lang w:val="fr-FR"/>
                        </w:rPr>
                        <w:t>Effet de la structure fiscale sur les dépenses de consommation des ménages</w:t>
                      </w:r>
                      <w:r w:rsidR="00060E49">
                        <w:rPr>
                          <w:rFonts w:ascii="Times New Roman" w:hAnsi="Times New Roman" w:cs="Times New Roman"/>
                          <w:b/>
                          <w:color w:val="000000" w:themeColor="text1"/>
                          <w:sz w:val="32"/>
                          <w:szCs w:val="32"/>
                          <w:lang w:val="fr-FR"/>
                        </w:rPr>
                        <w:t xml:space="preserve"> au Burkina</w:t>
                      </w:r>
                      <w:r w:rsidR="00B80D64">
                        <w:rPr>
                          <w:rFonts w:ascii="Times New Roman" w:hAnsi="Times New Roman" w:cs="Times New Roman"/>
                          <w:b/>
                          <w:color w:val="000000" w:themeColor="text1"/>
                          <w:sz w:val="32"/>
                          <w:szCs w:val="32"/>
                          <w:lang w:val="fr-FR"/>
                        </w:rPr>
                        <w:t xml:space="preserve"> Faso</w:t>
                      </w:r>
                    </w:p>
                  </w:txbxContent>
                </v:textbox>
                <w10:wrap anchorx="margin"/>
              </v:shape>
            </w:pict>
          </mc:Fallback>
        </mc:AlternateContent>
      </w:r>
    </w:p>
    <w:p w14:paraId="44E86C2E" w14:textId="77777777" w:rsidR="005930FE" w:rsidRPr="00443F97" w:rsidRDefault="005930FE" w:rsidP="005930FE">
      <w:pPr>
        <w:tabs>
          <w:tab w:val="left" w:pos="1890"/>
        </w:tabs>
        <w:spacing w:line="240" w:lineRule="auto"/>
        <w:jc w:val="both"/>
        <w:rPr>
          <w:rStyle w:val="apple-style-span"/>
          <w:rFonts w:ascii="Times New Roman" w:hAnsi="Times New Roman" w:cs="Times New Roman"/>
          <w:b/>
          <w:sz w:val="24"/>
          <w:szCs w:val="24"/>
          <w:lang w:val="fr-FR"/>
        </w:rPr>
      </w:pPr>
    </w:p>
    <w:p w14:paraId="238B0711" w14:textId="77777777" w:rsidR="005930FE" w:rsidRPr="00443F97" w:rsidRDefault="005930FE" w:rsidP="005930FE">
      <w:pPr>
        <w:spacing w:line="240" w:lineRule="auto"/>
        <w:jc w:val="both"/>
        <w:rPr>
          <w:rFonts w:ascii="Times New Roman" w:hAnsi="Times New Roman" w:cs="Times New Roman"/>
          <w:sz w:val="24"/>
          <w:szCs w:val="24"/>
          <w:lang w:val="fr-FR"/>
        </w:rPr>
      </w:pPr>
    </w:p>
    <w:p w14:paraId="279ACF4D" w14:textId="77777777" w:rsidR="005930FE" w:rsidRPr="00443F97" w:rsidRDefault="005930FE" w:rsidP="005930FE">
      <w:pPr>
        <w:spacing w:line="240" w:lineRule="auto"/>
        <w:jc w:val="both"/>
        <w:rPr>
          <w:rFonts w:ascii="Times New Roman" w:hAnsi="Times New Roman" w:cs="Times New Roman"/>
          <w:sz w:val="24"/>
          <w:szCs w:val="24"/>
          <w:lang w:val="fr-FR"/>
        </w:rPr>
      </w:pPr>
    </w:p>
    <w:p w14:paraId="790F7252" w14:textId="77777777" w:rsidR="005930FE" w:rsidRPr="00443F97" w:rsidRDefault="005930FE" w:rsidP="005930FE">
      <w:pPr>
        <w:spacing w:after="0" w:line="360" w:lineRule="auto"/>
        <w:rPr>
          <w:rFonts w:ascii="Times New Roman" w:hAnsi="Times New Roman" w:cs="Times New Roman"/>
          <w:sz w:val="24"/>
          <w:szCs w:val="24"/>
          <w:lang w:val="fr-FR"/>
        </w:rPr>
      </w:pPr>
      <w:r w:rsidRPr="00443F97">
        <w:rPr>
          <w:rFonts w:ascii="Times New Roman" w:hAnsi="Times New Roman" w:cs="Times New Roman"/>
          <w:sz w:val="24"/>
          <w:szCs w:val="24"/>
          <w:lang w:val="fr-FR"/>
        </w:rPr>
        <w:t xml:space="preserve">                       </w:t>
      </w:r>
    </w:p>
    <w:p w14:paraId="60A19A37" w14:textId="77777777" w:rsidR="005930FE" w:rsidRDefault="005930FE" w:rsidP="005930FE">
      <w:pPr>
        <w:spacing w:after="0" w:line="360" w:lineRule="auto"/>
        <w:rPr>
          <w:rFonts w:ascii="Times New Roman" w:hAnsi="Times New Roman" w:cs="Times New Roman"/>
          <w:b/>
          <w:sz w:val="24"/>
          <w:szCs w:val="24"/>
          <w:lang w:val="fr-FR"/>
        </w:rPr>
      </w:pPr>
      <w:r w:rsidRPr="00443F97">
        <w:rPr>
          <w:rFonts w:ascii="Times New Roman" w:hAnsi="Times New Roman" w:cs="Times New Roman"/>
          <w:sz w:val="24"/>
          <w:szCs w:val="24"/>
          <w:lang w:val="fr-FR"/>
        </w:rPr>
        <w:t xml:space="preserve">                                </w:t>
      </w:r>
      <w:r w:rsidRPr="00443F97">
        <w:rPr>
          <w:rFonts w:ascii="Times New Roman" w:hAnsi="Times New Roman" w:cs="Times New Roman"/>
          <w:b/>
          <w:sz w:val="24"/>
          <w:szCs w:val="24"/>
          <w:lang w:val="fr-FR"/>
        </w:rPr>
        <w:t xml:space="preserve"> </w:t>
      </w:r>
      <w:r w:rsidRPr="00443F97">
        <w:rPr>
          <w:rFonts w:ascii="Times New Roman" w:hAnsi="Times New Roman" w:cs="Times New Roman"/>
          <w:b/>
          <w:sz w:val="28"/>
          <w:szCs w:val="28"/>
          <w:lang w:val="fr-FR"/>
        </w:rPr>
        <w:t>OUEDRAOGO Amandine Marie Diane Sidpasseté</w:t>
      </w:r>
      <w:r w:rsidRPr="00443F97">
        <w:rPr>
          <w:rFonts w:ascii="Times New Roman" w:hAnsi="Times New Roman" w:cs="Times New Roman"/>
          <w:b/>
          <w:sz w:val="24"/>
          <w:szCs w:val="24"/>
          <w:lang w:val="fr-FR"/>
        </w:rPr>
        <w:t xml:space="preserve">  </w:t>
      </w:r>
    </w:p>
    <w:p w14:paraId="32A61582" w14:textId="5439C904" w:rsidR="005930FE" w:rsidRDefault="00093BE8" w:rsidP="00093BE8">
      <w:pPr>
        <w:tabs>
          <w:tab w:val="left" w:pos="2070"/>
        </w:tabs>
        <w:spacing w:after="0" w:line="360" w:lineRule="auto"/>
        <w:rPr>
          <w:rFonts w:ascii="Times New Roman" w:hAnsi="Times New Roman" w:cs="Times New Roman"/>
          <w:b/>
          <w:sz w:val="24"/>
          <w:szCs w:val="24"/>
          <w:lang w:val="fr-FR"/>
        </w:rPr>
      </w:pPr>
      <w:r>
        <w:rPr>
          <w:rFonts w:ascii="Times New Roman" w:hAnsi="Times New Roman" w:cs="Times New Roman"/>
          <w:b/>
          <w:sz w:val="24"/>
          <w:szCs w:val="24"/>
          <w:lang w:val="fr-FR"/>
        </w:rPr>
        <w:tab/>
      </w:r>
    </w:p>
    <w:p w14:paraId="2893FACA" w14:textId="77777777" w:rsidR="005930FE" w:rsidRPr="00BB0458" w:rsidRDefault="005930FE" w:rsidP="005930FE">
      <w:pPr>
        <w:spacing w:after="0" w:line="360" w:lineRule="auto"/>
        <w:rPr>
          <w:rFonts w:ascii="Times New Roman" w:hAnsi="Times New Roman" w:cs="Times New Roman"/>
          <w:sz w:val="24"/>
          <w:szCs w:val="24"/>
          <w:lang w:val="fr-FR"/>
        </w:rPr>
      </w:pPr>
    </w:p>
    <w:tbl>
      <w:tblPr>
        <w:tblStyle w:val="Tableausimple4"/>
        <w:tblpPr w:leftFromText="141" w:rightFromText="141" w:vertAnchor="text" w:horzAnchor="margin" w:tblpY="-38"/>
        <w:tblW w:w="0" w:type="auto"/>
        <w:tblLook w:val="04A0" w:firstRow="1" w:lastRow="0" w:firstColumn="1" w:lastColumn="0" w:noHBand="0" w:noVBand="1"/>
      </w:tblPr>
      <w:tblGrid>
        <w:gridCol w:w="4675"/>
        <w:gridCol w:w="4675"/>
      </w:tblGrid>
      <w:tr w:rsidR="005930FE" w14:paraId="4AB97198" w14:textId="77777777" w:rsidTr="00204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5008D3B3" w14:textId="77777777" w:rsidR="005930FE" w:rsidRDefault="005930FE" w:rsidP="00204A86">
            <w:pPr>
              <w:jc w:val="both"/>
              <w:rPr>
                <w:rFonts w:ascii="Times New Roman" w:hAnsi="Times New Roman" w:cs="Times New Roman"/>
                <w:sz w:val="24"/>
                <w:szCs w:val="24"/>
                <w:lang w:val="fr-FR"/>
              </w:rPr>
            </w:pPr>
            <w:r w:rsidRPr="00443F97">
              <w:rPr>
                <w:rFonts w:ascii="Times New Roman" w:hAnsi="Times New Roman" w:cs="Times New Roman"/>
                <w:sz w:val="24"/>
                <w:szCs w:val="24"/>
                <w:u w:val="single"/>
                <w:lang w:val="fr-FR"/>
              </w:rPr>
              <w:t>Sous la direction de</w:t>
            </w:r>
            <w:r>
              <w:rPr>
                <w:rFonts w:ascii="Times New Roman" w:hAnsi="Times New Roman" w:cs="Times New Roman"/>
                <w:sz w:val="24"/>
                <w:szCs w:val="24"/>
                <w:u w:val="single"/>
                <w:lang w:val="fr-FR"/>
              </w:rPr>
              <w:t xml:space="preserve"> </w:t>
            </w:r>
            <w:r w:rsidRPr="00443F97">
              <w:rPr>
                <w:rFonts w:ascii="Times New Roman" w:hAnsi="Times New Roman" w:cs="Times New Roman"/>
                <w:sz w:val="24"/>
                <w:szCs w:val="24"/>
                <w:u w:val="single"/>
                <w:lang w:val="fr-FR"/>
              </w:rPr>
              <w:t>:</w:t>
            </w:r>
            <w:r>
              <w:rPr>
                <w:rFonts w:ascii="Times New Roman" w:hAnsi="Times New Roman" w:cs="Times New Roman"/>
                <w:sz w:val="24"/>
                <w:szCs w:val="24"/>
                <w:u w:val="single"/>
                <w:lang w:val="fr-FR"/>
              </w:rPr>
              <w:t xml:space="preserve">                                          </w:t>
            </w:r>
          </w:p>
          <w:p w14:paraId="7DAE5C54" w14:textId="77777777" w:rsidR="005930FE" w:rsidRPr="00EC01E1" w:rsidRDefault="005930FE" w:rsidP="00204A86">
            <w:pPr>
              <w:jc w:val="both"/>
              <w:rPr>
                <w:rFonts w:ascii="Times New Roman" w:hAnsi="Times New Roman" w:cs="Times New Roman"/>
                <w:b w:val="0"/>
                <w:bCs w:val="0"/>
                <w:sz w:val="24"/>
                <w:szCs w:val="24"/>
                <w:lang w:val="fr-FR"/>
              </w:rPr>
            </w:pPr>
            <w:r w:rsidRPr="00EC01E1">
              <w:rPr>
                <w:rFonts w:ascii="Times New Roman" w:hAnsi="Times New Roman" w:cs="Times New Roman"/>
                <w:sz w:val="24"/>
                <w:szCs w:val="24"/>
                <w:lang w:val="fr-FR"/>
              </w:rPr>
              <w:t>Professeure Salamata LOABA</w:t>
            </w:r>
          </w:p>
          <w:p w14:paraId="25190EB5" w14:textId="77777777" w:rsidR="005930FE" w:rsidRPr="00863A7F" w:rsidRDefault="005930FE" w:rsidP="00204A86">
            <w:pPr>
              <w:jc w:val="both"/>
              <w:rPr>
                <w:rFonts w:ascii="Times New Roman" w:hAnsi="Times New Roman" w:cs="Times New Roman"/>
                <w:b w:val="0"/>
                <w:bCs w:val="0"/>
                <w:sz w:val="24"/>
                <w:szCs w:val="24"/>
                <w:lang w:val="fr-FR"/>
              </w:rPr>
            </w:pPr>
            <w:r w:rsidRPr="00863A7F">
              <w:rPr>
                <w:rFonts w:ascii="Times New Roman" w:hAnsi="Times New Roman" w:cs="Times New Roman"/>
                <w:b w:val="0"/>
                <w:bCs w:val="0"/>
                <w:sz w:val="24"/>
                <w:szCs w:val="24"/>
                <w:lang w:val="fr-FR"/>
              </w:rPr>
              <w:t>Maître de Conférences agrégé</w:t>
            </w:r>
          </w:p>
          <w:p w14:paraId="4D5609E6" w14:textId="77777777" w:rsidR="005930FE" w:rsidRDefault="005930FE" w:rsidP="00204A86">
            <w:pPr>
              <w:jc w:val="both"/>
              <w:rPr>
                <w:rFonts w:ascii="Times New Roman" w:hAnsi="Times New Roman" w:cs="Times New Roman"/>
                <w:sz w:val="24"/>
                <w:szCs w:val="24"/>
                <w:lang w:val="fr-FR"/>
              </w:rPr>
            </w:pPr>
            <w:r w:rsidRPr="00863A7F">
              <w:rPr>
                <w:rFonts w:ascii="Times New Roman" w:hAnsi="Times New Roman" w:cs="Times New Roman"/>
                <w:b w:val="0"/>
                <w:bCs w:val="0"/>
                <w:sz w:val="24"/>
                <w:szCs w:val="24"/>
                <w:lang w:val="fr-FR"/>
              </w:rPr>
              <w:t>Université Thomas SANKARA</w:t>
            </w:r>
          </w:p>
        </w:tc>
        <w:tc>
          <w:tcPr>
            <w:tcW w:w="4675" w:type="dxa"/>
            <w:shd w:val="clear" w:color="auto" w:fill="auto"/>
          </w:tcPr>
          <w:p w14:paraId="78C695B7" w14:textId="77777777" w:rsidR="005930FE" w:rsidRPr="00F73044" w:rsidRDefault="005930FE" w:rsidP="00204A8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F73044">
              <w:rPr>
                <w:rFonts w:ascii="Times New Roman" w:hAnsi="Times New Roman" w:cs="Times New Roman"/>
                <w:sz w:val="24"/>
                <w:szCs w:val="24"/>
                <w:lang w:val="fr-FR"/>
              </w:rPr>
              <w:t xml:space="preserve">        </w:t>
            </w:r>
            <w:r w:rsidRPr="00F73044">
              <w:rPr>
                <w:rFonts w:ascii="Times New Roman" w:hAnsi="Times New Roman" w:cs="Times New Roman"/>
                <w:sz w:val="24"/>
                <w:szCs w:val="24"/>
                <w:u w:val="single"/>
                <w:lang w:val="fr-FR"/>
              </w:rPr>
              <w:t>et de la codirection de</w:t>
            </w:r>
            <w:r w:rsidRPr="00F73044">
              <w:rPr>
                <w:rFonts w:ascii="Times New Roman" w:hAnsi="Times New Roman" w:cs="Times New Roman"/>
                <w:sz w:val="24"/>
                <w:szCs w:val="24"/>
                <w:lang w:val="fr-FR"/>
              </w:rPr>
              <w:t xml:space="preserve"> :</w:t>
            </w:r>
          </w:p>
          <w:p w14:paraId="756A9386" w14:textId="77777777" w:rsidR="005930FE" w:rsidRPr="00443F97" w:rsidRDefault="005930FE" w:rsidP="00204A8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fr-FR"/>
              </w:rPr>
            </w:pPr>
            <w:r>
              <w:rPr>
                <w:rFonts w:ascii="Times New Roman" w:hAnsi="Times New Roman" w:cs="Times New Roman"/>
                <w:sz w:val="24"/>
                <w:szCs w:val="24"/>
                <w:lang w:val="fr-FR"/>
              </w:rPr>
              <w:t xml:space="preserve">        </w:t>
            </w:r>
            <w:r w:rsidRPr="00443F97">
              <w:rPr>
                <w:rFonts w:ascii="Times New Roman" w:hAnsi="Times New Roman" w:cs="Times New Roman"/>
                <w:sz w:val="24"/>
                <w:szCs w:val="24"/>
                <w:lang w:val="fr-FR"/>
              </w:rPr>
              <w:t>Professeur Esso Hanam ATAKE</w:t>
            </w:r>
          </w:p>
          <w:p w14:paraId="14AA7A3D" w14:textId="77777777" w:rsidR="005930FE" w:rsidRPr="00863A7F" w:rsidRDefault="005930FE" w:rsidP="00204A8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fr-FR"/>
              </w:rPr>
            </w:pPr>
            <w:r>
              <w:rPr>
                <w:rFonts w:ascii="Times New Roman" w:hAnsi="Times New Roman" w:cs="Times New Roman"/>
                <w:b w:val="0"/>
                <w:bCs w:val="0"/>
                <w:sz w:val="24"/>
                <w:szCs w:val="24"/>
                <w:lang w:val="fr-FR"/>
              </w:rPr>
              <w:t xml:space="preserve">        </w:t>
            </w:r>
            <w:r w:rsidRPr="00863A7F">
              <w:rPr>
                <w:rFonts w:ascii="Times New Roman" w:hAnsi="Times New Roman" w:cs="Times New Roman"/>
                <w:b w:val="0"/>
                <w:bCs w:val="0"/>
                <w:sz w:val="24"/>
                <w:szCs w:val="24"/>
                <w:lang w:val="fr-FR"/>
              </w:rPr>
              <w:t>Maître de conférences agrégé</w:t>
            </w:r>
          </w:p>
          <w:p w14:paraId="6B2021B1" w14:textId="77777777" w:rsidR="005930FE" w:rsidRDefault="005930FE" w:rsidP="00204A8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b w:val="0"/>
                <w:bCs w:val="0"/>
                <w:sz w:val="24"/>
                <w:szCs w:val="24"/>
                <w:lang w:val="fr-FR"/>
              </w:rPr>
              <w:t xml:space="preserve">        </w:t>
            </w:r>
            <w:r w:rsidRPr="00863A7F">
              <w:rPr>
                <w:rFonts w:ascii="Times New Roman" w:hAnsi="Times New Roman" w:cs="Times New Roman"/>
                <w:b w:val="0"/>
                <w:bCs w:val="0"/>
                <w:sz w:val="24"/>
                <w:szCs w:val="24"/>
                <w:lang w:val="fr-FR"/>
              </w:rPr>
              <w:t>Université de   Lomé</w:t>
            </w:r>
          </w:p>
        </w:tc>
      </w:tr>
    </w:tbl>
    <w:p w14:paraId="01370B5D" w14:textId="0797B195" w:rsidR="00D52767" w:rsidRPr="00E65124" w:rsidRDefault="005930FE" w:rsidP="00D52767">
      <w:pPr>
        <w:rPr>
          <w:rFonts w:ascii="Times New Roman" w:hAnsi="Times New Roman" w:cs="Times New Roman"/>
        </w:rPr>
      </w:pPr>
      <w:r w:rsidRPr="00443F97">
        <w:rPr>
          <w:rFonts w:ascii="Times New Roman" w:hAnsi="Times New Roman" w:cs="Times New Roman"/>
          <w:sz w:val="24"/>
          <w:szCs w:val="24"/>
          <w:lang w:val="fr-FR"/>
        </w:rPr>
        <w:t xml:space="preserve"> </w:t>
      </w:r>
      <w:r w:rsidR="00D52767" w:rsidRPr="00E65124">
        <w:rPr>
          <w:rFonts w:ascii="Times New Roman" w:hAnsi="Times New Roman" w:cs="Times New Roman"/>
        </w:rPr>
        <w:t>Email:loabasali@yahoo.fr</w:t>
      </w:r>
      <w:r w:rsidR="00D52767">
        <w:rPr>
          <w:rFonts w:ascii="Times New Roman" w:hAnsi="Times New Roman" w:cs="Times New Roman"/>
        </w:rPr>
        <w:t xml:space="preserve">                                               </w:t>
      </w:r>
      <w:r w:rsidR="00093BE8">
        <w:rPr>
          <w:rFonts w:ascii="Times New Roman" w:hAnsi="Times New Roman" w:cs="Times New Roman"/>
        </w:rPr>
        <w:t xml:space="preserve">    </w:t>
      </w:r>
      <w:r w:rsidR="00D52767">
        <w:rPr>
          <w:rFonts w:ascii="Times New Roman" w:hAnsi="Times New Roman" w:cs="Times New Roman"/>
        </w:rPr>
        <w:t xml:space="preserve"> E</w:t>
      </w:r>
      <w:r w:rsidR="00093BE8">
        <w:rPr>
          <w:rFonts w:ascii="Times New Roman" w:hAnsi="Times New Roman" w:cs="Times New Roman"/>
        </w:rPr>
        <w:t>mail:</w:t>
      </w:r>
      <w:r w:rsidR="00D52767">
        <w:rPr>
          <w:rFonts w:ascii="Times New Roman" w:hAnsi="Times New Roman" w:cs="Times New Roman"/>
        </w:rPr>
        <w:t xml:space="preserve"> </w:t>
      </w:r>
      <w:r w:rsidR="00D52767" w:rsidRPr="00E65124">
        <w:rPr>
          <w:rFonts w:ascii="Times New Roman" w:hAnsi="Times New Roman" w:cs="Times New Roman"/>
        </w:rPr>
        <w:t>hatake@univ-lome.tg</w:t>
      </w:r>
    </w:p>
    <w:p w14:paraId="03EF7E3B" w14:textId="37BB906E" w:rsidR="00D52767" w:rsidRPr="00E65124" w:rsidRDefault="00D52767" w:rsidP="00D52767">
      <w:pPr>
        <w:rPr>
          <w:rFonts w:ascii="Times New Roman" w:hAnsi="Times New Roman" w:cs="Times New Roman"/>
        </w:rPr>
      </w:pPr>
    </w:p>
    <w:p w14:paraId="4747BC72" w14:textId="15CA496B" w:rsidR="005930FE" w:rsidRPr="00443F97" w:rsidRDefault="005930FE" w:rsidP="005930FE">
      <w:pPr>
        <w:tabs>
          <w:tab w:val="left" w:pos="3503"/>
          <w:tab w:val="center" w:pos="5076"/>
        </w:tabs>
        <w:jc w:val="both"/>
        <w:rPr>
          <w:lang w:val="fr-FR"/>
        </w:rPr>
      </w:pPr>
    </w:p>
    <w:p w14:paraId="5A0F7CA8" w14:textId="7EC3F45F" w:rsidR="005930FE" w:rsidRPr="003C4D65" w:rsidRDefault="005930FE" w:rsidP="00D52767">
      <w:pPr>
        <w:tabs>
          <w:tab w:val="left" w:pos="8370"/>
        </w:tabs>
        <w:rPr>
          <w:rFonts w:ascii="Times New Roman" w:hAnsi="Times New Roman" w:cs="Times New Roman"/>
          <w:sz w:val="24"/>
          <w:szCs w:val="24"/>
          <w:lang w:val="fr-FR"/>
        </w:rPr>
      </w:pPr>
      <w:r w:rsidRPr="003C4D65">
        <w:rPr>
          <w:rFonts w:ascii="Times New Roman" w:hAnsi="Times New Roman" w:cs="Times New Roman"/>
          <w:sz w:val="24"/>
          <w:szCs w:val="24"/>
          <w:lang w:val="fr-FR"/>
        </w:rPr>
        <w:tab/>
      </w:r>
    </w:p>
    <w:p w14:paraId="6C43782D" w14:textId="0B2A968C" w:rsidR="00967CB8" w:rsidRPr="003C4D65" w:rsidRDefault="00B80D64" w:rsidP="00967CB8">
      <w:pPr>
        <w:rPr>
          <w:rFonts w:ascii="Times New Roman" w:hAnsi="Times New Roman" w:cs="Times New Roman"/>
          <w:sz w:val="24"/>
          <w:szCs w:val="24"/>
          <w:lang w:val="fr-BF"/>
        </w:rPr>
      </w:pPr>
      <w:r w:rsidRPr="003C4D65">
        <w:rPr>
          <w:rFonts w:ascii="Times New Roman" w:hAnsi="Times New Roman" w:cs="Times New Roman"/>
          <w:b/>
          <w:sz w:val="24"/>
          <w:szCs w:val="24"/>
        </w:rPr>
        <w:t>Communication présentée dans le cadre de :</w:t>
      </w:r>
      <w:r w:rsidRPr="003C4D65">
        <w:rPr>
          <w:rFonts w:ascii="Times New Roman" w:hAnsi="Times New Roman" w:cs="Times New Roman"/>
          <w:b/>
          <w:sz w:val="24"/>
          <w:szCs w:val="24"/>
        </w:rPr>
        <w:br/>
      </w:r>
      <w:r w:rsidR="00967CB8" w:rsidRPr="003C4D65">
        <w:rPr>
          <w:rFonts w:ascii="Times New Roman" w:hAnsi="Times New Roman" w:cs="Times New Roman"/>
          <w:sz w:val="24"/>
          <w:szCs w:val="24"/>
          <w:lang w:val="fr-BF"/>
        </w:rPr>
        <w:t xml:space="preserve">Conférence annuelle de l'Association africaine de finance et d'économie (AFEA) </w:t>
      </w:r>
    </w:p>
    <w:p w14:paraId="3B45C51D" w14:textId="19D01877" w:rsidR="003C4D65" w:rsidRPr="003C4D65" w:rsidRDefault="00B80D64" w:rsidP="003C4D65">
      <w:pPr>
        <w:rPr>
          <w:rFonts w:ascii="Times New Roman" w:hAnsi="Times New Roman" w:cs="Times New Roman"/>
          <w:sz w:val="24"/>
          <w:szCs w:val="24"/>
        </w:rPr>
      </w:pPr>
      <w:r w:rsidRPr="003C4D65">
        <w:rPr>
          <w:rFonts w:ascii="Times New Roman" w:hAnsi="Times New Roman" w:cs="Times New Roman"/>
          <w:sz w:val="24"/>
          <w:szCs w:val="24"/>
        </w:rPr>
        <w:t xml:space="preserve">Lieu : </w:t>
      </w:r>
      <w:r w:rsidR="003C4D65" w:rsidRPr="003C4D65">
        <w:rPr>
          <w:rFonts w:ascii="Times New Roman" w:hAnsi="Times New Roman" w:cs="Times New Roman"/>
          <w:sz w:val="24"/>
          <w:szCs w:val="24"/>
        </w:rPr>
        <w:t>Université de Nairobi Towers, Campus principal, Université de Nairobi, Kenya</w:t>
      </w:r>
      <w:r w:rsidRPr="003C4D65">
        <w:rPr>
          <w:rFonts w:ascii="Times New Roman" w:hAnsi="Times New Roman" w:cs="Times New Roman"/>
          <w:sz w:val="24"/>
          <w:szCs w:val="24"/>
        </w:rPr>
        <w:br/>
        <w:t>Date : 1</w:t>
      </w:r>
      <w:r w:rsidR="00A5166F" w:rsidRPr="003C4D65">
        <w:rPr>
          <w:rFonts w:ascii="Times New Roman" w:hAnsi="Times New Roman" w:cs="Times New Roman"/>
          <w:sz w:val="24"/>
          <w:szCs w:val="24"/>
        </w:rPr>
        <w:t>6</w:t>
      </w:r>
      <w:r w:rsidRPr="003C4D65">
        <w:rPr>
          <w:rFonts w:ascii="Times New Roman" w:hAnsi="Times New Roman" w:cs="Times New Roman"/>
          <w:sz w:val="24"/>
          <w:szCs w:val="24"/>
        </w:rPr>
        <w:t xml:space="preserve"> – 1</w:t>
      </w:r>
      <w:r w:rsidR="00A5166F" w:rsidRPr="003C4D65">
        <w:rPr>
          <w:rFonts w:ascii="Times New Roman" w:hAnsi="Times New Roman" w:cs="Times New Roman"/>
          <w:sz w:val="24"/>
          <w:szCs w:val="24"/>
        </w:rPr>
        <w:t xml:space="preserve">8 Juillet </w:t>
      </w:r>
      <w:r w:rsidRPr="003C4D65">
        <w:rPr>
          <w:rFonts w:ascii="Times New Roman" w:hAnsi="Times New Roman" w:cs="Times New Roman"/>
          <w:sz w:val="24"/>
          <w:szCs w:val="24"/>
        </w:rPr>
        <w:t>2025</w:t>
      </w:r>
    </w:p>
    <w:p w14:paraId="13BCBA67" w14:textId="77777777" w:rsidR="003C4D65" w:rsidRDefault="006D388F" w:rsidP="003C4D65">
      <w:pPr>
        <w:rPr>
          <w:rFonts w:ascii="Times New Roman" w:eastAsia="Times New Roman" w:hAnsi="Times New Roman" w:cs="Times New Roman"/>
          <w:sz w:val="28"/>
          <w:szCs w:val="28"/>
          <w:lang w:val="fr-FR"/>
        </w:rPr>
      </w:pPr>
      <w:r w:rsidRPr="00256989">
        <w:rPr>
          <w:rFonts w:ascii="Times New Roman" w:eastAsia="Times New Roman" w:hAnsi="Times New Roman" w:cs="Times New Roman"/>
          <w:sz w:val="28"/>
          <w:szCs w:val="28"/>
          <w:lang w:val="fr-FR"/>
        </w:rPr>
        <w:t xml:space="preserve"> </w:t>
      </w:r>
    </w:p>
    <w:p w14:paraId="35FE24F1" w14:textId="4A47D078" w:rsidR="009C0341" w:rsidRPr="003C4D65" w:rsidRDefault="006D388F" w:rsidP="003C4D65">
      <w:pPr>
        <w:rPr>
          <w:sz w:val="28"/>
          <w:szCs w:val="28"/>
        </w:rPr>
      </w:pPr>
      <w:r w:rsidRPr="00256989">
        <w:rPr>
          <w:rFonts w:ascii="Times New Roman" w:eastAsia="Times New Roman" w:hAnsi="Times New Roman" w:cs="Times New Roman"/>
          <w:sz w:val="28"/>
          <w:szCs w:val="28"/>
          <w:lang w:val="fr-FR"/>
        </w:rPr>
        <w:t xml:space="preserve">                                     </w:t>
      </w:r>
    </w:p>
    <w:p w14:paraId="1A3B1F88" w14:textId="12045B6A" w:rsidR="009D1D72" w:rsidRPr="005A5406" w:rsidRDefault="00A86570" w:rsidP="009D1D72">
      <w:pPr>
        <w:rPr>
          <w:rFonts w:ascii="Times New Roman" w:eastAsia="Times New Roman" w:hAnsi="Times New Roman" w:cs="Times New Roman"/>
          <w:b/>
          <w:bCs/>
          <w:sz w:val="24"/>
          <w:szCs w:val="24"/>
          <w:lang w:val="fr-FR"/>
        </w:rPr>
      </w:pPr>
      <w:bookmarkStart w:id="0" w:name="_Hlk190026104"/>
      <w:r w:rsidRPr="005A5406">
        <w:rPr>
          <w:rFonts w:ascii="Times New Roman" w:eastAsia="Times New Roman" w:hAnsi="Times New Roman" w:cs="Times New Roman"/>
          <w:b/>
          <w:bCs/>
          <w:sz w:val="24"/>
          <w:szCs w:val="24"/>
          <w:lang w:val="fr-FR"/>
        </w:rPr>
        <w:lastRenderedPageBreak/>
        <w:t>Résumé</w:t>
      </w:r>
    </w:p>
    <w:p w14:paraId="4469F66A" w14:textId="7B618E50" w:rsidR="00AB52AB" w:rsidRPr="00A129F3" w:rsidRDefault="006E40C4" w:rsidP="008C1E4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L’objectif de c</w:t>
      </w:r>
      <w:r w:rsidR="00AB52AB" w:rsidRPr="00AB52AB">
        <w:rPr>
          <w:rFonts w:ascii="Times New Roman" w:eastAsia="Times New Roman" w:hAnsi="Times New Roman" w:cs="Times New Roman"/>
          <w:color w:val="000000"/>
          <w:sz w:val="24"/>
          <w:szCs w:val="24"/>
        </w:rPr>
        <w:t xml:space="preserve">ette </w:t>
      </w:r>
      <w:r>
        <w:rPr>
          <w:rFonts w:ascii="Times New Roman" w:eastAsia="Times New Roman" w:hAnsi="Times New Roman" w:cs="Times New Roman"/>
          <w:color w:val="000000"/>
          <w:sz w:val="24"/>
          <w:szCs w:val="24"/>
        </w:rPr>
        <w:t>recherche est d’</w:t>
      </w:r>
      <w:r w:rsidR="00AB52AB" w:rsidRPr="00AB52AB">
        <w:rPr>
          <w:rFonts w:ascii="Times New Roman" w:eastAsia="Times New Roman" w:hAnsi="Times New Roman" w:cs="Times New Roman"/>
          <w:color w:val="000000"/>
          <w:sz w:val="24"/>
          <w:szCs w:val="24"/>
        </w:rPr>
        <w:t>analyse</w:t>
      </w:r>
      <w:r>
        <w:rPr>
          <w:rFonts w:ascii="Times New Roman" w:eastAsia="Times New Roman" w:hAnsi="Times New Roman" w:cs="Times New Roman"/>
          <w:color w:val="000000"/>
          <w:sz w:val="24"/>
          <w:szCs w:val="24"/>
        </w:rPr>
        <w:t>r</w:t>
      </w:r>
      <w:r w:rsidR="00AB52AB" w:rsidRPr="00AB52AB">
        <w:rPr>
          <w:rFonts w:ascii="Times New Roman" w:eastAsia="Times New Roman" w:hAnsi="Times New Roman" w:cs="Times New Roman"/>
          <w:color w:val="000000"/>
          <w:sz w:val="24"/>
          <w:szCs w:val="24"/>
        </w:rPr>
        <w:t xml:space="preserve"> l'</w:t>
      </w:r>
      <w:r w:rsidR="00AB52AB">
        <w:rPr>
          <w:rFonts w:ascii="Times New Roman" w:eastAsia="Times New Roman" w:hAnsi="Times New Roman" w:cs="Times New Roman"/>
          <w:color w:val="000000"/>
          <w:sz w:val="24"/>
          <w:szCs w:val="24"/>
        </w:rPr>
        <w:t>effet</w:t>
      </w:r>
      <w:r w:rsidR="00AB52AB" w:rsidRPr="00AB52AB">
        <w:rPr>
          <w:rFonts w:ascii="Times New Roman" w:eastAsia="Times New Roman" w:hAnsi="Times New Roman" w:cs="Times New Roman"/>
          <w:color w:val="000000"/>
          <w:sz w:val="24"/>
          <w:szCs w:val="24"/>
        </w:rPr>
        <w:t xml:space="preserve"> de la structure fiscale</w:t>
      </w:r>
      <w:r w:rsidR="00541ADF">
        <w:rPr>
          <w:rFonts w:ascii="Times New Roman" w:eastAsia="Times New Roman" w:hAnsi="Times New Roman" w:cs="Times New Roman"/>
          <w:color w:val="000000"/>
          <w:sz w:val="24"/>
          <w:szCs w:val="24"/>
        </w:rPr>
        <w:t>,</w:t>
      </w:r>
      <w:r w:rsidR="00AB52AB" w:rsidRPr="00AB52AB">
        <w:rPr>
          <w:rFonts w:ascii="Times New Roman" w:eastAsia="Times New Roman" w:hAnsi="Times New Roman" w:cs="Times New Roman"/>
          <w:color w:val="000000"/>
          <w:sz w:val="24"/>
          <w:szCs w:val="24"/>
        </w:rPr>
        <w:t xml:space="preserve"> </w:t>
      </w:r>
      <w:r w:rsidR="00541ADF">
        <w:rPr>
          <w:rFonts w:ascii="Times New Roman" w:eastAsia="Times New Roman" w:hAnsi="Times New Roman" w:cs="Times New Roman"/>
          <w:color w:val="000000"/>
          <w:sz w:val="24"/>
          <w:szCs w:val="24"/>
        </w:rPr>
        <w:t>notamment de la Taxe sur la valeur ajouté</w:t>
      </w:r>
      <w:r w:rsidR="00E26D33">
        <w:rPr>
          <w:rFonts w:ascii="Times New Roman" w:eastAsia="Times New Roman" w:hAnsi="Times New Roman" w:cs="Times New Roman"/>
          <w:color w:val="000000"/>
          <w:sz w:val="24"/>
          <w:szCs w:val="24"/>
        </w:rPr>
        <w:t>e</w:t>
      </w:r>
      <w:r w:rsidR="00541ADF">
        <w:rPr>
          <w:rFonts w:ascii="Times New Roman" w:eastAsia="Times New Roman" w:hAnsi="Times New Roman" w:cs="Times New Roman"/>
          <w:color w:val="000000"/>
          <w:sz w:val="24"/>
          <w:szCs w:val="24"/>
        </w:rPr>
        <w:t xml:space="preserve"> (TVA) et de l’impôt unique et traitements sur les</w:t>
      </w:r>
      <w:r w:rsidR="00524636">
        <w:rPr>
          <w:rFonts w:ascii="Times New Roman" w:eastAsia="Times New Roman" w:hAnsi="Times New Roman" w:cs="Times New Roman"/>
          <w:color w:val="000000"/>
          <w:sz w:val="24"/>
          <w:szCs w:val="24"/>
        </w:rPr>
        <w:t xml:space="preserve"> salaires (IUTS)</w:t>
      </w:r>
      <w:r w:rsidR="005B4D7A">
        <w:rPr>
          <w:rFonts w:ascii="Times New Roman" w:eastAsia="Times New Roman" w:hAnsi="Times New Roman" w:cs="Times New Roman"/>
          <w:color w:val="000000"/>
          <w:sz w:val="24"/>
          <w:szCs w:val="24"/>
        </w:rPr>
        <w:t xml:space="preserve"> sur</w:t>
      </w:r>
      <w:r w:rsidR="00AB52AB" w:rsidRPr="00AB52AB">
        <w:rPr>
          <w:rFonts w:ascii="Times New Roman" w:eastAsia="Times New Roman" w:hAnsi="Times New Roman" w:cs="Times New Roman"/>
          <w:color w:val="000000"/>
          <w:sz w:val="24"/>
          <w:szCs w:val="24"/>
        </w:rPr>
        <w:t xml:space="preserve"> les dépenses de consommati</w:t>
      </w:r>
      <w:r w:rsidR="005B4D7A">
        <w:rPr>
          <w:rFonts w:ascii="Times New Roman" w:eastAsia="Times New Roman" w:hAnsi="Times New Roman" w:cs="Times New Roman"/>
          <w:color w:val="000000"/>
          <w:sz w:val="24"/>
          <w:szCs w:val="24"/>
        </w:rPr>
        <w:t>on des ménages au Burkina Faso</w:t>
      </w:r>
      <w:r w:rsidR="00D12DAE">
        <w:rPr>
          <w:rFonts w:ascii="Times New Roman" w:eastAsia="Times New Roman" w:hAnsi="Times New Roman" w:cs="Times New Roman"/>
          <w:color w:val="000000"/>
          <w:sz w:val="24"/>
          <w:szCs w:val="24"/>
        </w:rPr>
        <w:t>,</w:t>
      </w:r>
      <w:r w:rsidR="005B4D7A">
        <w:rPr>
          <w:rFonts w:ascii="Times New Roman" w:eastAsia="Times New Roman" w:hAnsi="Times New Roman" w:cs="Times New Roman"/>
          <w:color w:val="000000"/>
          <w:sz w:val="24"/>
          <w:szCs w:val="24"/>
        </w:rPr>
        <w:t xml:space="preserve"> </w:t>
      </w:r>
      <w:r w:rsidR="00D12DAE">
        <w:rPr>
          <w:rFonts w:ascii="Times New Roman" w:eastAsia="Times New Roman" w:hAnsi="Times New Roman" w:cs="Times New Roman"/>
          <w:color w:val="000000"/>
          <w:sz w:val="24"/>
          <w:szCs w:val="24"/>
        </w:rPr>
        <w:t xml:space="preserve">à </w:t>
      </w:r>
      <w:r w:rsidR="005B4D7A">
        <w:rPr>
          <w:rFonts w:ascii="Times New Roman" w:eastAsia="Times New Roman" w:hAnsi="Times New Roman" w:cs="Times New Roman"/>
          <w:color w:val="000000"/>
          <w:sz w:val="24"/>
          <w:szCs w:val="24"/>
        </w:rPr>
        <w:t xml:space="preserve">partir des données trimestrielles </w:t>
      </w:r>
      <w:r w:rsidR="00F628F2">
        <w:rPr>
          <w:rFonts w:ascii="Times New Roman" w:eastAsia="Times New Roman" w:hAnsi="Times New Roman" w:cs="Times New Roman"/>
          <w:color w:val="000000"/>
          <w:sz w:val="24"/>
          <w:szCs w:val="24"/>
        </w:rPr>
        <w:t>couvrant la période de 2003 à 2021 et de 2015 à 2021</w:t>
      </w:r>
      <w:r w:rsidR="0047638A">
        <w:rPr>
          <w:rFonts w:ascii="Times New Roman" w:eastAsia="Times New Roman" w:hAnsi="Times New Roman" w:cs="Times New Roman"/>
          <w:color w:val="000000"/>
          <w:sz w:val="24"/>
          <w:szCs w:val="24"/>
        </w:rPr>
        <w:t xml:space="preserve"> et à l’aide d’un modèle ARDL</w:t>
      </w:r>
      <w:r w:rsidR="00D12DAE">
        <w:rPr>
          <w:rFonts w:ascii="Times New Roman" w:eastAsia="Times New Roman" w:hAnsi="Times New Roman" w:cs="Times New Roman"/>
          <w:color w:val="000000"/>
          <w:sz w:val="24"/>
          <w:szCs w:val="24"/>
        </w:rPr>
        <w:t>.</w:t>
      </w:r>
      <w:r w:rsidR="00B4594F">
        <w:rPr>
          <w:rFonts w:ascii="Times New Roman" w:eastAsia="Times New Roman" w:hAnsi="Times New Roman" w:cs="Times New Roman"/>
          <w:color w:val="000000"/>
          <w:sz w:val="24"/>
          <w:szCs w:val="24"/>
        </w:rPr>
        <w:t xml:space="preserve"> </w:t>
      </w:r>
      <w:r w:rsidR="00D12DAE">
        <w:rPr>
          <w:rFonts w:ascii="Times New Roman" w:eastAsia="Times New Roman" w:hAnsi="Times New Roman" w:cs="Times New Roman"/>
          <w:color w:val="000000"/>
          <w:sz w:val="24"/>
          <w:szCs w:val="24"/>
        </w:rPr>
        <w:t>L</w:t>
      </w:r>
      <w:r w:rsidR="00B657E4" w:rsidRPr="00B657E4">
        <w:rPr>
          <w:rFonts w:ascii="Times New Roman" w:hAnsi="Times New Roman" w:cs="Times New Roman"/>
          <w:sz w:val="24"/>
          <w:szCs w:val="24"/>
        </w:rPr>
        <w:t>es résultats montrent que la</w:t>
      </w:r>
      <w:r w:rsidR="00327CB4">
        <w:rPr>
          <w:rFonts w:ascii="Times New Roman" w:hAnsi="Times New Roman" w:cs="Times New Roman"/>
          <w:sz w:val="24"/>
          <w:szCs w:val="24"/>
        </w:rPr>
        <w:t xml:space="preserve"> hausse de la</w:t>
      </w:r>
      <w:r w:rsidR="00B657E4" w:rsidRPr="00B657E4">
        <w:rPr>
          <w:rFonts w:ascii="Times New Roman" w:hAnsi="Times New Roman" w:cs="Times New Roman"/>
          <w:sz w:val="24"/>
          <w:szCs w:val="24"/>
        </w:rPr>
        <w:t xml:space="preserve"> TVA augmente certaines dépenses (alimentation, transport, communication) à court et long terme, mais réduit celles liées à la santé, à l’éducation et au</w:t>
      </w:r>
      <w:r w:rsidR="000945E9">
        <w:rPr>
          <w:rFonts w:ascii="Times New Roman" w:hAnsi="Times New Roman" w:cs="Times New Roman"/>
          <w:sz w:val="24"/>
          <w:szCs w:val="24"/>
        </w:rPr>
        <w:t>x</w:t>
      </w:r>
      <w:r w:rsidR="00B657E4" w:rsidRPr="00B657E4">
        <w:rPr>
          <w:rFonts w:ascii="Times New Roman" w:hAnsi="Times New Roman" w:cs="Times New Roman"/>
          <w:sz w:val="24"/>
          <w:szCs w:val="24"/>
        </w:rPr>
        <w:t xml:space="preserve"> </w:t>
      </w:r>
      <w:r w:rsidR="000945E9" w:rsidRPr="00B657E4">
        <w:rPr>
          <w:rFonts w:ascii="Times New Roman" w:hAnsi="Times New Roman" w:cs="Times New Roman"/>
          <w:sz w:val="24"/>
          <w:szCs w:val="24"/>
        </w:rPr>
        <w:t>logements</w:t>
      </w:r>
      <w:r w:rsidR="00B657E4">
        <w:t xml:space="preserve">. </w:t>
      </w:r>
      <w:r w:rsidR="00F423B0">
        <w:rPr>
          <w:rFonts w:ascii="Times New Roman" w:eastAsia="Times New Roman" w:hAnsi="Times New Roman" w:cs="Times New Roman"/>
          <w:color w:val="000000"/>
          <w:sz w:val="24"/>
          <w:szCs w:val="24"/>
        </w:rPr>
        <w:t>Qu</w:t>
      </w:r>
      <w:r w:rsidR="000F6BEF">
        <w:rPr>
          <w:rFonts w:ascii="Times New Roman" w:eastAsia="Times New Roman" w:hAnsi="Times New Roman" w:cs="Times New Roman"/>
          <w:color w:val="000000"/>
          <w:sz w:val="24"/>
          <w:szCs w:val="24"/>
        </w:rPr>
        <w:t xml:space="preserve">ant à </w:t>
      </w:r>
      <w:r w:rsidR="00AB52AB" w:rsidRPr="00AB52AB">
        <w:rPr>
          <w:rFonts w:ascii="Times New Roman" w:eastAsia="Times New Roman" w:hAnsi="Times New Roman" w:cs="Times New Roman"/>
          <w:color w:val="000000"/>
          <w:sz w:val="24"/>
          <w:szCs w:val="24"/>
        </w:rPr>
        <w:t>l'IUTS</w:t>
      </w:r>
      <w:r w:rsidR="000F6BEF">
        <w:rPr>
          <w:rFonts w:ascii="Times New Roman" w:eastAsia="Times New Roman" w:hAnsi="Times New Roman" w:cs="Times New Roman"/>
          <w:color w:val="000000"/>
          <w:sz w:val="24"/>
          <w:szCs w:val="24"/>
        </w:rPr>
        <w:t>,</w:t>
      </w:r>
      <w:r w:rsidR="00654883">
        <w:rPr>
          <w:rFonts w:ascii="Times New Roman" w:eastAsia="Times New Roman" w:hAnsi="Times New Roman" w:cs="Times New Roman"/>
          <w:color w:val="000000"/>
          <w:sz w:val="24"/>
          <w:szCs w:val="24"/>
        </w:rPr>
        <w:t xml:space="preserve"> à </w:t>
      </w:r>
      <w:r w:rsidR="003777B1">
        <w:rPr>
          <w:rFonts w:ascii="Times New Roman" w:eastAsia="Times New Roman" w:hAnsi="Times New Roman" w:cs="Times New Roman"/>
          <w:color w:val="000000"/>
          <w:sz w:val="24"/>
          <w:szCs w:val="24"/>
        </w:rPr>
        <w:t>court terme,</w:t>
      </w:r>
      <w:r w:rsidR="000C0D5A">
        <w:rPr>
          <w:rFonts w:ascii="Times New Roman" w:eastAsia="Times New Roman" w:hAnsi="Times New Roman" w:cs="Times New Roman"/>
          <w:color w:val="000000"/>
          <w:sz w:val="24"/>
          <w:szCs w:val="24"/>
        </w:rPr>
        <w:t xml:space="preserve"> </w:t>
      </w:r>
      <w:r w:rsidR="000F6BEF">
        <w:rPr>
          <w:rFonts w:ascii="Times New Roman" w:eastAsia="Times New Roman" w:hAnsi="Times New Roman" w:cs="Times New Roman"/>
          <w:color w:val="000000"/>
          <w:sz w:val="24"/>
          <w:szCs w:val="24"/>
        </w:rPr>
        <w:t>il</w:t>
      </w:r>
      <w:r w:rsidR="00AB52AB" w:rsidRPr="00AB52AB">
        <w:rPr>
          <w:rFonts w:ascii="Times New Roman" w:eastAsia="Times New Roman" w:hAnsi="Times New Roman" w:cs="Times New Roman"/>
          <w:color w:val="000000"/>
          <w:sz w:val="24"/>
          <w:szCs w:val="24"/>
        </w:rPr>
        <w:t xml:space="preserve"> a un effet négatif </w:t>
      </w:r>
      <w:r w:rsidR="000C0D5A">
        <w:rPr>
          <w:rFonts w:ascii="Times New Roman" w:eastAsia="Times New Roman" w:hAnsi="Times New Roman" w:cs="Times New Roman"/>
          <w:color w:val="000000"/>
          <w:sz w:val="24"/>
          <w:szCs w:val="24"/>
        </w:rPr>
        <w:t>sur les dépenses li</w:t>
      </w:r>
      <w:r w:rsidR="00B32C32">
        <w:rPr>
          <w:rFonts w:ascii="Times New Roman" w:eastAsia="Times New Roman" w:hAnsi="Times New Roman" w:cs="Times New Roman"/>
          <w:color w:val="000000"/>
          <w:sz w:val="24"/>
          <w:szCs w:val="24"/>
        </w:rPr>
        <w:t>ées à l</w:t>
      </w:r>
      <w:r w:rsidR="003777B1">
        <w:rPr>
          <w:rFonts w:ascii="Times New Roman" w:eastAsia="Times New Roman" w:hAnsi="Times New Roman" w:cs="Times New Roman"/>
          <w:color w:val="000000"/>
          <w:sz w:val="24"/>
          <w:szCs w:val="24"/>
        </w:rPr>
        <w:t>’</w:t>
      </w:r>
      <w:r w:rsidR="00B32C32">
        <w:rPr>
          <w:rFonts w:ascii="Times New Roman" w:eastAsia="Times New Roman" w:hAnsi="Times New Roman" w:cs="Times New Roman"/>
          <w:color w:val="000000"/>
          <w:sz w:val="24"/>
          <w:szCs w:val="24"/>
        </w:rPr>
        <w:t>éducation</w:t>
      </w:r>
      <w:r w:rsidR="00AB52AB" w:rsidRPr="00AB52AB">
        <w:rPr>
          <w:rFonts w:ascii="Times New Roman" w:eastAsia="Times New Roman" w:hAnsi="Times New Roman" w:cs="Times New Roman"/>
          <w:color w:val="000000"/>
          <w:sz w:val="24"/>
          <w:szCs w:val="24"/>
        </w:rPr>
        <w:t xml:space="preserve"> </w:t>
      </w:r>
      <w:r w:rsidR="00EF58B5">
        <w:rPr>
          <w:rFonts w:ascii="Times New Roman" w:eastAsia="Times New Roman" w:hAnsi="Times New Roman" w:cs="Times New Roman"/>
          <w:color w:val="000000"/>
          <w:sz w:val="24"/>
          <w:szCs w:val="24"/>
        </w:rPr>
        <w:t xml:space="preserve">et la </w:t>
      </w:r>
      <w:r w:rsidR="007029F6">
        <w:rPr>
          <w:rFonts w:ascii="Times New Roman" w:eastAsia="Times New Roman" w:hAnsi="Times New Roman" w:cs="Times New Roman"/>
          <w:color w:val="000000"/>
          <w:sz w:val="24"/>
          <w:szCs w:val="24"/>
        </w:rPr>
        <w:t>santé, aux boissons alcoolisées</w:t>
      </w:r>
      <w:r w:rsidR="00EF58B5">
        <w:rPr>
          <w:rFonts w:ascii="Times New Roman" w:eastAsia="Times New Roman" w:hAnsi="Times New Roman" w:cs="Times New Roman"/>
          <w:color w:val="000000"/>
          <w:sz w:val="24"/>
          <w:szCs w:val="24"/>
        </w:rPr>
        <w:t>,</w:t>
      </w:r>
      <w:r w:rsidR="007029F6">
        <w:rPr>
          <w:rFonts w:ascii="Times New Roman" w:eastAsia="Times New Roman" w:hAnsi="Times New Roman" w:cs="Times New Roman"/>
          <w:color w:val="000000"/>
          <w:sz w:val="24"/>
          <w:szCs w:val="24"/>
        </w:rPr>
        <w:t xml:space="preserve"> </w:t>
      </w:r>
      <w:r w:rsidR="00EF58B5">
        <w:rPr>
          <w:rFonts w:ascii="Times New Roman" w:eastAsia="Times New Roman" w:hAnsi="Times New Roman" w:cs="Times New Roman"/>
          <w:color w:val="000000"/>
          <w:sz w:val="24"/>
          <w:szCs w:val="24"/>
        </w:rPr>
        <w:t xml:space="preserve">tabac et </w:t>
      </w:r>
      <w:r w:rsidR="007029F6">
        <w:rPr>
          <w:rFonts w:ascii="Times New Roman" w:eastAsia="Times New Roman" w:hAnsi="Times New Roman" w:cs="Times New Roman"/>
          <w:color w:val="000000"/>
          <w:sz w:val="24"/>
          <w:szCs w:val="24"/>
        </w:rPr>
        <w:t>stupéfiants</w:t>
      </w:r>
      <w:r w:rsidR="00EF58B5">
        <w:rPr>
          <w:rFonts w:ascii="Times New Roman" w:eastAsia="Times New Roman" w:hAnsi="Times New Roman" w:cs="Times New Roman"/>
          <w:color w:val="000000"/>
          <w:sz w:val="24"/>
          <w:szCs w:val="24"/>
        </w:rPr>
        <w:t>,</w:t>
      </w:r>
      <w:r w:rsidR="007029F6">
        <w:rPr>
          <w:rFonts w:ascii="Times New Roman" w:eastAsia="Times New Roman" w:hAnsi="Times New Roman" w:cs="Times New Roman"/>
          <w:color w:val="000000"/>
          <w:sz w:val="24"/>
          <w:szCs w:val="24"/>
        </w:rPr>
        <w:t xml:space="preserve"> aux transports, communications et informations et un </w:t>
      </w:r>
      <w:r w:rsidR="00E26D33">
        <w:rPr>
          <w:rFonts w:ascii="Times New Roman" w:eastAsia="Times New Roman" w:hAnsi="Times New Roman" w:cs="Times New Roman"/>
          <w:color w:val="000000"/>
          <w:sz w:val="24"/>
          <w:szCs w:val="24"/>
        </w:rPr>
        <w:t xml:space="preserve">effet </w:t>
      </w:r>
      <w:r w:rsidR="007029F6">
        <w:rPr>
          <w:rFonts w:ascii="Times New Roman" w:eastAsia="Times New Roman" w:hAnsi="Times New Roman" w:cs="Times New Roman"/>
          <w:color w:val="000000"/>
          <w:sz w:val="24"/>
          <w:szCs w:val="24"/>
        </w:rPr>
        <w:t xml:space="preserve">positif </w:t>
      </w:r>
      <w:r w:rsidR="00637B9B">
        <w:rPr>
          <w:rFonts w:ascii="Times New Roman" w:eastAsia="Times New Roman" w:hAnsi="Times New Roman" w:cs="Times New Roman"/>
          <w:color w:val="000000"/>
          <w:sz w:val="24"/>
          <w:szCs w:val="24"/>
        </w:rPr>
        <w:t>sur les dépenses liées aux log</w:t>
      </w:r>
      <w:r w:rsidR="00FD5FBC">
        <w:rPr>
          <w:rFonts w:ascii="Times New Roman" w:eastAsia="Times New Roman" w:hAnsi="Times New Roman" w:cs="Times New Roman"/>
          <w:color w:val="000000"/>
          <w:sz w:val="24"/>
          <w:szCs w:val="24"/>
        </w:rPr>
        <w:t>ement</w:t>
      </w:r>
      <w:r w:rsidR="00E26D33">
        <w:rPr>
          <w:rFonts w:ascii="Times New Roman" w:eastAsia="Times New Roman" w:hAnsi="Times New Roman" w:cs="Times New Roman"/>
          <w:color w:val="000000"/>
          <w:sz w:val="24"/>
          <w:szCs w:val="24"/>
        </w:rPr>
        <w:t>s</w:t>
      </w:r>
      <w:r w:rsidR="00FD5FBC">
        <w:rPr>
          <w:rFonts w:ascii="Times New Roman" w:eastAsia="Times New Roman" w:hAnsi="Times New Roman" w:cs="Times New Roman"/>
          <w:color w:val="000000"/>
          <w:sz w:val="24"/>
          <w:szCs w:val="24"/>
        </w:rPr>
        <w:t>, l’électricité</w:t>
      </w:r>
      <w:r w:rsidR="00E26D33">
        <w:rPr>
          <w:rFonts w:ascii="Times New Roman" w:eastAsia="Times New Roman" w:hAnsi="Times New Roman" w:cs="Times New Roman"/>
          <w:color w:val="000000"/>
          <w:sz w:val="24"/>
          <w:szCs w:val="24"/>
        </w:rPr>
        <w:t xml:space="preserve"> et</w:t>
      </w:r>
      <w:r w:rsidR="00FD5FBC">
        <w:rPr>
          <w:rFonts w:ascii="Times New Roman" w:eastAsia="Times New Roman" w:hAnsi="Times New Roman" w:cs="Times New Roman"/>
          <w:color w:val="000000"/>
          <w:sz w:val="24"/>
          <w:szCs w:val="24"/>
        </w:rPr>
        <w:t xml:space="preserve"> l’eau</w:t>
      </w:r>
      <w:r w:rsidR="00A129F3">
        <w:rPr>
          <w:rFonts w:ascii="Times New Roman" w:eastAsia="Times New Roman" w:hAnsi="Times New Roman" w:cs="Times New Roman"/>
          <w:color w:val="000000"/>
          <w:sz w:val="24"/>
          <w:szCs w:val="24"/>
        </w:rPr>
        <w:t>. A</w:t>
      </w:r>
      <w:r w:rsidR="00AB52AB" w:rsidRPr="00AB52AB">
        <w:rPr>
          <w:rFonts w:ascii="Times New Roman" w:eastAsia="Times New Roman" w:hAnsi="Times New Roman" w:cs="Times New Roman"/>
          <w:color w:val="000000"/>
          <w:sz w:val="24"/>
          <w:szCs w:val="24"/>
        </w:rPr>
        <w:t xml:space="preserve"> long terme, l'IUTS </w:t>
      </w:r>
      <w:r w:rsidR="00BE5191">
        <w:rPr>
          <w:rFonts w:ascii="Times New Roman" w:eastAsia="Times New Roman" w:hAnsi="Times New Roman" w:cs="Times New Roman"/>
          <w:color w:val="000000"/>
          <w:sz w:val="24"/>
          <w:szCs w:val="24"/>
        </w:rPr>
        <w:t xml:space="preserve">continue </w:t>
      </w:r>
      <w:r w:rsidR="00A52648">
        <w:rPr>
          <w:rFonts w:ascii="Times New Roman" w:eastAsia="Times New Roman" w:hAnsi="Times New Roman" w:cs="Times New Roman"/>
          <w:color w:val="000000"/>
          <w:sz w:val="24"/>
          <w:szCs w:val="24"/>
        </w:rPr>
        <w:t>d’</w:t>
      </w:r>
      <w:r w:rsidR="00103FD6">
        <w:rPr>
          <w:rFonts w:ascii="Times New Roman" w:eastAsia="Times New Roman" w:hAnsi="Times New Roman" w:cs="Times New Roman"/>
          <w:color w:val="000000"/>
          <w:sz w:val="24"/>
          <w:szCs w:val="24"/>
        </w:rPr>
        <w:t>affecter négativement</w:t>
      </w:r>
      <w:r w:rsidR="00AB52AB" w:rsidRPr="00AB52AB">
        <w:rPr>
          <w:rFonts w:ascii="Times New Roman" w:eastAsia="Times New Roman" w:hAnsi="Times New Roman" w:cs="Times New Roman"/>
          <w:color w:val="000000"/>
          <w:sz w:val="24"/>
          <w:szCs w:val="24"/>
        </w:rPr>
        <w:t xml:space="preserve"> les </w:t>
      </w:r>
      <w:r w:rsidR="00103FD6">
        <w:rPr>
          <w:rFonts w:ascii="Times New Roman" w:eastAsia="Times New Roman" w:hAnsi="Times New Roman" w:cs="Times New Roman"/>
          <w:color w:val="000000"/>
          <w:sz w:val="24"/>
          <w:szCs w:val="24"/>
        </w:rPr>
        <w:t>dépenses en santé et éducation</w:t>
      </w:r>
      <w:r w:rsidR="009722C1">
        <w:rPr>
          <w:rFonts w:ascii="Times New Roman" w:eastAsia="Times New Roman" w:hAnsi="Times New Roman" w:cs="Times New Roman"/>
          <w:color w:val="000000"/>
          <w:sz w:val="24"/>
          <w:szCs w:val="24"/>
        </w:rPr>
        <w:t xml:space="preserve">. </w:t>
      </w:r>
      <w:r w:rsidR="00AB52AB" w:rsidRPr="00AB52AB">
        <w:rPr>
          <w:rFonts w:ascii="Times New Roman" w:eastAsia="Times New Roman" w:hAnsi="Times New Roman" w:cs="Times New Roman"/>
          <w:color w:val="000000"/>
          <w:sz w:val="24"/>
          <w:szCs w:val="24"/>
        </w:rPr>
        <w:t>L'implication principale est que le gouvernement pourrait alléger la pression fiscale sur les ménages et réduire la TVA sur les produits de première nécessité pour stimuler la consommation.</w:t>
      </w:r>
    </w:p>
    <w:p w14:paraId="4B19638B" w14:textId="6B2E0804" w:rsidR="00AB52AB" w:rsidRPr="00A54AA8" w:rsidRDefault="00C1610A" w:rsidP="009C0341">
      <w:pPr>
        <w:spacing w:line="360" w:lineRule="auto"/>
        <w:jc w:val="both"/>
        <w:rPr>
          <w:rFonts w:ascii="Times New Roman" w:hAnsi="Times New Roman" w:cs="Times New Roman"/>
          <w:b/>
          <w:bCs/>
          <w:sz w:val="24"/>
          <w:szCs w:val="24"/>
          <w:lang w:val="fr-FR"/>
        </w:rPr>
      </w:pPr>
      <w:r w:rsidRPr="00A54AA8">
        <w:rPr>
          <w:rFonts w:ascii="Times New Roman" w:eastAsia="Times New Roman" w:hAnsi="Times New Roman" w:cs="Times New Roman"/>
          <w:b/>
          <w:bCs/>
          <w:color w:val="000000"/>
          <w:sz w:val="24"/>
          <w:szCs w:val="24"/>
          <w:lang w:val="fr-FR"/>
        </w:rPr>
        <w:t>Mots-clés</w:t>
      </w:r>
      <w:r w:rsidR="005A05DF">
        <w:rPr>
          <w:rFonts w:ascii="Times New Roman" w:eastAsia="Times New Roman" w:hAnsi="Times New Roman" w:cs="Times New Roman"/>
          <w:color w:val="000000"/>
          <w:sz w:val="24"/>
          <w:szCs w:val="24"/>
          <w:lang w:val="fr-FR"/>
        </w:rPr>
        <w:t xml:space="preserve"> </w:t>
      </w:r>
      <w:r w:rsidR="005A05DF" w:rsidRPr="00A54AA8">
        <w:rPr>
          <w:rFonts w:ascii="Times New Roman" w:eastAsia="Times New Roman" w:hAnsi="Times New Roman" w:cs="Times New Roman"/>
          <w:b/>
          <w:bCs/>
          <w:color w:val="000000"/>
          <w:sz w:val="24"/>
          <w:szCs w:val="24"/>
          <w:lang w:val="fr-FR"/>
        </w:rPr>
        <w:t xml:space="preserve">: Structure fiscale, </w:t>
      </w:r>
      <w:r w:rsidR="006E4617">
        <w:rPr>
          <w:rFonts w:ascii="Times New Roman" w:eastAsia="Times New Roman" w:hAnsi="Times New Roman" w:cs="Times New Roman"/>
          <w:b/>
          <w:bCs/>
          <w:color w:val="000000"/>
          <w:sz w:val="24"/>
          <w:szCs w:val="24"/>
          <w:lang w:val="fr-FR"/>
        </w:rPr>
        <w:t>TVA ,IUTS,</w:t>
      </w:r>
      <w:r w:rsidR="00FD52AF">
        <w:rPr>
          <w:rFonts w:ascii="Times New Roman" w:eastAsia="Times New Roman" w:hAnsi="Times New Roman" w:cs="Times New Roman"/>
          <w:b/>
          <w:bCs/>
          <w:color w:val="000000"/>
          <w:sz w:val="24"/>
          <w:szCs w:val="24"/>
          <w:lang w:val="fr-FR"/>
        </w:rPr>
        <w:t xml:space="preserve"> </w:t>
      </w:r>
      <w:r w:rsidR="005A05DF" w:rsidRPr="00A54AA8">
        <w:rPr>
          <w:rFonts w:ascii="Times New Roman" w:eastAsia="Times New Roman" w:hAnsi="Times New Roman" w:cs="Times New Roman"/>
          <w:b/>
          <w:bCs/>
          <w:color w:val="000000"/>
          <w:sz w:val="24"/>
          <w:szCs w:val="24"/>
          <w:lang w:val="fr-FR"/>
        </w:rPr>
        <w:t>dépenses de consommation finale des ménages, Burkina Faso</w:t>
      </w:r>
      <w:r w:rsidR="005E4F3D" w:rsidRPr="00A54AA8">
        <w:rPr>
          <w:rFonts w:ascii="Times New Roman" w:eastAsia="Times New Roman" w:hAnsi="Times New Roman" w:cs="Times New Roman"/>
          <w:b/>
          <w:bCs/>
          <w:color w:val="000000"/>
          <w:sz w:val="24"/>
          <w:szCs w:val="24"/>
          <w:lang w:val="fr-FR"/>
        </w:rPr>
        <w:t>.</w:t>
      </w:r>
    </w:p>
    <w:p w14:paraId="2E269D0F" w14:textId="47217FBB" w:rsidR="009C0341" w:rsidRPr="00E8307F" w:rsidRDefault="000038FF" w:rsidP="009C0341">
      <w:pPr>
        <w:jc w:val="both"/>
        <w:rPr>
          <w:rFonts w:ascii="Times New Roman" w:eastAsia="Times New Roman" w:hAnsi="Times New Roman" w:cs="Times New Roman"/>
          <w:b/>
          <w:bCs/>
          <w:sz w:val="24"/>
          <w:szCs w:val="24"/>
          <w:lang w:val="fr-FR"/>
        </w:rPr>
      </w:pPr>
      <w:r w:rsidRPr="00E8307F">
        <w:rPr>
          <w:rFonts w:ascii="Times New Roman" w:eastAsia="Times New Roman" w:hAnsi="Times New Roman" w:cs="Times New Roman"/>
          <w:b/>
          <w:bCs/>
          <w:sz w:val="24"/>
          <w:szCs w:val="24"/>
          <w:lang w:val="fr-FR"/>
        </w:rPr>
        <w:t>Abstra</w:t>
      </w:r>
      <w:r w:rsidR="00FD52AF" w:rsidRPr="00E8307F">
        <w:rPr>
          <w:rFonts w:ascii="Times New Roman" w:eastAsia="Times New Roman" w:hAnsi="Times New Roman" w:cs="Times New Roman"/>
          <w:b/>
          <w:bCs/>
          <w:sz w:val="24"/>
          <w:szCs w:val="24"/>
          <w:lang w:val="fr-FR"/>
        </w:rPr>
        <w:t>c</w:t>
      </w:r>
      <w:r w:rsidRPr="00E8307F">
        <w:rPr>
          <w:rFonts w:ascii="Times New Roman" w:eastAsia="Times New Roman" w:hAnsi="Times New Roman" w:cs="Times New Roman"/>
          <w:b/>
          <w:bCs/>
          <w:sz w:val="24"/>
          <w:szCs w:val="24"/>
          <w:lang w:val="fr-FR"/>
        </w:rPr>
        <w:t>t</w:t>
      </w:r>
    </w:p>
    <w:bookmarkEnd w:id="0"/>
    <w:p w14:paraId="3AAB830A" w14:textId="61C7B672" w:rsidR="00806922" w:rsidRPr="00383001" w:rsidRDefault="00806922" w:rsidP="00383001">
      <w:pPr>
        <w:spacing w:line="360" w:lineRule="auto"/>
        <w:jc w:val="both"/>
        <w:rPr>
          <w:rFonts w:ascii="Times New Roman" w:eastAsia="Times New Roman" w:hAnsi="Times New Roman" w:cs="Times New Roman"/>
          <w:sz w:val="24"/>
          <w:szCs w:val="24"/>
          <w:lang w:val="fr-FR"/>
        </w:rPr>
      </w:pPr>
      <w:r w:rsidRPr="00383001">
        <w:rPr>
          <w:rFonts w:ascii="Times New Roman" w:eastAsia="Times New Roman" w:hAnsi="Times New Roman" w:cs="Times New Roman"/>
          <w:sz w:val="24"/>
          <w:szCs w:val="24"/>
          <w:lang w:val="fr-FR"/>
        </w:rPr>
        <w:t>The objective of this research is to analyze the effect of the tax structure, in particular the Value Added Tax (VAT) and the single tax and wages and salaries (IUTS) on household consumption expenditure in Burkina Faso</w:t>
      </w:r>
      <w:r w:rsidR="007B25F0">
        <w:rPr>
          <w:rFonts w:ascii="Times New Roman" w:eastAsia="Times New Roman" w:hAnsi="Times New Roman" w:cs="Times New Roman"/>
          <w:sz w:val="24"/>
          <w:szCs w:val="24"/>
          <w:lang w:val="fr-FR"/>
        </w:rPr>
        <w:t>,</w:t>
      </w:r>
      <w:r w:rsidRPr="00383001">
        <w:rPr>
          <w:rFonts w:ascii="Times New Roman" w:eastAsia="Times New Roman" w:hAnsi="Times New Roman" w:cs="Times New Roman"/>
          <w:sz w:val="24"/>
          <w:szCs w:val="24"/>
          <w:lang w:val="fr-FR"/>
        </w:rPr>
        <w:t xml:space="preserve"> </w:t>
      </w:r>
      <w:r w:rsidR="007B25F0">
        <w:rPr>
          <w:rFonts w:ascii="Times New Roman" w:eastAsia="Times New Roman" w:hAnsi="Times New Roman" w:cs="Times New Roman"/>
          <w:sz w:val="24"/>
          <w:szCs w:val="24"/>
          <w:lang w:val="fr-FR"/>
        </w:rPr>
        <w:t>b</w:t>
      </w:r>
      <w:r w:rsidRPr="00383001">
        <w:rPr>
          <w:rFonts w:ascii="Times New Roman" w:eastAsia="Times New Roman" w:hAnsi="Times New Roman" w:cs="Times New Roman"/>
          <w:sz w:val="24"/>
          <w:szCs w:val="24"/>
          <w:lang w:val="fr-FR"/>
        </w:rPr>
        <w:t>ased on quarterly data covering the period 2003 to 2021 and 2015 to 2021 and using an ARDL model</w:t>
      </w:r>
      <w:r w:rsidR="007B25F0">
        <w:rPr>
          <w:rFonts w:ascii="Times New Roman" w:eastAsia="Times New Roman" w:hAnsi="Times New Roman" w:cs="Times New Roman"/>
          <w:sz w:val="24"/>
          <w:szCs w:val="24"/>
          <w:lang w:val="fr-FR"/>
        </w:rPr>
        <w:t>.</w:t>
      </w:r>
      <w:r w:rsidR="00052A35">
        <w:rPr>
          <w:rFonts w:ascii="Times New Roman" w:eastAsia="Times New Roman" w:hAnsi="Times New Roman" w:cs="Times New Roman"/>
          <w:sz w:val="24"/>
          <w:szCs w:val="24"/>
          <w:lang w:val="fr-FR"/>
        </w:rPr>
        <w:t xml:space="preserve"> </w:t>
      </w:r>
      <w:r w:rsidRPr="00383001">
        <w:rPr>
          <w:rFonts w:ascii="Times New Roman" w:eastAsia="Times New Roman" w:hAnsi="Times New Roman" w:cs="Times New Roman"/>
          <w:sz w:val="24"/>
          <w:szCs w:val="24"/>
          <w:lang w:val="fr-FR"/>
        </w:rPr>
        <w:t>The results show that the increase in VAT increases some expenses (food, transport, communication) in the short and long term, but reduces those related to health, education and housing. The IUTS, in the short term, has a negative effect on expenditure related to education and health, alcoholic beverages, tobacco and drugs, transport, communications and information, and a positive effect on expenditure related to housing, electricity and water. In the long term, IUTS continues to negatively affect health and education spending. The main implication is that the government could ease the tax burden on households and reduce VAT on basic necessities to stimulate consumption.</w:t>
      </w:r>
    </w:p>
    <w:p w14:paraId="3AC896AB" w14:textId="519237E5" w:rsidR="003F3DF9" w:rsidRPr="00E41129" w:rsidRDefault="00A54AA8" w:rsidP="00E41129">
      <w:pPr>
        <w:spacing w:line="360" w:lineRule="auto"/>
        <w:jc w:val="both"/>
        <w:rPr>
          <w:rFonts w:ascii="Times New Roman" w:eastAsia="Times New Roman" w:hAnsi="Times New Roman" w:cs="Times New Roman"/>
          <w:b/>
          <w:bCs/>
          <w:sz w:val="24"/>
          <w:szCs w:val="24"/>
          <w:lang w:val="fr-FR"/>
        </w:rPr>
      </w:pPr>
      <w:r w:rsidRPr="00A54AA8">
        <w:rPr>
          <w:rFonts w:ascii="Times New Roman" w:eastAsia="Times New Roman" w:hAnsi="Times New Roman" w:cs="Times New Roman"/>
          <w:b/>
          <w:bCs/>
          <w:sz w:val="24"/>
          <w:szCs w:val="24"/>
          <w:lang w:val="fr-FR"/>
        </w:rPr>
        <w:t>Keywords :</w:t>
      </w:r>
      <w:r w:rsidR="00806922" w:rsidRPr="00A54AA8">
        <w:rPr>
          <w:rFonts w:ascii="Times New Roman" w:eastAsia="Times New Roman" w:hAnsi="Times New Roman" w:cs="Times New Roman"/>
          <w:b/>
          <w:bCs/>
          <w:sz w:val="24"/>
          <w:szCs w:val="24"/>
          <w:lang w:val="fr-FR"/>
        </w:rPr>
        <w:t xml:space="preserve"> Tax structure,</w:t>
      </w:r>
      <w:r w:rsidR="00052A35">
        <w:rPr>
          <w:rFonts w:ascii="Times New Roman" w:eastAsia="Times New Roman" w:hAnsi="Times New Roman" w:cs="Times New Roman"/>
          <w:b/>
          <w:bCs/>
          <w:sz w:val="24"/>
          <w:szCs w:val="24"/>
          <w:lang w:val="fr-FR"/>
        </w:rPr>
        <w:t xml:space="preserve"> VAT, IUTS,</w:t>
      </w:r>
      <w:r w:rsidR="00806922" w:rsidRPr="00A54AA8">
        <w:rPr>
          <w:rFonts w:ascii="Times New Roman" w:eastAsia="Times New Roman" w:hAnsi="Times New Roman" w:cs="Times New Roman"/>
          <w:b/>
          <w:bCs/>
          <w:sz w:val="24"/>
          <w:szCs w:val="24"/>
          <w:lang w:val="fr-FR"/>
        </w:rPr>
        <w:t xml:space="preserve"> household final consumption expenditure, Burkina Faso.</w:t>
      </w:r>
    </w:p>
    <w:p w14:paraId="1A6591A2" w14:textId="3ADFE7B3" w:rsidR="005E4276" w:rsidRPr="00C07CBB" w:rsidRDefault="006D388F">
      <w:pPr>
        <w:rPr>
          <w:rFonts w:ascii="Times New Roman" w:eastAsia="Times New Roman" w:hAnsi="Times New Roman" w:cs="Times New Roman"/>
          <w:b/>
          <w:bCs/>
          <w:sz w:val="28"/>
          <w:szCs w:val="28"/>
          <w:lang w:val="fr-FR"/>
        </w:rPr>
      </w:pPr>
      <w:r w:rsidRPr="00C07CBB">
        <w:rPr>
          <w:rFonts w:ascii="Times New Roman" w:eastAsia="Times New Roman" w:hAnsi="Times New Roman" w:cs="Times New Roman"/>
          <w:b/>
          <w:bCs/>
          <w:sz w:val="28"/>
          <w:szCs w:val="28"/>
          <w:lang w:val="fr-FR"/>
        </w:rPr>
        <w:lastRenderedPageBreak/>
        <w:t>Introduction</w:t>
      </w:r>
    </w:p>
    <w:p w14:paraId="67817A58" w14:textId="63C0A755" w:rsidR="005A503C" w:rsidRPr="00256989" w:rsidRDefault="00CF17EC" w:rsidP="00A5133B">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Les impôts </w:t>
      </w:r>
      <w:r w:rsidR="0087118B" w:rsidRPr="00256989">
        <w:rPr>
          <w:rFonts w:ascii="Times New Roman" w:eastAsia="Times New Roman" w:hAnsi="Times New Roman" w:cs="Times New Roman"/>
          <w:sz w:val="24"/>
          <w:szCs w:val="24"/>
          <w:lang w:val="fr-FR"/>
        </w:rPr>
        <w:t>constituent</w:t>
      </w:r>
      <w:r w:rsidRPr="00256989">
        <w:rPr>
          <w:rFonts w:ascii="Times New Roman" w:eastAsia="Times New Roman" w:hAnsi="Times New Roman" w:cs="Times New Roman"/>
          <w:sz w:val="24"/>
          <w:szCs w:val="24"/>
          <w:lang w:val="fr-FR"/>
        </w:rPr>
        <w:t xml:space="preserve"> une composante essentielle des ressources publiques dans presque toutes les économies. Avec les recettes non fiscales, ils soutiennent le rôle de l’</w:t>
      </w:r>
      <w:r w:rsidR="00EA1289">
        <w:rPr>
          <w:rFonts w:ascii="Times New Roman" w:eastAsia="Times New Roman" w:hAnsi="Times New Roman" w:cs="Times New Roman"/>
          <w:sz w:val="24"/>
          <w:szCs w:val="24"/>
          <w:lang w:val="fr-FR"/>
        </w:rPr>
        <w:t>É</w:t>
      </w:r>
      <w:r w:rsidRPr="00256989">
        <w:rPr>
          <w:rFonts w:ascii="Times New Roman" w:eastAsia="Times New Roman" w:hAnsi="Times New Roman" w:cs="Times New Roman"/>
          <w:sz w:val="24"/>
          <w:szCs w:val="24"/>
          <w:lang w:val="fr-FR"/>
        </w:rPr>
        <w:t xml:space="preserve">tat dans la fourniture de services publics, la redistribution des revenus et la mise en </w:t>
      </w:r>
      <w:r w:rsidR="00892B43" w:rsidRPr="00892B43">
        <w:rPr>
          <w:rFonts w:ascii="Times New Roman" w:eastAsia="Times New Roman" w:hAnsi="Times New Roman" w:cs="Times New Roman"/>
          <w:sz w:val="24"/>
          <w:szCs w:val="24"/>
          <w:lang w:val="fr-FR"/>
        </w:rPr>
        <w:t>œuvre</w:t>
      </w:r>
      <w:r w:rsidR="0087118B" w:rsidRPr="00256989">
        <w:rPr>
          <w:rFonts w:ascii="Times New Roman" w:eastAsia="Times New Roman" w:hAnsi="Times New Roman" w:cs="Times New Roman"/>
          <w:sz w:val="24"/>
          <w:szCs w:val="24"/>
          <w:lang w:val="fr-FR"/>
        </w:rPr>
        <w:t xml:space="preserve"> d’autres objectifs de politique budgétaires tel</w:t>
      </w:r>
      <w:r w:rsidR="00EA1289">
        <w:rPr>
          <w:rFonts w:ascii="Times New Roman" w:eastAsia="Times New Roman" w:hAnsi="Times New Roman" w:cs="Times New Roman"/>
          <w:sz w:val="24"/>
          <w:szCs w:val="24"/>
          <w:lang w:val="fr-FR"/>
        </w:rPr>
        <w:t>s</w:t>
      </w:r>
      <w:r w:rsidR="0087118B" w:rsidRPr="00256989">
        <w:rPr>
          <w:rFonts w:ascii="Times New Roman" w:eastAsia="Times New Roman" w:hAnsi="Times New Roman" w:cs="Times New Roman"/>
          <w:sz w:val="24"/>
          <w:szCs w:val="24"/>
          <w:lang w:val="fr-FR"/>
        </w:rPr>
        <w:t xml:space="preserve"> que la garantie d’une croissance durable et l’encouragement de comportements socio-économiques souhaitables (Wahrig et Vallina, 2011).</w:t>
      </w:r>
      <w:r w:rsidR="00E95155">
        <w:rPr>
          <w:rFonts w:ascii="Times New Roman" w:eastAsia="Times New Roman" w:hAnsi="Times New Roman" w:cs="Times New Roman"/>
          <w:sz w:val="24"/>
          <w:szCs w:val="24"/>
          <w:lang w:val="fr-FR"/>
        </w:rPr>
        <w:t xml:space="preserve"> Cette organisation fiscale repose sur une structure fiscale</w:t>
      </w:r>
      <w:r w:rsidR="0009775A">
        <w:rPr>
          <w:rFonts w:ascii="Times New Roman" w:eastAsia="Times New Roman" w:hAnsi="Times New Roman" w:cs="Times New Roman"/>
          <w:sz w:val="24"/>
          <w:szCs w:val="24"/>
          <w:lang w:val="fr-FR"/>
        </w:rPr>
        <w:t>, qui définit les types d’impôts, les modalités de collecte et les règles qui régissen</w:t>
      </w:r>
      <w:r w:rsidR="004E343A">
        <w:rPr>
          <w:rFonts w:ascii="Times New Roman" w:eastAsia="Times New Roman" w:hAnsi="Times New Roman" w:cs="Times New Roman"/>
          <w:sz w:val="24"/>
          <w:szCs w:val="24"/>
          <w:lang w:val="fr-FR"/>
        </w:rPr>
        <w:t>t leur application.</w:t>
      </w:r>
      <w:r w:rsidR="0087118B" w:rsidRPr="00256989">
        <w:rPr>
          <w:rFonts w:ascii="Times New Roman" w:eastAsia="Times New Roman" w:hAnsi="Times New Roman" w:cs="Times New Roman"/>
          <w:sz w:val="24"/>
          <w:szCs w:val="24"/>
          <w:lang w:val="fr-FR"/>
        </w:rPr>
        <w:t xml:space="preserve"> En effet, les impôts constituent un apport essentiel à la gouvernance et au développement.</w:t>
      </w:r>
      <w:r w:rsidR="00A5133B" w:rsidRPr="00256989">
        <w:rPr>
          <w:rFonts w:ascii="Times New Roman" w:eastAsia="Times New Roman" w:hAnsi="Times New Roman" w:cs="Times New Roman"/>
          <w:sz w:val="24"/>
          <w:szCs w:val="24"/>
          <w:lang w:val="fr-FR"/>
        </w:rPr>
        <w:t xml:space="preserve"> </w:t>
      </w:r>
      <w:r w:rsidR="0087118B" w:rsidRPr="00256989">
        <w:rPr>
          <w:rFonts w:ascii="Times New Roman" w:eastAsia="Times New Roman" w:hAnsi="Times New Roman" w:cs="Times New Roman"/>
          <w:sz w:val="24"/>
          <w:szCs w:val="24"/>
          <w:lang w:val="fr-FR"/>
        </w:rPr>
        <w:t>Cependant</w:t>
      </w:r>
      <w:r w:rsidR="00A5133B" w:rsidRPr="00256989">
        <w:rPr>
          <w:rFonts w:ascii="Times New Roman" w:eastAsia="Times New Roman" w:hAnsi="Times New Roman" w:cs="Times New Roman"/>
          <w:sz w:val="24"/>
          <w:szCs w:val="24"/>
          <w:lang w:val="fr-FR"/>
        </w:rPr>
        <w:t>,</w:t>
      </w:r>
      <w:r w:rsidR="00F21FF3">
        <w:rPr>
          <w:rFonts w:ascii="Times New Roman" w:eastAsia="Times New Roman" w:hAnsi="Times New Roman" w:cs="Times New Roman"/>
          <w:sz w:val="24"/>
          <w:szCs w:val="24"/>
          <w:lang w:val="fr-FR"/>
        </w:rPr>
        <w:t xml:space="preserve"> la manière dont le gouvernement choisit de lever des recettes fiscales a des implications sociales et économiques.</w:t>
      </w:r>
    </w:p>
    <w:p w14:paraId="45950D3D" w14:textId="2B10DC7F" w:rsidR="004514B0" w:rsidRPr="00BD1313" w:rsidRDefault="00D42B21" w:rsidP="00A5133B">
      <w:pPr>
        <w:spacing w:line="360" w:lineRule="auto"/>
        <w:jc w:val="both"/>
        <w:rPr>
          <w:rFonts w:ascii="Times New Roman" w:hAnsi="Times New Roman" w:cs="Times New Roman"/>
          <w:sz w:val="24"/>
          <w:szCs w:val="24"/>
          <w:lang w:val="fr-FR"/>
        </w:rPr>
      </w:pPr>
      <w:r w:rsidRPr="00256989">
        <w:rPr>
          <w:rFonts w:ascii="Times New Roman" w:eastAsia="Times New Roman" w:hAnsi="Times New Roman" w:cs="Times New Roman"/>
          <w:sz w:val="24"/>
          <w:szCs w:val="24"/>
          <w:lang w:val="fr-FR"/>
        </w:rPr>
        <w:t>Ainsi, il est important de noter que</w:t>
      </w:r>
      <w:r w:rsidR="00444B9A">
        <w:rPr>
          <w:rFonts w:ascii="Times New Roman" w:eastAsia="Times New Roman" w:hAnsi="Times New Roman" w:cs="Times New Roman"/>
          <w:sz w:val="24"/>
          <w:szCs w:val="24"/>
          <w:lang w:val="fr-FR"/>
        </w:rPr>
        <w:t>, dans le cadre de cette dynamique, un équilibre est maintenu</w:t>
      </w:r>
      <w:r w:rsidR="00F473B9">
        <w:rPr>
          <w:rFonts w:ascii="Times New Roman" w:eastAsia="Times New Roman" w:hAnsi="Times New Roman" w:cs="Times New Roman"/>
          <w:sz w:val="24"/>
          <w:szCs w:val="24"/>
          <w:lang w:val="fr-FR"/>
        </w:rPr>
        <w:t xml:space="preserve"> entre les cont</w:t>
      </w:r>
      <w:r w:rsidR="00DF5CD5">
        <w:rPr>
          <w:rFonts w:ascii="Times New Roman" w:eastAsia="Times New Roman" w:hAnsi="Times New Roman" w:cs="Times New Roman"/>
          <w:sz w:val="24"/>
          <w:szCs w:val="24"/>
          <w:lang w:val="fr-FR"/>
        </w:rPr>
        <w:t>ributions et les rétributions entre les parties prenantes</w:t>
      </w:r>
      <w:r w:rsidRPr="00256989">
        <w:rPr>
          <w:rFonts w:ascii="Times New Roman" w:eastAsia="Times New Roman" w:hAnsi="Times New Roman" w:cs="Times New Roman"/>
          <w:sz w:val="24"/>
          <w:szCs w:val="24"/>
          <w:lang w:val="fr-FR"/>
        </w:rPr>
        <w:t>.</w:t>
      </w:r>
      <w:r w:rsidR="00256989">
        <w:rPr>
          <w:rFonts w:ascii="Times New Roman" w:eastAsia="Times New Roman" w:hAnsi="Times New Roman" w:cs="Times New Roman"/>
          <w:sz w:val="24"/>
          <w:szCs w:val="24"/>
          <w:lang w:val="fr-FR"/>
        </w:rPr>
        <w:t xml:space="preserve"> </w:t>
      </w:r>
      <w:r w:rsidR="00EA1289">
        <w:rPr>
          <w:rFonts w:ascii="Times New Roman" w:eastAsia="Times New Roman" w:hAnsi="Times New Roman" w:cs="Times New Roman"/>
          <w:sz w:val="24"/>
          <w:szCs w:val="24"/>
          <w:lang w:val="fr-FR"/>
        </w:rPr>
        <w:t>Dans ce sens</w:t>
      </w:r>
      <w:r w:rsidRPr="00256989">
        <w:rPr>
          <w:rFonts w:ascii="Times New Roman" w:eastAsia="Times New Roman" w:hAnsi="Times New Roman" w:cs="Times New Roman"/>
          <w:sz w:val="24"/>
          <w:szCs w:val="24"/>
          <w:lang w:val="fr-FR"/>
        </w:rPr>
        <w:t>, l’impôt qui est un revenu pour le gouvernement, est une dépense pour les contribuables</w:t>
      </w:r>
      <w:r w:rsidR="00256989">
        <w:rPr>
          <w:rFonts w:ascii="Times New Roman" w:eastAsia="Times New Roman" w:hAnsi="Times New Roman" w:cs="Times New Roman"/>
          <w:sz w:val="24"/>
          <w:szCs w:val="24"/>
          <w:lang w:val="fr-FR"/>
        </w:rPr>
        <w:t xml:space="preserve"> </w:t>
      </w:r>
      <w:r w:rsidR="007E531E">
        <w:rPr>
          <w:rFonts w:ascii="Times New Roman" w:eastAsia="Times New Roman" w:hAnsi="Times New Roman" w:cs="Times New Roman"/>
          <w:sz w:val="24"/>
          <w:szCs w:val="24"/>
          <w:lang w:val="fr-FR"/>
        </w:rPr>
        <w:t xml:space="preserve">car </w:t>
      </w:r>
      <w:r w:rsidR="001C1420" w:rsidRPr="00256989">
        <w:rPr>
          <w:rFonts w:ascii="Times New Roman" w:eastAsia="Times New Roman" w:hAnsi="Times New Roman" w:cs="Times New Roman"/>
          <w:sz w:val="24"/>
          <w:szCs w:val="24"/>
          <w:lang w:val="fr-FR"/>
        </w:rPr>
        <w:t>il</w:t>
      </w:r>
      <w:r w:rsidR="006222FA" w:rsidRPr="00256989">
        <w:rPr>
          <w:rFonts w:ascii="Times New Roman" w:eastAsia="Times New Roman" w:hAnsi="Times New Roman" w:cs="Times New Roman"/>
          <w:sz w:val="24"/>
          <w:szCs w:val="24"/>
          <w:lang w:val="fr-FR"/>
        </w:rPr>
        <w:t xml:space="preserve"> réduit le revenu que </w:t>
      </w:r>
      <w:r w:rsidR="007E531E">
        <w:rPr>
          <w:rFonts w:ascii="Times New Roman" w:eastAsia="Times New Roman" w:hAnsi="Times New Roman" w:cs="Times New Roman"/>
          <w:sz w:val="24"/>
          <w:szCs w:val="24"/>
          <w:lang w:val="fr-FR"/>
        </w:rPr>
        <w:t>ceux-ci</w:t>
      </w:r>
      <w:r w:rsidR="006222FA" w:rsidRPr="00256989">
        <w:rPr>
          <w:rFonts w:ascii="Times New Roman" w:eastAsia="Times New Roman" w:hAnsi="Times New Roman" w:cs="Times New Roman"/>
          <w:sz w:val="24"/>
          <w:szCs w:val="24"/>
          <w:lang w:val="fr-FR"/>
        </w:rPr>
        <w:t xml:space="preserve"> doivent consacrer à la consommation</w:t>
      </w:r>
      <w:r w:rsidR="00256989">
        <w:rPr>
          <w:rFonts w:ascii="Times New Roman" w:eastAsia="Times New Roman" w:hAnsi="Times New Roman" w:cs="Times New Roman"/>
          <w:sz w:val="24"/>
          <w:szCs w:val="24"/>
          <w:lang w:val="fr-FR"/>
        </w:rPr>
        <w:t xml:space="preserve">. </w:t>
      </w:r>
      <w:r w:rsidR="002E4695" w:rsidRPr="00256989">
        <w:rPr>
          <w:rFonts w:ascii="Times New Roman" w:eastAsia="Times New Roman" w:hAnsi="Times New Roman" w:cs="Times New Roman"/>
          <w:sz w:val="24"/>
          <w:szCs w:val="24"/>
          <w:lang w:val="fr-FR"/>
        </w:rPr>
        <w:t>C</w:t>
      </w:r>
      <w:r w:rsidR="00256989">
        <w:rPr>
          <w:rFonts w:ascii="Times New Roman" w:eastAsia="Times New Roman" w:hAnsi="Times New Roman" w:cs="Times New Roman"/>
          <w:sz w:val="24"/>
          <w:szCs w:val="24"/>
          <w:lang w:val="fr-FR"/>
        </w:rPr>
        <w:t>’</w:t>
      </w:r>
      <w:r w:rsidR="002E4695" w:rsidRPr="00256989">
        <w:rPr>
          <w:rFonts w:ascii="Times New Roman" w:eastAsia="Times New Roman" w:hAnsi="Times New Roman" w:cs="Times New Roman"/>
          <w:sz w:val="24"/>
          <w:szCs w:val="24"/>
          <w:lang w:val="fr-FR"/>
        </w:rPr>
        <w:t xml:space="preserve">est dans ce sens que Gauthier (1998) </w:t>
      </w:r>
      <w:r w:rsidR="007E531E">
        <w:rPr>
          <w:rFonts w:ascii="Times New Roman" w:eastAsia="Times New Roman" w:hAnsi="Times New Roman" w:cs="Times New Roman"/>
          <w:sz w:val="24"/>
          <w:szCs w:val="24"/>
          <w:lang w:val="fr-FR"/>
        </w:rPr>
        <w:t>soutient</w:t>
      </w:r>
      <w:r w:rsidR="007E531E" w:rsidRPr="00256989">
        <w:rPr>
          <w:rFonts w:ascii="Times New Roman" w:eastAsia="Times New Roman" w:hAnsi="Times New Roman" w:cs="Times New Roman"/>
          <w:sz w:val="24"/>
          <w:szCs w:val="24"/>
          <w:lang w:val="fr-FR"/>
        </w:rPr>
        <w:t xml:space="preserve"> </w:t>
      </w:r>
      <w:r w:rsidR="002E4695" w:rsidRPr="00256989">
        <w:rPr>
          <w:rFonts w:ascii="Times New Roman" w:eastAsia="Times New Roman" w:hAnsi="Times New Roman" w:cs="Times New Roman"/>
          <w:sz w:val="24"/>
          <w:szCs w:val="24"/>
          <w:lang w:val="fr-FR"/>
        </w:rPr>
        <w:t>que la consommation mesure les dépenses des ménages effectuée</w:t>
      </w:r>
      <w:r w:rsidR="00195871">
        <w:rPr>
          <w:rFonts w:ascii="Times New Roman" w:eastAsia="Times New Roman" w:hAnsi="Times New Roman" w:cs="Times New Roman"/>
          <w:sz w:val="24"/>
          <w:szCs w:val="24"/>
          <w:lang w:val="fr-FR"/>
        </w:rPr>
        <w:t>s</w:t>
      </w:r>
      <w:r w:rsidR="002E4695" w:rsidRPr="00256989">
        <w:rPr>
          <w:rFonts w:ascii="Times New Roman" w:eastAsia="Times New Roman" w:hAnsi="Times New Roman" w:cs="Times New Roman"/>
          <w:sz w:val="24"/>
          <w:szCs w:val="24"/>
          <w:lang w:val="fr-FR"/>
        </w:rPr>
        <w:t xml:space="preserve"> non seulement à partir des revenus disponibles, mais aussi des emprunts ou l’épargne</w:t>
      </w:r>
      <w:r w:rsidR="002E4695" w:rsidRPr="00256989">
        <w:rPr>
          <w:rFonts w:ascii="Times New Roman" w:hAnsi="Times New Roman" w:cs="Times New Roman"/>
          <w:sz w:val="24"/>
          <w:szCs w:val="24"/>
          <w:lang w:val="fr-FR"/>
        </w:rPr>
        <w:t>.</w:t>
      </w:r>
    </w:p>
    <w:p w14:paraId="1C503D6E" w14:textId="45C9398D" w:rsidR="00A0253D" w:rsidRPr="00256989" w:rsidRDefault="00BA0A58" w:rsidP="00A5133B">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Du point de vue théorique, il existe un débat non tranch</w:t>
      </w:r>
      <w:r w:rsidR="000F4D80" w:rsidRPr="00256989">
        <w:rPr>
          <w:rFonts w:ascii="Times New Roman" w:eastAsia="Times New Roman" w:hAnsi="Times New Roman" w:cs="Times New Roman"/>
          <w:sz w:val="24"/>
          <w:szCs w:val="24"/>
          <w:lang w:val="fr-FR"/>
        </w:rPr>
        <w:t>é</w:t>
      </w:r>
      <w:r w:rsidRPr="00256989">
        <w:rPr>
          <w:rFonts w:ascii="Times New Roman" w:eastAsia="Times New Roman" w:hAnsi="Times New Roman" w:cs="Times New Roman"/>
          <w:sz w:val="24"/>
          <w:szCs w:val="24"/>
          <w:lang w:val="fr-FR"/>
        </w:rPr>
        <w:t xml:space="preserve"> sur la relation entre </w:t>
      </w:r>
      <w:r w:rsidR="004B0217">
        <w:rPr>
          <w:rFonts w:ascii="Times New Roman" w:eastAsia="Times New Roman" w:hAnsi="Times New Roman" w:cs="Times New Roman"/>
          <w:sz w:val="24"/>
          <w:szCs w:val="24"/>
          <w:lang w:val="fr-FR"/>
        </w:rPr>
        <w:t xml:space="preserve">les </w:t>
      </w:r>
      <w:r w:rsidRPr="00256989">
        <w:rPr>
          <w:rFonts w:ascii="Times New Roman" w:eastAsia="Times New Roman" w:hAnsi="Times New Roman" w:cs="Times New Roman"/>
          <w:sz w:val="24"/>
          <w:szCs w:val="24"/>
          <w:lang w:val="fr-FR"/>
        </w:rPr>
        <w:t xml:space="preserve">charges fiscales et </w:t>
      </w:r>
      <w:r w:rsidR="004B0217">
        <w:rPr>
          <w:rFonts w:ascii="Times New Roman" w:eastAsia="Times New Roman" w:hAnsi="Times New Roman" w:cs="Times New Roman"/>
          <w:sz w:val="24"/>
          <w:szCs w:val="24"/>
          <w:lang w:val="fr-FR"/>
        </w:rPr>
        <w:t xml:space="preserve">les </w:t>
      </w:r>
      <w:r w:rsidRPr="00256989">
        <w:rPr>
          <w:rFonts w:ascii="Times New Roman" w:eastAsia="Times New Roman" w:hAnsi="Times New Roman" w:cs="Times New Roman"/>
          <w:sz w:val="24"/>
          <w:szCs w:val="24"/>
          <w:lang w:val="fr-FR"/>
        </w:rPr>
        <w:t>dépenses de consommation</w:t>
      </w:r>
      <w:r w:rsidR="000A2B61" w:rsidRPr="00256989">
        <w:rPr>
          <w:rFonts w:ascii="Times New Roman" w:eastAsia="Times New Roman" w:hAnsi="Times New Roman" w:cs="Times New Roman"/>
          <w:sz w:val="24"/>
          <w:szCs w:val="24"/>
          <w:lang w:val="fr-FR"/>
        </w:rPr>
        <w:t xml:space="preserve"> entre les keynésiens</w:t>
      </w:r>
      <w:r w:rsidR="00CA001F">
        <w:rPr>
          <w:rFonts w:ascii="Times New Roman" w:eastAsia="Times New Roman" w:hAnsi="Times New Roman" w:cs="Times New Roman"/>
          <w:sz w:val="24"/>
          <w:szCs w:val="24"/>
          <w:lang w:val="fr-FR"/>
        </w:rPr>
        <w:t>, les monétaristes et les nouveaux classiques</w:t>
      </w:r>
      <w:r w:rsidR="000A2B61" w:rsidRPr="00256989">
        <w:rPr>
          <w:rFonts w:ascii="Times New Roman" w:eastAsia="Times New Roman" w:hAnsi="Times New Roman" w:cs="Times New Roman"/>
          <w:sz w:val="24"/>
          <w:szCs w:val="24"/>
          <w:lang w:val="fr-FR"/>
        </w:rPr>
        <w:t xml:space="preserve">. Les keynésiens </w:t>
      </w:r>
      <w:r w:rsidR="00195871">
        <w:rPr>
          <w:rFonts w:ascii="Times New Roman" w:eastAsia="Times New Roman" w:hAnsi="Times New Roman" w:cs="Times New Roman"/>
          <w:sz w:val="24"/>
          <w:szCs w:val="24"/>
          <w:lang w:val="fr-FR"/>
        </w:rPr>
        <w:t>affirment qu’une</w:t>
      </w:r>
      <w:r w:rsidR="000A2B61" w:rsidRPr="00256989">
        <w:rPr>
          <w:rFonts w:ascii="Times New Roman" w:eastAsia="Times New Roman" w:hAnsi="Times New Roman" w:cs="Times New Roman"/>
          <w:sz w:val="24"/>
          <w:szCs w:val="24"/>
          <w:lang w:val="fr-FR"/>
        </w:rPr>
        <w:t xml:space="preserve"> diminution des prélèvements fiscaux sur le revenu des ménages conduit à une augmentation de</w:t>
      </w:r>
      <w:r w:rsidR="00091068">
        <w:rPr>
          <w:rFonts w:ascii="Times New Roman" w:eastAsia="Times New Roman" w:hAnsi="Times New Roman" w:cs="Times New Roman"/>
          <w:sz w:val="24"/>
          <w:szCs w:val="24"/>
          <w:lang w:val="fr-FR"/>
        </w:rPr>
        <w:t xml:space="preserve"> leurs dépenses</w:t>
      </w:r>
      <w:r w:rsidR="000A2B61" w:rsidRPr="00256989">
        <w:rPr>
          <w:rFonts w:ascii="Times New Roman" w:eastAsia="Times New Roman" w:hAnsi="Times New Roman" w:cs="Times New Roman"/>
          <w:sz w:val="24"/>
          <w:szCs w:val="24"/>
          <w:lang w:val="fr-FR"/>
        </w:rPr>
        <w:t xml:space="preserve"> de consommation.</w:t>
      </w:r>
      <w:r w:rsidR="00091068">
        <w:rPr>
          <w:rFonts w:ascii="Times New Roman" w:eastAsia="Times New Roman" w:hAnsi="Times New Roman" w:cs="Times New Roman"/>
          <w:sz w:val="24"/>
          <w:szCs w:val="24"/>
          <w:lang w:val="fr-FR"/>
        </w:rPr>
        <w:t xml:space="preserve"> </w:t>
      </w:r>
      <w:r w:rsidR="004E646A" w:rsidRPr="00256989">
        <w:rPr>
          <w:rFonts w:ascii="Times New Roman" w:eastAsia="Times New Roman" w:hAnsi="Times New Roman" w:cs="Times New Roman"/>
          <w:sz w:val="24"/>
          <w:szCs w:val="24"/>
          <w:lang w:val="fr-FR"/>
        </w:rPr>
        <w:t>De ce fait, l</w:t>
      </w:r>
      <w:r w:rsidR="000A2B61" w:rsidRPr="00256989">
        <w:rPr>
          <w:rFonts w:ascii="Times New Roman" w:eastAsia="Times New Roman" w:hAnsi="Times New Roman" w:cs="Times New Roman"/>
          <w:sz w:val="24"/>
          <w:szCs w:val="24"/>
          <w:lang w:val="fr-FR"/>
        </w:rPr>
        <w:t>a réaction des ménages est par ailleurs supposée intervenir relativement vite</w:t>
      </w:r>
      <w:r w:rsidR="004E646A" w:rsidRPr="00256989">
        <w:rPr>
          <w:rFonts w:ascii="Times New Roman" w:eastAsia="Times New Roman" w:hAnsi="Times New Roman" w:cs="Times New Roman"/>
          <w:sz w:val="24"/>
          <w:szCs w:val="24"/>
          <w:lang w:val="fr-FR"/>
        </w:rPr>
        <w:t xml:space="preserve"> car l’augmentation </w:t>
      </w:r>
      <w:r w:rsidR="00EA2974" w:rsidRPr="00EA2974">
        <w:rPr>
          <w:rFonts w:ascii="Times New Roman" w:eastAsia="Times New Roman" w:hAnsi="Times New Roman" w:cs="Times New Roman"/>
          <w:sz w:val="24"/>
          <w:szCs w:val="24"/>
          <w:lang w:val="fr-FR"/>
        </w:rPr>
        <w:t>prévue</w:t>
      </w:r>
      <w:r w:rsidR="004E646A" w:rsidRPr="00256989">
        <w:rPr>
          <w:rFonts w:ascii="Times New Roman" w:eastAsia="Times New Roman" w:hAnsi="Times New Roman" w:cs="Times New Roman"/>
          <w:sz w:val="24"/>
          <w:szCs w:val="24"/>
          <w:lang w:val="fr-FR"/>
        </w:rPr>
        <w:t xml:space="preserve"> de la consommation est </w:t>
      </w:r>
      <w:r w:rsidR="00971434" w:rsidRPr="00256989">
        <w:rPr>
          <w:rFonts w:ascii="Times New Roman" w:eastAsia="Times New Roman" w:hAnsi="Times New Roman" w:cs="Times New Roman"/>
          <w:sz w:val="24"/>
          <w:szCs w:val="24"/>
          <w:lang w:val="fr-FR"/>
        </w:rPr>
        <w:t>t</w:t>
      </w:r>
      <w:r w:rsidR="004E646A" w:rsidRPr="00256989">
        <w:rPr>
          <w:rFonts w:ascii="Times New Roman" w:eastAsia="Times New Roman" w:hAnsi="Times New Roman" w:cs="Times New Roman"/>
          <w:sz w:val="24"/>
          <w:szCs w:val="24"/>
          <w:lang w:val="fr-FR"/>
        </w:rPr>
        <w:t>outefois moindre que celui du revenu après impôt</w:t>
      </w:r>
      <w:r w:rsidR="000A2B61" w:rsidRPr="00256989">
        <w:rPr>
          <w:rFonts w:ascii="Times New Roman" w:eastAsia="Times New Roman" w:hAnsi="Times New Roman" w:cs="Times New Roman"/>
          <w:sz w:val="24"/>
          <w:szCs w:val="24"/>
          <w:lang w:val="fr-FR"/>
        </w:rPr>
        <w:t>. Elle peut même intervenir avant la baisse effective des taxes si la mesure fiscale a été annoncée depuis longtemps et qu’elle est dès lors anticipée par les ménages.</w:t>
      </w:r>
      <w:r w:rsidR="00C55452" w:rsidRPr="00256989">
        <w:rPr>
          <w:rFonts w:ascii="Times New Roman" w:eastAsia="Times New Roman" w:hAnsi="Times New Roman" w:cs="Times New Roman"/>
          <w:sz w:val="24"/>
          <w:szCs w:val="24"/>
          <w:lang w:val="fr-FR"/>
        </w:rPr>
        <w:t xml:space="preserve"> Certains travaux soulignant que</w:t>
      </w:r>
      <w:r w:rsidR="00440284">
        <w:rPr>
          <w:rFonts w:ascii="Times New Roman" w:eastAsia="Times New Roman" w:hAnsi="Times New Roman" w:cs="Times New Roman"/>
          <w:sz w:val="24"/>
          <w:szCs w:val="24"/>
          <w:lang w:val="fr-FR"/>
        </w:rPr>
        <w:t xml:space="preserve"> comme </w:t>
      </w:r>
      <w:r w:rsidR="005A4CC1">
        <w:rPr>
          <w:rFonts w:ascii="Times New Roman" w:eastAsia="Times New Roman" w:hAnsi="Times New Roman" w:cs="Times New Roman"/>
          <w:sz w:val="24"/>
          <w:szCs w:val="24"/>
          <w:lang w:val="fr-FR"/>
        </w:rPr>
        <w:t>ceux de Geero</w:t>
      </w:r>
      <w:r w:rsidR="00484A82">
        <w:rPr>
          <w:rFonts w:ascii="Times New Roman" w:eastAsia="Times New Roman" w:hAnsi="Times New Roman" w:cs="Times New Roman"/>
          <w:sz w:val="24"/>
          <w:szCs w:val="24"/>
          <w:lang w:val="fr-FR"/>
        </w:rPr>
        <w:t xml:space="preserve">ft et </w:t>
      </w:r>
      <w:r w:rsidR="000703F9">
        <w:rPr>
          <w:rFonts w:ascii="Times New Roman" w:eastAsia="Times New Roman" w:hAnsi="Times New Roman" w:cs="Times New Roman"/>
          <w:sz w:val="24"/>
          <w:szCs w:val="24"/>
          <w:lang w:val="fr-FR"/>
        </w:rPr>
        <w:t>G</w:t>
      </w:r>
      <w:r w:rsidR="00C51AD9" w:rsidRPr="00C51AD9">
        <w:rPr>
          <w:rFonts w:ascii="Times New Roman" w:eastAsia="Times New Roman" w:hAnsi="Times New Roman" w:cs="Times New Roman"/>
          <w:sz w:val="24"/>
          <w:szCs w:val="24"/>
        </w:rPr>
        <w:t>rjebin</w:t>
      </w:r>
      <w:r w:rsidR="000703F9">
        <w:rPr>
          <w:rFonts w:ascii="Times New Roman" w:eastAsia="Times New Roman" w:hAnsi="Times New Roman" w:cs="Times New Roman"/>
          <w:sz w:val="24"/>
          <w:szCs w:val="24"/>
        </w:rPr>
        <w:t xml:space="preserve"> (201</w:t>
      </w:r>
      <w:r w:rsidR="00AA483B">
        <w:rPr>
          <w:rFonts w:ascii="Times New Roman" w:eastAsia="Times New Roman" w:hAnsi="Times New Roman" w:cs="Times New Roman"/>
          <w:sz w:val="24"/>
          <w:szCs w:val="24"/>
        </w:rPr>
        <w:t>8</w:t>
      </w:r>
      <w:r w:rsidR="000703F9">
        <w:rPr>
          <w:rFonts w:ascii="Times New Roman" w:eastAsia="Times New Roman" w:hAnsi="Times New Roman" w:cs="Times New Roman"/>
          <w:sz w:val="24"/>
          <w:szCs w:val="24"/>
        </w:rPr>
        <w:t>)</w:t>
      </w:r>
      <w:r w:rsidR="00C55452" w:rsidRPr="00256989">
        <w:rPr>
          <w:rFonts w:ascii="Times New Roman" w:eastAsia="Times New Roman" w:hAnsi="Times New Roman" w:cs="Times New Roman"/>
          <w:sz w:val="24"/>
          <w:szCs w:val="24"/>
          <w:lang w:val="fr-FR"/>
        </w:rPr>
        <w:t xml:space="preserve">, même dans le cas où la baisse des taxes a un impact positif sur la consommation des ménages, l’effet peut être de faible ampleur. </w:t>
      </w:r>
      <w:r w:rsidR="009F7C10">
        <w:rPr>
          <w:rFonts w:ascii="Times New Roman" w:eastAsia="Times New Roman" w:hAnsi="Times New Roman" w:cs="Times New Roman"/>
          <w:sz w:val="24"/>
          <w:szCs w:val="24"/>
          <w:lang w:val="fr-FR"/>
        </w:rPr>
        <w:t>Cependant, l</w:t>
      </w:r>
      <w:r w:rsidR="00C55452" w:rsidRPr="00256989">
        <w:rPr>
          <w:rFonts w:ascii="Times New Roman" w:eastAsia="Times New Roman" w:hAnsi="Times New Roman" w:cs="Times New Roman"/>
          <w:sz w:val="24"/>
          <w:szCs w:val="24"/>
          <w:lang w:val="fr-FR"/>
        </w:rPr>
        <w:t xml:space="preserve">’effet sur la consommation sera réduit dans la mesure où la baisse des taxes donne lieu à une hausse des taux d’intérêt ou une </w:t>
      </w:r>
      <w:r w:rsidR="00022239">
        <w:rPr>
          <w:rFonts w:ascii="Times New Roman" w:eastAsia="Times New Roman" w:hAnsi="Times New Roman" w:cs="Times New Roman"/>
          <w:sz w:val="24"/>
          <w:szCs w:val="24"/>
          <w:lang w:val="fr-FR"/>
        </w:rPr>
        <w:t>hausse</w:t>
      </w:r>
      <w:r w:rsidR="00C55452" w:rsidRPr="00256989">
        <w:rPr>
          <w:rFonts w:ascii="Times New Roman" w:eastAsia="Times New Roman" w:hAnsi="Times New Roman" w:cs="Times New Roman"/>
          <w:sz w:val="24"/>
          <w:szCs w:val="24"/>
          <w:lang w:val="fr-FR"/>
        </w:rPr>
        <w:t xml:space="preserve"> des prix. Ainsi, l’impact sur la consommation sera faible si la baisse des taxes est annoncée comme étant temporaire plutôt que permanente.</w:t>
      </w:r>
      <w:r w:rsidR="00504C60" w:rsidRPr="00256989">
        <w:rPr>
          <w:rFonts w:ascii="Times New Roman" w:eastAsia="Times New Roman" w:hAnsi="Times New Roman" w:cs="Times New Roman"/>
          <w:sz w:val="24"/>
          <w:szCs w:val="24"/>
          <w:lang w:val="fr-FR"/>
        </w:rPr>
        <w:t xml:space="preserve"> </w:t>
      </w:r>
    </w:p>
    <w:p w14:paraId="2B5C3F84" w14:textId="55DDEE2E" w:rsidR="00CF17EC" w:rsidRPr="00256989" w:rsidRDefault="00504C60" w:rsidP="00381DE3">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 xml:space="preserve">En revanche, les </w:t>
      </w:r>
      <w:r w:rsidR="00CA001F">
        <w:rPr>
          <w:rFonts w:ascii="Times New Roman" w:eastAsia="Times New Roman" w:hAnsi="Times New Roman" w:cs="Times New Roman"/>
          <w:sz w:val="24"/>
          <w:szCs w:val="24"/>
          <w:lang w:val="fr-FR"/>
        </w:rPr>
        <w:t>monétaristes et les nouveaux classiques</w:t>
      </w:r>
      <w:r w:rsidRPr="00256989">
        <w:rPr>
          <w:rFonts w:ascii="Times New Roman" w:eastAsia="Times New Roman" w:hAnsi="Times New Roman" w:cs="Times New Roman"/>
          <w:sz w:val="24"/>
          <w:szCs w:val="24"/>
          <w:lang w:val="fr-FR"/>
        </w:rPr>
        <w:t xml:space="preserve"> qui sont entre autre</w:t>
      </w:r>
      <w:r w:rsidR="00115CF5">
        <w:rPr>
          <w:rFonts w:ascii="Times New Roman" w:eastAsia="Times New Roman" w:hAnsi="Times New Roman" w:cs="Times New Roman"/>
          <w:sz w:val="24"/>
          <w:szCs w:val="24"/>
          <w:lang w:val="fr-FR"/>
        </w:rPr>
        <w:t>s</w:t>
      </w:r>
      <w:r w:rsidRPr="00256989">
        <w:rPr>
          <w:rFonts w:ascii="Times New Roman" w:eastAsia="Times New Roman" w:hAnsi="Times New Roman" w:cs="Times New Roman"/>
          <w:sz w:val="24"/>
          <w:szCs w:val="24"/>
          <w:lang w:val="fr-FR"/>
        </w:rPr>
        <w:t xml:space="preserve"> Friedman (</w:t>
      </w:r>
      <w:r w:rsidR="00395A8D" w:rsidRPr="00256989">
        <w:rPr>
          <w:rFonts w:ascii="Times New Roman" w:eastAsia="Times New Roman" w:hAnsi="Times New Roman" w:cs="Times New Roman"/>
          <w:sz w:val="24"/>
          <w:szCs w:val="24"/>
          <w:lang w:val="fr-FR"/>
        </w:rPr>
        <w:t>1957)</w:t>
      </w:r>
      <w:r w:rsidR="00392F36" w:rsidRPr="00256989">
        <w:rPr>
          <w:rFonts w:ascii="Times New Roman" w:eastAsia="Times New Roman" w:hAnsi="Times New Roman" w:cs="Times New Roman"/>
          <w:sz w:val="24"/>
          <w:szCs w:val="24"/>
          <w:lang w:val="fr-FR"/>
        </w:rPr>
        <w:t>,</w:t>
      </w:r>
      <w:r w:rsidR="00F31826" w:rsidRPr="00256989">
        <w:rPr>
          <w:rFonts w:ascii="Times New Roman" w:eastAsia="Times New Roman" w:hAnsi="Times New Roman" w:cs="Times New Roman"/>
          <w:sz w:val="24"/>
          <w:szCs w:val="24"/>
          <w:lang w:val="fr-FR"/>
        </w:rPr>
        <w:t xml:space="preserve"> </w:t>
      </w:r>
      <w:r w:rsidR="00392F36" w:rsidRPr="00256989">
        <w:rPr>
          <w:rFonts w:ascii="Times New Roman" w:eastAsia="Times New Roman" w:hAnsi="Times New Roman" w:cs="Times New Roman"/>
          <w:sz w:val="24"/>
          <w:szCs w:val="24"/>
          <w:lang w:val="fr-FR"/>
        </w:rPr>
        <w:t>Lucas (1976)</w:t>
      </w:r>
      <w:r w:rsidR="00AA483B">
        <w:rPr>
          <w:rFonts w:ascii="Times New Roman" w:eastAsia="Times New Roman" w:hAnsi="Times New Roman" w:cs="Times New Roman"/>
          <w:sz w:val="24"/>
          <w:szCs w:val="24"/>
          <w:lang w:val="fr-FR"/>
        </w:rPr>
        <w:t xml:space="preserve"> et </w:t>
      </w:r>
      <w:r w:rsidR="00392F36" w:rsidRPr="00256989">
        <w:rPr>
          <w:rFonts w:ascii="Times New Roman" w:eastAsia="Times New Roman" w:hAnsi="Times New Roman" w:cs="Times New Roman"/>
          <w:sz w:val="24"/>
          <w:szCs w:val="24"/>
          <w:lang w:val="fr-FR"/>
        </w:rPr>
        <w:t xml:space="preserve">Barro (1974) </w:t>
      </w:r>
      <w:r w:rsidRPr="00256989">
        <w:rPr>
          <w:rFonts w:ascii="Times New Roman" w:eastAsia="Times New Roman" w:hAnsi="Times New Roman" w:cs="Times New Roman"/>
          <w:sz w:val="24"/>
          <w:szCs w:val="24"/>
          <w:lang w:val="fr-FR"/>
        </w:rPr>
        <w:t>ont remis en cause cet effet et prédisent que la baisse des taxes n’induit aucune modification des dépenses de consommations</w:t>
      </w:r>
      <w:r w:rsidR="00395A8D" w:rsidRPr="00256989">
        <w:rPr>
          <w:rFonts w:ascii="Times New Roman" w:eastAsia="Times New Roman" w:hAnsi="Times New Roman" w:cs="Times New Roman"/>
          <w:sz w:val="24"/>
          <w:szCs w:val="24"/>
          <w:lang w:val="fr-FR"/>
        </w:rPr>
        <w:t>. Il</w:t>
      </w:r>
      <w:r w:rsidR="00EA0063">
        <w:rPr>
          <w:rFonts w:ascii="Times New Roman" w:eastAsia="Times New Roman" w:hAnsi="Times New Roman" w:cs="Times New Roman"/>
          <w:sz w:val="24"/>
          <w:szCs w:val="24"/>
          <w:lang w:val="fr-FR"/>
        </w:rPr>
        <w:t>s</w:t>
      </w:r>
      <w:r w:rsidR="00395A8D" w:rsidRPr="00256989">
        <w:rPr>
          <w:rFonts w:ascii="Times New Roman" w:eastAsia="Times New Roman" w:hAnsi="Times New Roman" w:cs="Times New Roman"/>
          <w:sz w:val="24"/>
          <w:szCs w:val="24"/>
          <w:lang w:val="fr-FR"/>
        </w:rPr>
        <w:t xml:space="preserve"> ajoute</w:t>
      </w:r>
      <w:r w:rsidR="00EA0063">
        <w:rPr>
          <w:rFonts w:ascii="Times New Roman" w:eastAsia="Times New Roman" w:hAnsi="Times New Roman" w:cs="Times New Roman"/>
          <w:sz w:val="24"/>
          <w:szCs w:val="24"/>
          <w:lang w:val="fr-FR"/>
        </w:rPr>
        <w:t>nt</w:t>
      </w:r>
      <w:r w:rsidRPr="00256989">
        <w:rPr>
          <w:rFonts w:ascii="Times New Roman" w:eastAsia="Times New Roman" w:hAnsi="Times New Roman" w:cs="Times New Roman"/>
          <w:sz w:val="24"/>
          <w:szCs w:val="24"/>
          <w:lang w:val="fr-FR"/>
        </w:rPr>
        <w:t xml:space="preserve"> qu’il est même possible qu’elle provoque une contraction de la consommation privé</w:t>
      </w:r>
      <w:r w:rsidR="00395A8D" w:rsidRPr="00256989">
        <w:rPr>
          <w:rFonts w:ascii="Times New Roman" w:eastAsia="Times New Roman" w:hAnsi="Times New Roman" w:cs="Times New Roman"/>
          <w:sz w:val="24"/>
          <w:szCs w:val="24"/>
          <w:lang w:val="fr-FR"/>
        </w:rPr>
        <w:t>e.</w:t>
      </w:r>
      <w:r w:rsidR="00A0253D" w:rsidRPr="00256989">
        <w:rPr>
          <w:rFonts w:ascii="Times New Roman" w:eastAsia="Times New Roman" w:hAnsi="Times New Roman" w:cs="Times New Roman"/>
          <w:sz w:val="24"/>
          <w:szCs w:val="24"/>
          <w:lang w:val="fr-FR"/>
        </w:rPr>
        <w:t xml:space="preserve"> Ainsi, </w:t>
      </w:r>
      <w:r w:rsidR="00E32A09" w:rsidRPr="00256989">
        <w:rPr>
          <w:rFonts w:ascii="Times New Roman" w:eastAsia="Times New Roman" w:hAnsi="Times New Roman" w:cs="Times New Roman"/>
          <w:sz w:val="24"/>
          <w:szCs w:val="24"/>
          <w:lang w:val="fr-FR"/>
        </w:rPr>
        <w:t>ils mettent l’accent sur l’anticipation dans leur</w:t>
      </w:r>
      <w:r w:rsidR="00A0253D" w:rsidRPr="00256989">
        <w:rPr>
          <w:rFonts w:ascii="Times New Roman" w:eastAsia="Times New Roman" w:hAnsi="Times New Roman" w:cs="Times New Roman"/>
          <w:sz w:val="24"/>
          <w:szCs w:val="24"/>
          <w:lang w:val="fr-FR"/>
        </w:rPr>
        <w:t>s</w:t>
      </w:r>
      <w:r w:rsidR="00E32A09" w:rsidRPr="00256989">
        <w:rPr>
          <w:rFonts w:ascii="Times New Roman" w:eastAsia="Times New Roman" w:hAnsi="Times New Roman" w:cs="Times New Roman"/>
          <w:sz w:val="24"/>
          <w:szCs w:val="24"/>
          <w:lang w:val="fr-FR"/>
        </w:rPr>
        <w:t xml:space="preserve"> travaux et concluent qu’une baisse des taxes sera non keynésien</w:t>
      </w:r>
      <w:r w:rsidR="00EA0063">
        <w:rPr>
          <w:rFonts w:ascii="Times New Roman" w:eastAsia="Times New Roman" w:hAnsi="Times New Roman" w:cs="Times New Roman"/>
          <w:sz w:val="24"/>
          <w:szCs w:val="24"/>
          <w:lang w:val="fr-FR"/>
        </w:rPr>
        <w:t>ne</w:t>
      </w:r>
      <w:r w:rsidR="00E32A09" w:rsidRPr="00256989">
        <w:rPr>
          <w:rFonts w:ascii="Times New Roman" w:eastAsia="Times New Roman" w:hAnsi="Times New Roman" w:cs="Times New Roman"/>
          <w:sz w:val="24"/>
          <w:szCs w:val="24"/>
          <w:lang w:val="fr-FR"/>
        </w:rPr>
        <w:t xml:space="preserve"> dans la mesure où les </w:t>
      </w:r>
      <w:r w:rsidR="00A0253D" w:rsidRPr="00256989">
        <w:rPr>
          <w:rFonts w:ascii="Times New Roman" w:eastAsia="Times New Roman" w:hAnsi="Times New Roman" w:cs="Times New Roman"/>
          <w:sz w:val="24"/>
          <w:szCs w:val="24"/>
          <w:lang w:val="fr-FR"/>
        </w:rPr>
        <w:t>ménages</w:t>
      </w:r>
      <w:r w:rsidR="00E32A09" w:rsidRPr="00256989">
        <w:rPr>
          <w:rFonts w:ascii="Times New Roman" w:eastAsia="Times New Roman" w:hAnsi="Times New Roman" w:cs="Times New Roman"/>
          <w:sz w:val="24"/>
          <w:szCs w:val="24"/>
          <w:lang w:val="fr-FR"/>
        </w:rPr>
        <w:t xml:space="preserve"> anticipent que la baisse des taxes sera inévitablement inverse à l’avenir ou qu’elle sera récompensée par une diminution d’autres dépenses de l’Etat.</w:t>
      </w:r>
      <w:r w:rsidR="00A0253D" w:rsidRPr="00256989">
        <w:rPr>
          <w:rFonts w:ascii="Times New Roman" w:eastAsia="Times New Roman" w:hAnsi="Times New Roman" w:cs="Times New Roman"/>
          <w:sz w:val="24"/>
          <w:szCs w:val="24"/>
          <w:lang w:val="fr-FR"/>
        </w:rPr>
        <w:t xml:space="preserve"> </w:t>
      </w:r>
    </w:p>
    <w:p w14:paraId="13DF890E" w14:textId="11F4577C"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En outre, l’hypothèse de la théorie du revenu permanent de Friedman (1957) </w:t>
      </w:r>
      <w:r w:rsidR="00F31826" w:rsidRPr="00256989">
        <w:rPr>
          <w:rFonts w:ascii="Times New Roman" w:eastAsia="Times New Roman" w:hAnsi="Times New Roman" w:cs="Times New Roman"/>
          <w:sz w:val="24"/>
          <w:szCs w:val="24"/>
          <w:lang w:val="fr-FR"/>
        </w:rPr>
        <w:t xml:space="preserve">a </w:t>
      </w:r>
      <w:r w:rsidRPr="00256989">
        <w:rPr>
          <w:rFonts w:ascii="Times New Roman" w:eastAsia="Times New Roman" w:hAnsi="Times New Roman" w:cs="Times New Roman"/>
          <w:sz w:val="24"/>
          <w:szCs w:val="24"/>
          <w:lang w:val="fr-FR"/>
        </w:rPr>
        <w:t>façonné la théorie de la consommation. Selon c</w:t>
      </w:r>
      <w:r w:rsidR="00F31826" w:rsidRPr="00256989">
        <w:rPr>
          <w:rFonts w:ascii="Times New Roman" w:eastAsia="Times New Roman" w:hAnsi="Times New Roman" w:cs="Times New Roman"/>
          <w:sz w:val="24"/>
          <w:szCs w:val="24"/>
          <w:lang w:val="fr-FR"/>
        </w:rPr>
        <w:t>ette</w:t>
      </w:r>
      <w:r w:rsidRPr="00256989">
        <w:rPr>
          <w:rFonts w:ascii="Times New Roman" w:eastAsia="Times New Roman" w:hAnsi="Times New Roman" w:cs="Times New Roman"/>
          <w:sz w:val="24"/>
          <w:szCs w:val="24"/>
          <w:lang w:val="fr-FR"/>
        </w:rPr>
        <w:t xml:space="preserve"> hypothèse, les consommateurs fondent leurs décisions de consommer, non seulement sur le présent mais aussi sur l’avenir. Ces auteurs montrent que les consommateurs souhaitent maintenir un flux régulier ou un chemin de croissance de leurs dépenses tout au long de leur vie. Ainsi, les consommateurs seront réticents à augmenter ou réduire leurs dépenses en réponse à un changement de revenu à moins qu’ils ne croient que le changement de revenu persistera. La formule abrégée de cette théorie est que les dépenses réagissent aux changements dans le revenu permanent.</w:t>
      </w:r>
      <w:r w:rsidR="00295021" w:rsidRPr="00256989">
        <w:rPr>
          <w:rFonts w:ascii="Times New Roman" w:eastAsia="Times New Roman" w:hAnsi="Times New Roman" w:cs="Times New Roman"/>
          <w:sz w:val="24"/>
          <w:szCs w:val="24"/>
          <w:lang w:val="fr-FR"/>
        </w:rPr>
        <w:t xml:space="preserve"> Il en résulte </w:t>
      </w:r>
      <w:r w:rsidR="00EA0063" w:rsidRPr="00EA0063">
        <w:rPr>
          <w:rFonts w:ascii="Times New Roman" w:eastAsia="Times New Roman" w:hAnsi="Times New Roman" w:cs="Times New Roman"/>
          <w:sz w:val="24"/>
          <w:szCs w:val="24"/>
          <w:lang w:val="fr-FR"/>
        </w:rPr>
        <w:t>qu’une</w:t>
      </w:r>
      <w:r w:rsidRPr="00256989">
        <w:rPr>
          <w:rFonts w:ascii="Times New Roman" w:eastAsia="Times New Roman" w:hAnsi="Times New Roman" w:cs="Times New Roman"/>
          <w:sz w:val="24"/>
          <w:szCs w:val="24"/>
          <w:lang w:val="fr-FR"/>
        </w:rPr>
        <w:t xml:space="preserve"> augmentation des impôts </w:t>
      </w:r>
      <w:r w:rsidR="00EA0063" w:rsidRPr="00EA0063">
        <w:rPr>
          <w:rFonts w:ascii="Times New Roman" w:eastAsia="Times New Roman" w:hAnsi="Times New Roman" w:cs="Times New Roman"/>
          <w:sz w:val="24"/>
          <w:szCs w:val="24"/>
          <w:lang w:val="fr-FR"/>
        </w:rPr>
        <w:t>n’aura</w:t>
      </w:r>
      <w:r w:rsidRPr="00256989">
        <w:rPr>
          <w:rFonts w:ascii="Times New Roman" w:eastAsia="Times New Roman" w:hAnsi="Times New Roman" w:cs="Times New Roman"/>
          <w:sz w:val="24"/>
          <w:szCs w:val="24"/>
          <w:lang w:val="fr-FR"/>
        </w:rPr>
        <w:t xml:space="preserve"> aucun effet sur la consommation contrairement à celui de Keynes.</w:t>
      </w:r>
    </w:p>
    <w:p w14:paraId="0199A6C5" w14:textId="2A3AF43C" w:rsidR="005E4276" w:rsidRPr="00256989" w:rsidRDefault="00EA0063">
      <w:pPr>
        <w:spacing w:line="360" w:lineRule="auto"/>
        <w:jc w:val="both"/>
        <w:rPr>
          <w:rFonts w:ascii="Times New Roman" w:eastAsia="Times New Roman" w:hAnsi="Times New Roman" w:cs="Times New Roman"/>
          <w:sz w:val="24"/>
          <w:szCs w:val="24"/>
          <w:lang w:val="fr-FR"/>
        </w:rPr>
      </w:pPr>
      <w:r w:rsidRPr="00EA0063">
        <w:rPr>
          <w:rFonts w:ascii="Times New Roman" w:eastAsia="Times New Roman" w:hAnsi="Times New Roman" w:cs="Times New Roman"/>
          <w:sz w:val="24"/>
          <w:szCs w:val="24"/>
          <w:lang w:val="fr-FR"/>
        </w:rPr>
        <w:t>L’absence</w:t>
      </w:r>
      <w:r w:rsidR="008831F8" w:rsidRPr="00256989">
        <w:rPr>
          <w:rFonts w:ascii="Times New Roman" w:eastAsia="Times New Roman" w:hAnsi="Times New Roman" w:cs="Times New Roman"/>
          <w:sz w:val="24"/>
          <w:szCs w:val="24"/>
          <w:lang w:val="fr-FR"/>
        </w:rPr>
        <w:t xml:space="preserve"> de consensus dans le débat théorique suscite des </w:t>
      </w:r>
      <w:r w:rsidR="006D388F" w:rsidRPr="00256989">
        <w:rPr>
          <w:rFonts w:ascii="Times New Roman" w:eastAsia="Times New Roman" w:hAnsi="Times New Roman" w:cs="Times New Roman"/>
          <w:sz w:val="24"/>
          <w:szCs w:val="24"/>
          <w:lang w:val="fr-FR"/>
        </w:rPr>
        <w:t>études empiriques</w:t>
      </w:r>
      <w:r w:rsidR="008831F8" w:rsidRPr="00256989">
        <w:rPr>
          <w:rFonts w:ascii="Times New Roman" w:eastAsia="Times New Roman" w:hAnsi="Times New Roman" w:cs="Times New Roman"/>
          <w:sz w:val="24"/>
          <w:szCs w:val="24"/>
          <w:lang w:val="fr-FR"/>
        </w:rPr>
        <w:t xml:space="preserve"> qui</w:t>
      </w:r>
      <w:r w:rsidR="006D388F" w:rsidRPr="00256989">
        <w:rPr>
          <w:rFonts w:ascii="Times New Roman" w:eastAsia="Times New Roman" w:hAnsi="Times New Roman" w:cs="Times New Roman"/>
          <w:sz w:val="24"/>
          <w:szCs w:val="24"/>
          <w:lang w:val="fr-FR"/>
        </w:rPr>
        <w:t xml:space="preserve"> ont tenté de déterminer dans quelle mesure les dépenses de consommations s’ajustent suite à une variation des taxes.</w:t>
      </w:r>
      <w:r w:rsidR="008831F8" w:rsidRPr="00256989">
        <w:rPr>
          <w:rFonts w:ascii="Times New Roman" w:eastAsia="Times New Roman" w:hAnsi="Times New Roman" w:cs="Times New Roman"/>
          <w:sz w:val="24"/>
          <w:szCs w:val="24"/>
          <w:lang w:val="fr-FR"/>
        </w:rPr>
        <w:t xml:space="preserve"> Ainsi, d</w:t>
      </w:r>
      <w:r w:rsidR="006D388F" w:rsidRPr="00256989">
        <w:rPr>
          <w:rFonts w:ascii="Times New Roman" w:eastAsia="Times New Roman" w:hAnsi="Times New Roman" w:cs="Times New Roman"/>
          <w:sz w:val="24"/>
          <w:szCs w:val="24"/>
          <w:lang w:val="fr-FR"/>
        </w:rPr>
        <w:t>es chercheurs tels que Johnson et al</w:t>
      </w:r>
      <w:r w:rsidR="00AA483B">
        <w:rPr>
          <w:rFonts w:ascii="Times New Roman" w:eastAsia="Times New Roman" w:hAnsi="Times New Roman" w:cs="Times New Roman"/>
          <w:sz w:val="24"/>
          <w:szCs w:val="24"/>
          <w:lang w:val="fr-FR"/>
        </w:rPr>
        <w:t>.</w:t>
      </w:r>
      <w:r w:rsidR="006D388F" w:rsidRPr="00256989">
        <w:rPr>
          <w:rFonts w:ascii="Times New Roman" w:eastAsia="Times New Roman" w:hAnsi="Times New Roman" w:cs="Times New Roman"/>
          <w:sz w:val="24"/>
          <w:szCs w:val="24"/>
          <w:lang w:val="fr-FR"/>
        </w:rPr>
        <w:t xml:space="preserve"> (2006), Bodart et al</w:t>
      </w:r>
      <w:r w:rsidR="00AA483B">
        <w:rPr>
          <w:rFonts w:ascii="Times New Roman" w:eastAsia="Times New Roman" w:hAnsi="Times New Roman" w:cs="Times New Roman"/>
          <w:sz w:val="24"/>
          <w:szCs w:val="24"/>
          <w:lang w:val="fr-FR"/>
        </w:rPr>
        <w:t>.</w:t>
      </w:r>
      <w:r w:rsidR="006D388F" w:rsidRPr="00256989">
        <w:rPr>
          <w:rFonts w:ascii="Times New Roman" w:eastAsia="Times New Roman" w:hAnsi="Times New Roman" w:cs="Times New Roman"/>
          <w:sz w:val="24"/>
          <w:szCs w:val="24"/>
          <w:lang w:val="fr-FR"/>
        </w:rPr>
        <w:t>(2008)</w:t>
      </w:r>
      <w:r w:rsidR="00235903" w:rsidRPr="00256989">
        <w:rPr>
          <w:rFonts w:ascii="Times New Roman" w:eastAsia="Times New Roman" w:hAnsi="Times New Roman" w:cs="Times New Roman"/>
          <w:sz w:val="24"/>
          <w:szCs w:val="24"/>
          <w:lang w:val="fr-FR"/>
        </w:rPr>
        <w:t>,</w:t>
      </w:r>
      <w:r w:rsidR="006D388F" w:rsidRPr="00256989">
        <w:rPr>
          <w:rFonts w:ascii="Times New Roman" w:eastAsia="Times New Roman" w:hAnsi="Times New Roman" w:cs="Times New Roman"/>
          <w:sz w:val="24"/>
          <w:szCs w:val="24"/>
          <w:lang w:val="fr-FR"/>
        </w:rPr>
        <w:t xml:space="preserve"> Kaya et Sen (2015), Adegbite (2023) ont trouvé</w:t>
      </w:r>
      <w:r w:rsidR="00D37B91" w:rsidRPr="00256989">
        <w:rPr>
          <w:rFonts w:ascii="Times New Roman" w:eastAsia="Times New Roman" w:hAnsi="Times New Roman" w:cs="Times New Roman"/>
          <w:sz w:val="24"/>
          <w:szCs w:val="24"/>
          <w:lang w:val="fr-FR"/>
        </w:rPr>
        <w:t xml:space="preserve"> qu’une </w:t>
      </w:r>
      <w:r w:rsidR="003C31AA" w:rsidRPr="003C31AA">
        <w:rPr>
          <w:rFonts w:ascii="Times New Roman" w:eastAsia="Times New Roman" w:hAnsi="Times New Roman" w:cs="Times New Roman"/>
          <w:sz w:val="24"/>
          <w:szCs w:val="24"/>
          <w:lang w:val="fr-FR"/>
        </w:rPr>
        <w:t>réduction</w:t>
      </w:r>
      <w:r w:rsidR="00D37B91" w:rsidRPr="00256989">
        <w:rPr>
          <w:rFonts w:ascii="Times New Roman" w:eastAsia="Times New Roman" w:hAnsi="Times New Roman" w:cs="Times New Roman"/>
          <w:sz w:val="24"/>
          <w:szCs w:val="24"/>
          <w:lang w:val="fr-FR"/>
        </w:rPr>
        <w:t xml:space="preserve"> des taux d’impositions entraine une augmentation des dépenses de consommations des ménages</w:t>
      </w:r>
      <w:r w:rsidR="006D388F" w:rsidRPr="00256989">
        <w:rPr>
          <w:rFonts w:ascii="Times New Roman" w:eastAsia="Times New Roman" w:hAnsi="Times New Roman" w:cs="Times New Roman"/>
          <w:sz w:val="24"/>
          <w:szCs w:val="24"/>
          <w:lang w:val="fr-FR"/>
        </w:rPr>
        <w:t>. En revanche,</w:t>
      </w:r>
      <w:r w:rsidR="008831F8" w:rsidRPr="00256989">
        <w:rPr>
          <w:rFonts w:ascii="Times New Roman" w:eastAsia="Times New Roman" w:hAnsi="Times New Roman" w:cs="Times New Roman"/>
          <w:sz w:val="24"/>
          <w:szCs w:val="24"/>
          <w:lang w:val="fr-FR"/>
        </w:rPr>
        <w:t xml:space="preserve"> </w:t>
      </w:r>
      <w:r w:rsidR="00D146FF" w:rsidRPr="00256989">
        <w:rPr>
          <w:rFonts w:ascii="Times New Roman" w:eastAsia="Times New Roman" w:hAnsi="Times New Roman" w:cs="Times New Roman"/>
          <w:sz w:val="24"/>
          <w:szCs w:val="24"/>
          <w:lang w:val="fr-FR"/>
        </w:rPr>
        <w:t>Shapiro et Slemrod (2003)</w:t>
      </w:r>
      <w:r w:rsidR="006D388F" w:rsidRPr="00256989">
        <w:rPr>
          <w:rFonts w:ascii="Times New Roman" w:eastAsia="Times New Roman" w:hAnsi="Times New Roman" w:cs="Times New Roman"/>
          <w:sz w:val="24"/>
          <w:szCs w:val="24"/>
          <w:lang w:val="fr-FR"/>
        </w:rPr>
        <w:t>,</w:t>
      </w:r>
      <w:r w:rsidR="00D146FF" w:rsidRPr="00256989">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 xml:space="preserve">Ajibola et Olusegun (2017) </w:t>
      </w:r>
      <w:r w:rsidR="008831F8" w:rsidRPr="00256989">
        <w:rPr>
          <w:rFonts w:ascii="Times New Roman" w:eastAsia="Times New Roman" w:hAnsi="Times New Roman" w:cs="Times New Roman"/>
          <w:sz w:val="24"/>
          <w:szCs w:val="24"/>
          <w:lang w:val="fr-FR"/>
        </w:rPr>
        <w:t xml:space="preserve">dans le contexte du </w:t>
      </w:r>
      <w:r w:rsidR="006D388F" w:rsidRPr="00256989">
        <w:rPr>
          <w:rFonts w:ascii="Times New Roman" w:eastAsia="Times New Roman" w:hAnsi="Times New Roman" w:cs="Times New Roman"/>
          <w:sz w:val="24"/>
          <w:szCs w:val="24"/>
          <w:lang w:val="fr-FR"/>
        </w:rPr>
        <w:t xml:space="preserve">Nigéria ont trouvé </w:t>
      </w:r>
      <w:r w:rsidR="00D37B91" w:rsidRPr="00256989">
        <w:rPr>
          <w:rFonts w:ascii="Times New Roman" w:eastAsia="Times New Roman" w:hAnsi="Times New Roman" w:cs="Times New Roman"/>
          <w:sz w:val="24"/>
          <w:szCs w:val="24"/>
          <w:lang w:val="fr-FR"/>
        </w:rPr>
        <w:t>qu’</w:t>
      </w:r>
      <w:r w:rsidR="006D388F" w:rsidRPr="00256989">
        <w:rPr>
          <w:rFonts w:ascii="Times New Roman" w:eastAsia="Times New Roman" w:hAnsi="Times New Roman" w:cs="Times New Roman"/>
          <w:sz w:val="24"/>
          <w:szCs w:val="24"/>
          <w:lang w:val="fr-FR"/>
        </w:rPr>
        <w:t>une</w:t>
      </w:r>
      <w:r w:rsidR="00D37B91" w:rsidRPr="00256989">
        <w:rPr>
          <w:rFonts w:ascii="Times New Roman" w:eastAsia="Times New Roman" w:hAnsi="Times New Roman" w:cs="Times New Roman"/>
          <w:sz w:val="24"/>
          <w:szCs w:val="24"/>
          <w:lang w:val="fr-FR"/>
        </w:rPr>
        <w:t xml:space="preserve"> hausse des taux d’impositions entraine une augmentation des consommations finales des ménages.</w:t>
      </w:r>
    </w:p>
    <w:p w14:paraId="7E9F8E62" w14:textId="0990E50F"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Sur une autre dimension de la littérature, </w:t>
      </w:r>
      <w:r w:rsidR="009513D3" w:rsidRPr="00256989">
        <w:rPr>
          <w:rFonts w:ascii="Times New Roman" w:eastAsia="Times New Roman" w:hAnsi="Times New Roman" w:cs="Times New Roman"/>
          <w:sz w:val="24"/>
          <w:szCs w:val="24"/>
          <w:lang w:val="fr-FR"/>
        </w:rPr>
        <w:t xml:space="preserve">d’autres auteurs se sont particulièrement </w:t>
      </w:r>
      <w:r w:rsidR="003C31AA" w:rsidRPr="003C31AA">
        <w:rPr>
          <w:rFonts w:ascii="Times New Roman" w:eastAsia="Times New Roman" w:hAnsi="Times New Roman" w:cs="Times New Roman"/>
          <w:sz w:val="24"/>
          <w:szCs w:val="24"/>
          <w:lang w:val="fr-FR"/>
        </w:rPr>
        <w:t>penchés</w:t>
      </w:r>
      <w:r w:rsidR="009513D3" w:rsidRPr="00256989">
        <w:rPr>
          <w:rFonts w:ascii="Times New Roman" w:eastAsia="Times New Roman" w:hAnsi="Times New Roman" w:cs="Times New Roman"/>
          <w:sz w:val="24"/>
          <w:szCs w:val="24"/>
          <w:lang w:val="fr-FR"/>
        </w:rPr>
        <w:t xml:space="preserve"> sur l’analyse de l’effet de la</w:t>
      </w:r>
      <w:r w:rsidRPr="00256989">
        <w:rPr>
          <w:rFonts w:ascii="Times New Roman" w:eastAsia="Times New Roman" w:hAnsi="Times New Roman" w:cs="Times New Roman"/>
          <w:sz w:val="24"/>
          <w:szCs w:val="24"/>
          <w:lang w:val="fr-FR"/>
        </w:rPr>
        <w:t xml:space="preserve"> TVA sur les dépenses de consommations des ménages. Ces auteurs sont Bird (2005),</w:t>
      </w:r>
      <w:r w:rsidR="00D146FF"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Diamond et Zodrow (2007,2008), Tochukwu et al. </w:t>
      </w:r>
      <w:r w:rsidR="00152307" w:rsidRPr="00256989">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2015), Cordella (2020). De ce fait, Bumpei</w:t>
      </w:r>
      <w:r w:rsidRPr="00256989">
        <w:rPr>
          <w:rFonts w:ascii="Times New Roman" w:eastAsia="Times New Roman" w:hAnsi="Times New Roman" w:cs="Times New Roman"/>
          <w:i/>
          <w:sz w:val="24"/>
          <w:szCs w:val="24"/>
          <w:lang w:val="fr-FR"/>
        </w:rPr>
        <w:t xml:space="preserve"> (</w:t>
      </w:r>
      <w:r w:rsidRPr="00256989">
        <w:rPr>
          <w:rFonts w:ascii="Times New Roman" w:eastAsia="Times New Roman" w:hAnsi="Times New Roman" w:cs="Times New Roman"/>
          <w:sz w:val="24"/>
          <w:szCs w:val="24"/>
          <w:lang w:val="fr-FR"/>
        </w:rPr>
        <w:t xml:space="preserve">2011), Alm et El-Ganainy (2012) ont analysé l’effet de la TVA sur la consommation globale et concluent qu’une augmentation de la TVA entraîne une diminution du niveau de la consommation à court terme et à un niveau plus important à long terme. Les auteurs comme </w:t>
      </w:r>
      <w:r w:rsidR="00191F8E" w:rsidRPr="00256989">
        <w:rPr>
          <w:rFonts w:ascii="Times New Roman" w:eastAsia="Times New Roman" w:hAnsi="Times New Roman" w:cs="Times New Roman"/>
          <w:sz w:val="24"/>
          <w:szCs w:val="24"/>
          <w:lang w:val="fr-FR"/>
        </w:rPr>
        <w:t xml:space="preserve">concluent qu’une augmentation de la TVA entraîne une diminution du niveau de la consommation </w:t>
      </w:r>
      <w:r w:rsidR="00191F8E" w:rsidRPr="00256989">
        <w:rPr>
          <w:rFonts w:ascii="Times New Roman" w:eastAsia="Times New Roman" w:hAnsi="Times New Roman" w:cs="Times New Roman"/>
          <w:sz w:val="24"/>
          <w:szCs w:val="24"/>
          <w:lang w:val="fr-FR"/>
        </w:rPr>
        <w:lastRenderedPageBreak/>
        <w:t>à court terme et à un niveau plus important à long terme</w:t>
      </w:r>
      <w:r w:rsidRPr="00256989">
        <w:rPr>
          <w:rFonts w:ascii="Times New Roman" w:eastAsia="Times New Roman" w:hAnsi="Times New Roman" w:cs="Times New Roman"/>
          <w:sz w:val="24"/>
          <w:szCs w:val="24"/>
          <w:lang w:val="fr-FR"/>
        </w:rPr>
        <w:t xml:space="preserve"> ont montré que l</w:t>
      </w:r>
      <w:r w:rsidR="009513D3" w:rsidRPr="00256989">
        <w:rPr>
          <w:rFonts w:ascii="Times New Roman" w:eastAsia="Times New Roman" w:hAnsi="Times New Roman" w:cs="Times New Roman"/>
          <w:sz w:val="24"/>
          <w:szCs w:val="24"/>
          <w:lang w:val="fr-FR"/>
        </w:rPr>
        <w:t>a TVA a</w:t>
      </w:r>
      <w:r w:rsidRPr="00256989">
        <w:rPr>
          <w:rFonts w:ascii="Times New Roman" w:eastAsia="Times New Roman" w:hAnsi="Times New Roman" w:cs="Times New Roman"/>
          <w:sz w:val="24"/>
          <w:szCs w:val="24"/>
          <w:lang w:val="fr-FR"/>
        </w:rPr>
        <w:t xml:space="preserve"> un effet négatif sur les dépenses de consommation. En revanche</w:t>
      </w:r>
      <w:r w:rsidR="00C2284E" w:rsidRPr="00256989">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Gidigbi et al</w:t>
      </w:r>
      <w:r w:rsidR="00C80C81">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(2021)</w:t>
      </w:r>
      <w:r w:rsidR="00C2284E"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ont trouvé que </w:t>
      </w:r>
      <w:r w:rsidR="007A5913" w:rsidRPr="00256989">
        <w:rPr>
          <w:rFonts w:ascii="Times New Roman" w:eastAsia="Times New Roman" w:hAnsi="Times New Roman" w:cs="Times New Roman"/>
          <w:sz w:val="24"/>
          <w:szCs w:val="24"/>
          <w:lang w:val="fr-FR"/>
        </w:rPr>
        <w:t xml:space="preserve">l’augmentation de </w:t>
      </w:r>
      <w:r w:rsidRPr="00256989">
        <w:rPr>
          <w:rFonts w:ascii="Times New Roman" w:eastAsia="Times New Roman" w:hAnsi="Times New Roman" w:cs="Times New Roman"/>
          <w:sz w:val="24"/>
          <w:szCs w:val="24"/>
          <w:lang w:val="fr-FR"/>
        </w:rPr>
        <w:t xml:space="preserve">la taxe sur la valeur ajoutée </w:t>
      </w:r>
      <w:r w:rsidR="007A5913" w:rsidRPr="00256989">
        <w:rPr>
          <w:rFonts w:ascii="Times New Roman" w:eastAsia="Times New Roman" w:hAnsi="Times New Roman" w:cs="Times New Roman"/>
          <w:sz w:val="24"/>
          <w:szCs w:val="24"/>
          <w:lang w:val="fr-FR"/>
        </w:rPr>
        <w:t>entraine une augmentation des dépenses de</w:t>
      </w:r>
      <w:r w:rsidRPr="00256989">
        <w:rPr>
          <w:rFonts w:ascii="Times New Roman" w:eastAsia="Times New Roman" w:hAnsi="Times New Roman" w:cs="Times New Roman"/>
          <w:sz w:val="24"/>
          <w:szCs w:val="24"/>
          <w:lang w:val="fr-FR"/>
        </w:rPr>
        <w:t xml:space="preserve"> la consommation des ménages. Cependant, il est observé que la plupart des études existantes se penchent </w:t>
      </w:r>
      <w:r w:rsidR="00E27FE2" w:rsidRPr="00256989">
        <w:rPr>
          <w:rFonts w:ascii="Times New Roman" w:eastAsia="Times New Roman" w:hAnsi="Times New Roman" w:cs="Times New Roman"/>
          <w:sz w:val="24"/>
          <w:szCs w:val="24"/>
          <w:lang w:val="fr-FR"/>
        </w:rPr>
        <w:t xml:space="preserve">sur les dépenses de consommation finale des ménages de façon globale </w:t>
      </w:r>
      <w:r w:rsidR="00CA28D5" w:rsidRPr="00256989">
        <w:rPr>
          <w:rFonts w:ascii="Times New Roman" w:eastAsia="Times New Roman" w:hAnsi="Times New Roman" w:cs="Times New Roman"/>
          <w:sz w:val="24"/>
          <w:szCs w:val="24"/>
          <w:lang w:val="fr-FR"/>
        </w:rPr>
        <w:t>sans prendre en compte les différents types de produits</w:t>
      </w:r>
      <w:r w:rsidRPr="00256989">
        <w:rPr>
          <w:rFonts w:ascii="Times New Roman" w:eastAsia="Times New Roman" w:hAnsi="Times New Roman" w:cs="Times New Roman"/>
          <w:sz w:val="24"/>
          <w:szCs w:val="24"/>
          <w:lang w:val="fr-FR"/>
        </w:rPr>
        <w:t xml:space="preserve">. </w:t>
      </w:r>
      <w:r w:rsidR="00914DDB" w:rsidRPr="00256989">
        <w:rPr>
          <w:rFonts w:ascii="Times New Roman" w:eastAsia="Times New Roman" w:hAnsi="Times New Roman" w:cs="Times New Roman"/>
          <w:sz w:val="24"/>
          <w:szCs w:val="24"/>
          <w:lang w:val="fr-FR"/>
        </w:rPr>
        <w:t xml:space="preserve">De même, </w:t>
      </w:r>
      <w:r w:rsidR="00B00D04" w:rsidRPr="00256989">
        <w:rPr>
          <w:rFonts w:ascii="Times New Roman" w:eastAsia="Times New Roman" w:hAnsi="Times New Roman" w:cs="Times New Roman"/>
          <w:sz w:val="24"/>
          <w:szCs w:val="24"/>
          <w:lang w:val="fr-FR"/>
        </w:rPr>
        <w:t xml:space="preserve">les études analysant l’effet de </w:t>
      </w:r>
      <w:r w:rsidR="007D26AB" w:rsidRPr="00256989">
        <w:rPr>
          <w:rFonts w:ascii="Times New Roman" w:eastAsia="Times New Roman" w:hAnsi="Times New Roman" w:cs="Times New Roman"/>
          <w:sz w:val="24"/>
          <w:szCs w:val="24"/>
          <w:lang w:val="fr-FR"/>
        </w:rPr>
        <w:t xml:space="preserve">l’impôt unique sur les traitements des </w:t>
      </w:r>
      <w:r w:rsidR="00C260F3" w:rsidRPr="00256989">
        <w:rPr>
          <w:rFonts w:ascii="Times New Roman" w:eastAsia="Times New Roman" w:hAnsi="Times New Roman" w:cs="Times New Roman"/>
          <w:sz w:val="24"/>
          <w:szCs w:val="24"/>
          <w:lang w:val="fr-FR"/>
        </w:rPr>
        <w:t>salaires au</w:t>
      </w:r>
      <w:r w:rsidR="001B30A0" w:rsidRPr="00256989">
        <w:rPr>
          <w:rFonts w:ascii="Times New Roman" w:eastAsia="Times New Roman" w:hAnsi="Times New Roman" w:cs="Times New Roman"/>
          <w:sz w:val="24"/>
          <w:szCs w:val="24"/>
          <w:lang w:val="fr-FR"/>
        </w:rPr>
        <w:t xml:space="preserve"> Burkina Faso </w:t>
      </w:r>
      <w:r w:rsidR="00B00D04" w:rsidRPr="00256989">
        <w:rPr>
          <w:rFonts w:ascii="Times New Roman" w:eastAsia="Times New Roman" w:hAnsi="Times New Roman" w:cs="Times New Roman"/>
          <w:sz w:val="24"/>
          <w:szCs w:val="24"/>
          <w:lang w:val="fr-FR"/>
        </w:rPr>
        <w:t>sont rares</w:t>
      </w:r>
      <w:r w:rsidR="00DD3EE1">
        <w:rPr>
          <w:rFonts w:ascii="Times New Roman" w:eastAsia="Times New Roman" w:hAnsi="Times New Roman" w:cs="Times New Roman"/>
          <w:sz w:val="24"/>
          <w:szCs w:val="24"/>
          <w:lang w:val="fr-FR"/>
        </w:rPr>
        <w:t xml:space="preserve"> car la plupart des chercheurs tiennent compte de l’impôt sur le revenu des personnes physiques en général</w:t>
      </w:r>
      <w:r w:rsidR="00B00D04" w:rsidRPr="00256989">
        <w:rPr>
          <w:rFonts w:ascii="Times New Roman" w:eastAsia="Times New Roman" w:hAnsi="Times New Roman" w:cs="Times New Roman"/>
          <w:sz w:val="24"/>
          <w:szCs w:val="24"/>
          <w:lang w:val="fr-FR"/>
        </w:rPr>
        <w:t>.</w:t>
      </w:r>
      <w:r w:rsidR="007D26AB" w:rsidRPr="00256989">
        <w:rPr>
          <w:rFonts w:ascii="Times New Roman" w:eastAsia="Times New Roman" w:hAnsi="Times New Roman" w:cs="Times New Roman"/>
          <w:sz w:val="24"/>
          <w:szCs w:val="24"/>
          <w:lang w:val="fr-FR"/>
        </w:rPr>
        <w:t xml:space="preserve"> </w:t>
      </w:r>
    </w:p>
    <w:p w14:paraId="39C81B88" w14:textId="4DC520EF" w:rsidR="00A83732" w:rsidRPr="00256989" w:rsidRDefault="00A83732">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Ainsi, les différents impôts ont des impacts différents sur l’économie, le comportement des ménages et des entreprises et sur les résultats en matière de répartition</w:t>
      </w:r>
      <w:r w:rsidR="00EA5EE7" w:rsidRPr="00256989">
        <w:rPr>
          <w:rFonts w:ascii="Times New Roman" w:eastAsia="Times New Roman" w:hAnsi="Times New Roman" w:cs="Times New Roman"/>
          <w:sz w:val="24"/>
          <w:szCs w:val="24"/>
          <w:lang w:val="fr-FR"/>
        </w:rPr>
        <w:t xml:space="preserve"> Modica et al</w:t>
      </w:r>
      <w:r w:rsidR="00C80C81">
        <w:rPr>
          <w:rFonts w:ascii="Times New Roman" w:eastAsia="Times New Roman" w:hAnsi="Times New Roman" w:cs="Times New Roman"/>
          <w:sz w:val="24"/>
          <w:szCs w:val="24"/>
          <w:lang w:val="fr-FR"/>
        </w:rPr>
        <w:t>.</w:t>
      </w:r>
      <w:r w:rsidR="00EA5EE7" w:rsidRPr="00256989">
        <w:rPr>
          <w:rFonts w:ascii="Times New Roman" w:eastAsia="Times New Roman" w:hAnsi="Times New Roman" w:cs="Times New Roman"/>
          <w:sz w:val="24"/>
          <w:szCs w:val="24"/>
          <w:lang w:val="fr-FR"/>
        </w:rPr>
        <w:t>(2018)</w:t>
      </w:r>
      <w:r w:rsidRPr="00256989">
        <w:rPr>
          <w:rFonts w:ascii="Times New Roman" w:eastAsia="Times New Roman" w:hAnsi="Times New Roman" w:cs="Times New Roman"/>
          <w:sz w:val="24"/>
          <w:szCs w:val="24"/>
          <w:lang w:val="fr-FR"/>
        </w:rPr>
        <w:t>. De ce fait, la structure fiscale est donc un deuxième indicateur fondamental qui donne un aperçu de l’importance relative des différents types d’impôts dans la composition fiscale globale.</w:t>
      </w:r>
      <w:r w:rsidR="008B140B" w:rsidRPr="00256989">
        <w:rPr>
          <w:rFonts w:ascii="Times New Roman" w:eastAsia="Times New Roman" w:hAnsi="Times New Roman" w:cs="Times New Roman"/>
          <w:sz w:val="24"/>
          <w:szCs w:val="24"/>
          <w:lang w:val="fr-FR"/>
        </w:rPr>
        <w:t xml:space="preserve"> </w:t>
      </w:r>
      <w:r w:rsidR="00CA4279" w:rsidRPr="00256989">
        <w:rPr>
          <w:rFonts w:ascii="Times New Roman" w:eastAsia="Times New Roman" w:hAnsi="Times New Roman" w:cs="Times New Roman"/>
          <w:sz w:val="24"/>
          <w:szCs w:val="24"/>
          <w:lang w:val="fr-FR"/>
        </w:rPr>
        <w:t>Selon le code des impôts</w:t>
      </w:r>
      <w:r w:rsidR="00256989">
        <w:rPr>
          <w:rFonts w:ascii="Times New Roman" w:eastAsia="Times New Roman" w:hAnsi="Times New Roman" w:cs="Times New Roman"/>
          <w:sz w:val="24"/>
          <w:szCs w:val="24"/>
          <w:lang w:val="fr-FR"/>
        </w:rPr>
        <w:t xml:space="preserve"> du Burkina Faso</w:t>
      </w:r>
      <w:r w:rsidR="00CA4279" w:rsidRPr="00256989">
        <w:rPr>
          <w:rFonts w:ascii="Times New Roman" w:eastAsia="Times New Roman" w:hAnsi="Times New Roman" w:cs="Times New Roman"/>
          <w:sz w:val="24"/>
          <w:szCs w:val="24"/>
          <w:lang w:val="fr-FR"/>
        </w:rPr>
        <w:t xml:space="preserve"> révisés en 2017</w:t>
      </w:r>
      <w:r w:rsidR="00D908A6" w:rsidRPr="00256989">
        <w:rPr>
          <w:rFonts w:ascii="Times New Roman" w:eastAsia="Times New Roman" w:hAnsi="Times New Roman" w:cs="Times New Roman"/>
          <w:sz w:val="24"/>
          <w:szCs w:val="24"/>
          <w:lang w:val="fr-FR"/>
        </w:rPr>
        <w:t>, parmi les principaux impôts applicables aux particuliers et aux entreprises, nous avons l’impôt sur le revenu</w:t>
      </w:r>
      <w:r w:rsidR="009F6184" w:rsidRPr="00256989">
        <w:rPr>
          <w:rFonts w:ascii="Times New Roman" w:eastAsia="Times New Roman" w:hAnsi="Times New Roman" w:cs="Times New Roman"/>
          <w:sz w:val="24"/>
          <w:szCs w:val="24"/>
          <w:lang w:val="fr-FR"/>
        </w:rPr>
        <w:t xml:space="preserve"> dont l’impôt unique sur les traitements et salaires (IUTS)</w:t>
      </w:r>
      <w:r w:rsidR="00D908A6" w:rsidRPr="00256989">
        <w:rPr>
          <w:rFonts w:ascii="Times New Roman" w:eastAsia="Times New Roman" w:hAnsi="Times New Roman" w:cs="Times New Roman"/>
          <w:sz w:val="24"/>
          <w:szCs w:val="24"/>
          <w:lang w:val="fr-FR"/>
        </w:rPr>
        <w:t xml:space="preserve"> et la taxe sur la valeur ajoutée</w:t>
      </w:r>
      <w:r w:rsidR="009F6184" w:rsidRPr="00256989">
        <w:rPr>
          <w:rFonts w:ascii="Times New Roman" w:eastAsia="Times New Roman" w:hAnsi="Times New Roman" w:cs="Times New Roman"/>
          <w:sz w:val="24"/>
          <w:szCs w:val="24"/>
          <w:lang w:val="fr-FR"/>
        </w:rPr>
        <w:t xml:space="preserve"> (TVA)</w:t>
      </w:r>
      <w:r w:rsidR="00D908A6" w:rsidRPr="00256989">
        <w:rPr>
          <w:rFonts w:ascii="Times New Roman" w:eastAsia="Times New Roman" w:hAnsi="Times New Roman" w:cs="Times New Roman"/>
          <w:sz w:val="24"/>
          <w:szCs w:val="24"/>
          <w:lang w:val="fr-FR"/>
        </w:rPr>
        <w:t>.</w:t>
      </w:r>
      <w:r w:rsidR="00DA6AC7" w:rsidRPr="00256989">
        <w:rPr>
          <w:rFonts w:ascii="Times New Roman" w:eastAsia="Times New Roman" w:hAnsi="Times New Roman" w:cs="Times New Roman"/>
          <w:sz w:val="24"/>
          <w:szCs w:val="24"/>
          <w:lang w:val="fr-FR"/>
        </w:rPr>
        <w:t xml:space="preserve"> </w:t>
      </w:r>
      <w:r w:rsidR="00B87648">
        <w:rPr>
          <w:rFonts w:ascii="Times New Roman" w:eastAsia="Times New Roman" w:hAnsi="Times New Roman" w:cs="Times New Roman"/>
          <w:sz w:val="24"/>
          <w:szCs w:val="24"/>
          <w:lang w:val="fr-FR"/>
        </w:rPr>
        <w:t>Ainsi</w:t>
      </w:r>
      <w:r w:rsidR="009C3F92" w:rsidRPr="00256989">
        <w:rPr>
          <w:rFonts w:ascii="Times New Roman" w:eastAsia="Times New Roman" w:hAnsi="Times New Roman" w:cs="Times New Roman"/>
          <w:sz w:val="24"/>
          <w:szCs w:val="24"/>
          <w:lang w:val="fr-FR"/>
        </w:rPr>
        <w:t>,</w:t>
      </w:r>
      <w:r w:rsidR="009F6184" w:rsidRPr="00256989">
        <w:rPr>
          <w:rFonts w:ascii="Times New Roman" w:eastAsia="Times New Roman" w:hAnsi="Times New Roman" w:cs="Times New Roman"/>
          <w:sz w:val="24"/>
          <w:szCs w:val="24"/>
          <w:lang w:val="fr-FR"/>
        </w:rPr>
        <w:t xml:space="preserve"> </w:t>
      </w:r>
      <w:r w:rsidR="009C3F92" w:rsidRPr="00256989">
        <w:rPr>
          <w:rFonts w:ascii="Times New Roman" w:eastAsia="Times New Roman" w:hAnsi="Times New Roman" w:cs="Times New Roman"/>
          <w:sz w:val="24"/>
          <w:szCs w:val="24"/>
          <w:lang w:val="fr-FR"/>
        </w:rPr>
        <w:t>l</w:t>
      </w:r>
      <w:r w:rsidR="009F6184" w:rsidRPr="00256989">
        <w:rPr>
          <w:rFonts w:ascii="Times New Roman" w:eastAsia="Times New Roman" w:hAnsi="Times New Roman" w:cs="Times New Roman"/>
          <w:sz w:val="24"/>
          <w:szCs w:val="24"/>
          <w:lang w:val="fr-FR"/>
        </w:rPr>
        <w:t xml:space="preserve">’impôt sur le revenu est dans la plupart du temps déduit de la source par l’employeur avant que l’employé ne </w:t>
      </w:r>
      <w:r w:rsidR="00B60C59" w:rsidRPr="00B60C59">
        <w:rPr>
          <w:rFonts w:ascii="Times New Roman" w:eastAsia="Times New Roman" w:hAnsi="Times New Roman" w:cs="Times New Roman"/>
          <w:sz w:val="24"/>
          <w:szCs w:val="24"/>
          <w:lang w:val="fr-FR"/>
        </w:rPr>
        <w:t>perçoive</w:t>
      </w:r>
      <w:r w:rsidR="009F6184" w:rsidRPr="00256989">
        <w:rPr>
          <w:rFonts w:ascii="Times New Roman" w:eastAsia="Times New Roman" w:hAnsi="Times New Roman" w:cs="Times New Roman"/>
          <w:sz w:val="24"/>
          <w:szCs w:val="24"/>
          <w:lang w:val="fr-FR"/>
        </w:rPr>
        <w:t xml:space="preserve"> son salaire. Tout comme la TVA, l’IUTS affecte également la consommation. En effet, l’IUTS affecte le montant qu’un consommateur peut dépenser pour acquérir les biens et services dont il a</w:t>
      </w:r>
      <w:r w:rsidR="007D0827" w:rsidRPr="00256989">
        <w:rPr>
          <w:rFonts w:ascii="Times New Roman" w:eastAsia="Times New Roman" w:hAnsi="Times New Roman" w:cs="Times New Roman"/>
          <w:sz w:val="24"/>
          <w:szCs w:val="24"/>
          <w:lang w:val="fr-FR"/>
        </w:rPr>
        <w:t xml:space="preserve"> </w:t>
      </w:r>
      <w:r w:rsidR="009F6184" w:rsidRPr="00256989">
        <w:rPr>
          <w:rFonts w:ascii="Times New Roman" w:eastAsia="Times New Roman" w:hAnsi="Times New Roman" w:cs="Times New Roman"/>
          <w:sz w:val="24"/>
          <w:szCs w:val="24"/>
          <w:lang w:val="fr-FR"/>
        </w:rPr>
        <w:t>besoin</w:t>
      </w:r>
      <w:r w:rsidR="007D0827" w:rsidRPr="00256989">
        <w:rPr>
          <w:rFonts w:ascii="Times New Roman" w:eastAsia="Times New Roman" w:hAnsi="Times New Roman" w:cs="Times New Roman"/>
          <w:sz w:val="24"/>
          <w:szCs w:val="24"/>
          <w:lang w:val="fr-FR"/>
        </w:rPr>
        <w:t xml:space="preserve"> car il</w:t>
      </w:r>
      <w:r w:rsidR="00256989">
        <w:rPr>
          <w:rFonts w:ascii="Times New Roman" w:eastAsia="Times New Roman" w:hAnsi="Times New Roman" w:cs="Times New Roman"/>
          <w:sz w:val="24"/>
          <w:szCs w:val="24"/>
          <w:lang w:val="fr-FR"/>
        </w:rPr>
        <w:t xml:space="preserve"> </w:t>
      </w:r>
      <w:r w:rsidR="00B60C59">
        <w:rPr>
          <w:rFonts w:ascii="Times New Roman" w:eastAsia="Times New Roman" w:hAnsi="Times New Roman" w:cs="Times New Roman"/>
          <w:sz w:val="24"/>
          <w:szCs w:val="24"/>
          <w:lang w:val="fr-FR"/>
        </w:rPr>
        <w:t>réduit</w:t>
      </w:r>
      <w:r w:rsidR="007D0827" w:rsidRPr="00256989">
        <w:rPr>
          <w:rFonts w:ascii="Times New Roman" w:eastAsia="Times New Roman" w:hAnsi="Times New Roman" w:cs="Times New Roman"/>
          <w:sz w:val="24"/>
          <w:szCs w:val="24"/>
          <w:lang w:val="fr-FR"/>
        </w:rPr>
        <w:t xml:space="preserve"> le revenu disponible des employés contrairement à la TVA qui affecte les prix des biens et services.</w:t>
      </w:r>
      <w:r w:rsidR="009F6184" w:rsidRPr="00256989">
        <w:rPr>
          <w:rFonts w:ascii="Times New Roman" w:eastAsia="Times New Roman" w:hAnsi="Times New Roman" w:cs="Times New Roman"/>
          <w:sz w:val="24"/>
          <w:szCs w:val="24"/>
          <w:lang w:val="fr-FR"/>
        </w:rPr>
        <w:t xml:space="preserve"> </w:t>
      </w:r>
    </w:p>
    <w:p w14:paraId="19CFC568" w14:textId="77777777" w:rsidR="00EB636B"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De ce qui précède, nous nous posons la question de savoir quel est l’effet de la structure fiscale sur les dépenses de consommation finale des ménages au Burkina Faso</w:t>
      </w:r>
      <w:r w:rsidR="00B60C5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w:t>
      </w:r>
    </w:p>
    <w:p w14:paraId="4C3B648F" w14:textId="6DE603A7" w:rsidR="00F91F33" w:rsidRPr="00256989" w:rsidRDefault="00EB636B">
      <w:pPr>
        <w:spacing w:line="360" w:lineRule="auto"/>
        <w:jc w:val="both"/>
        <w:rPr>
          <w:rFonts w:ascii="Times New Roman" w:eastAsia="Times New Roman" w:hAnsi="Times New Roman" w:cs="Times New Roman"/>
          <w:sz w:val="24"/>
          <w:szCs w:val="24"/>
          <w:lang w:val="fr-FR"/>
        </w:rPr>
      </w:pPr>
      <w:r w:rsidRPr="00EB636B">
        <w:t xml:space="preserve"> </w:t>
      </w:r>
      <w:r w:rsidRPr="00EB636B">
        <w:rPr>
          <w:rFonts w:ascii="Times New Roman" w:eastAsia="Times New Roman" w:hAnsi="Times New Roman" w:cs="Times New Roman"/>
          <w:sz w:val="24"/>
          <w:szCs w:val="24"/>
        </w:rPr>
        <w:t>Comme dans plusieurs pays en développement, la structure fiscale au Burkina Faso, à travers les impôts appliqués et leur niveau, affecte directement le pouvoir d’achat des ménages. Cela se reflète notamment dans leurs dépenses de consommation, qui constituent une part importante de l'économie nationale.</w:t>
      </w:r>
      <w:r w:rsidRPr="00EB636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En effet, </w:t>
      </w:r>
      <w:r w:rsidR="001035A0">
        <w:rPr>
          <w:rFonts w:ascii="Times New Roman" w:eastAsia="Times New Roman" w:hAnsi="Times New Roman" w:cs="Times New Roman"/>
          <w:sz w:val="24"/>
          <w:szCs w:val="24"/>
          <w:lang w:val="fr-FR"/>
        </w:rPr>
        <w:t>d</w:t>
      </w:r>
      <w:r w:rsidR="00F91F33" w:rsidRPr="00256989">
        <w:rPr>
          <w:rFonts w:ascii="Times New Roman" w:eastAsia="Times New Roman" w:hAnsi="Times New Roman" w:cs="Times New Roman"/>
          <w:sz w:val="24"/>
          <w:szCs w:val="24"/>
          <w:lang w:val="fr-FR"/>
        </w:rPr>
        <w:t>ans les statistiques des recettes publiques, les structures fiscales sont mesurées par la part de chaque catégorie d’impôt dans les recettes fiscales totales de chaque pays.</w:t>
      </w:r>
      <w:r w:rsidR="00F120C2" w:rsidRPr="00256989">
        <w:rPr>
          <w:rFonts w:ascii="Times New Roman" w:eastAsia="Times New Roman" w:hAnsi="Times New Roman" w:cs="Times New Roman"/>
          <w:sz w:val="24"/>
          <w:szCs w:val="24"/>
          <w:lang w:val="fr-FR"/>
        </w:rPr>
        <w:t xml:space="preserve"> </w:t>
      </w:r>
      <w:r w:rsidR="005529F8" w:rsidRPr="00256989">
        <w:rPr>
          <w:rFonts w:ascii="Times New Roman" w:eastAsia="Times New Roman" w:hAnsi="Times New Roman" w:cs="Times New Roman"/>
          <w:sz w:val="24"/>
          <w:szCs w:val="24"/>
          <w:lang w:val="fr-FR"/>
        </w:rPr>
        <w:t xml:space="preserve"> Au Burkina Faso, l</w:t>
      </w:r>
      <w:r w:rsidR="00F120C2" w:rsidRPr="00256989">
        <w:rPr>
          <w:rFonts w:ascii="Times New Roman" w:eastAsia="Times New Roman" w:hAnsi="Times New Roman" w:cs="Times New Roman"/>
          <w:sz w:val="24"/>
          <w:szCs w:val="24"/>
          <w:lang w:val="fr-FR"/>
        </w:rPr>
        <w:t>es impôts indirects sur les biens et services autre que la TVA ont représent</w:t>
      </w:r>
      <w:r w:rsidR="00F644F7" w:rsidRPr="00256989">
        <w:rPr>
          <w:rFonts w:ascii="Times New Roman" w:eastAsia="Times New Roman" w:hAnsi="Times New Roman" w:cs="Times New Roman"/>
          <w:sz w:val="24"/>
          <w:szCs w:val="24"/>
          <w:lang w:val="fr-FR"/>
        </w:rPr>
        <w:t>é</w:t>
      </w:r>
      <w:r w:rsidR="00F120C2" w:rsidRPr="00256989">
        <w:rPr>
          <w:rFonts w:ascii="Times New Roman" w:eastAsia="Times New Roman" w:hAnsi="Times New Roman" w:cs="Times New Roman"/>
          <w:sz w:val="24"/>
          <w:szCs w:val="24"/>
          <w:lang w:val="fr-FR"/>
        </w:rPr>
        <w:t xml:space="preserve"> plus de la moitié de l’ensemble des recettes fiscales (OC</w:t>
      </w:r>
      <w:r w:rsidR="00797CC0" w:rsidRPr="00256989">
        <w:rPr>
          <w:rFonts w:ascii="Times New Roman" w:eastAsia="Times New Roman" w:hAnsi="Times New Roman" w:cs="Times New Roman"/>
          <w:sz w:val="24"/>
          <w:szCs w:val="24"/>
          <w:lang w:val="fr-FR"/>
        </w:rPr>
        <w:t>DE,2021). Cependant,</w:t>
      </w:r>
      <w:r w:rsidR="0084172A" w:rsidRPr="00256989">
        <w:rPr>
          <w:rFonts w:ascii="Times New Roman" w:eastAsia="Times New Roman" w:hAnsi="Times New Roman" w:cs="Times New Roman"/>
          <w:sz w:val="24"/>
          <w:szCs w:val="24"/>
          <w:lang w:val="fr-FR"/>
        </w:rPr>
        <w:t xml:space="preserve"> la TVA </w:t>
      </w:r>
      <w:r w:rsidR="00B60C59">
        <w:rPr>
          <w:rFonts w:ascii="Times New Roman" w:eastAsia="Times New Roman" w:hAnsi="Times New Roman" w:cs="Times New Roman"/>
          <w:sz w:val="24"/>
          <w:szCs w:val="24"/>
          <w:lang w:val="fr-FR"/>
        </w:rPr>
        <w:t xml:space="preserve">qui </w:t>
      </w:r>
      <w:r w:rsidR="0084172A" w:rsidRPr="00256989">
        <w:rPr>
          <w:rFonts w:ascii="Times New Roman" w:eastAsia="Times New Roman" w:hAnsi="Times New Roman" w:cs="Times New Roman"/>
          <w:sz w:val="24"/>
          <w:szCs w:val="24"/>
          <w:lang w:val="fr-FR"/>
        </w:rPr>
        <w:t xml:space="preserve">représente </w:t>
      </w:r>
      <w:r w:rsidR="004429AC" w:rsidRPr="00256989">
        <w:rPr>
          <w:rFonts w:ascii="Times New Roman" w:eastAsia="Times New Roman" w:hAnsi="Times New Roman" w:cs="Times New Roman"/>
          <w:sz w:val="24"/>
          <w:szCs w:val="24"/>
          <w:lang w:val="fr-FR"/>
        </w:rPr>
        <w:t xml:space="preserve">19 </w:t>
      </w:r>
      <w:r w:rsidR="005529F8" w:rsidRPr="00256989">
        <w:rPr>
          <w:rFonts w:ascii="Times New Roman" w:eastAsia="Times New Roman" w:hAnsi="Times New Roman" w:cs="Times New Roman"/>
          <w:sz w:val="24"/>
          <w:szCs w:val="24"/>
          <w:lang w:val="fr-FR"/>
        </w:rPr>
        <w:t>%</w:t>
      </w:r>
      <w:r w:rsidR="00E426B1">
        <w:rPr>
          <w:rFonts w:ascii="Times New Roman" w:eastAsia="Times New Roman" w:hAnsi="Times New Roman" w:cs="Times New Roman"/>
          <w:sz w:val="24"/>
          <w:szCs w:val="24"/>
          <w:lang w:val="fr-FR"/>
        </w:rPr>
        <w:t>, l</w:t>
      </w:r>
      <w:r w:rsidR="005529F8" w:rsidRPr="00256989">
        <w:rPr>
          <w:rFonts w:ascii="Times New Roman" w:eastAsia="Times New Roman" w:hAnsi="Times New Roman" w:cs="Times New Roman"/>
          <w:sz w:val="24"/>
          <w:szCs w:val="24"/>
          <w:lang w:val="fr-FR"/>
        </w:rPr>
        <w:t>’impôt</w:t>
      </w:r>
      <w:r w:rsidR="004429AC" w:rsidRPr="00256989">
        <w:rPr>
          <w:rFonts w:ascii="Times New Roman" w:eastAsia="Times New Roman" w:hAnsi="Times New Roman" w:cs="Times New Roman"/>
          <w:sz w:val="24"/>
          <w:szCs w:val="24"/>
          <w:lang w:val="fr-FR"/>
        </w:rPr>
        <w:t xml:space="preserve"> sur le revenu est de l’ordre de 10 %</w:t>
      </w:r>
      <w:r w:rsidR="005529F8" w:rsidRPr="00256989">
        <w:rPr>
          <w:rFonts w:ascii="Times New Roman" w:eastAsia="Times New Roman" w:hAnsi="Times New Roman" w:cs="Times New Roman"/>
          <w:sz w:val="24"/>
          <w:szCs w:val="24"/>
          <w:lang w:val="fr-FR"/>
        </w:rPr>
        <w:t xml:space="preserve"> en 2021</w:t>
      </w:r>
      <w:r w:rsidR="004429AC" w:rsidRPr="00256989">
        <w:rPr>
          <w:rFonts w:ascii="Times New Roman" w:eastAsia="Times New Roman" w:hAnsi="Times New Roman" w:cs="Times New Roman"/>
          <w:sz w:val="24"/>
          <w:szCs w:val="24"/>
          <w:lang w:val="fr-FR"/>
        </w:rPr>
        <w:t xml:space="preserve"> (</w:t>
      </w:r>
      <w:r w:rsidR="005529F8" w:rsidRPr="00256989">
        <w:rPr>
          <w:rFonts w:ascii="Times New Roman" w:eastAsia="Times New Roman" w:hAnsi="Times New Roman" w:cs="Times New Roman"/>
          <w:sz w:val="24"/>
          <w:szCs w:val="24"/>
          <w:lang w:val="fr-FR"/>
        </w:rPr>
        <w:t>OCDE,2023).</w:t>
      </w:r>
    </w:p>
    <w:p w14:paraId="7EB52100" w14:textId="65D311CB"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Au regard</w:t>
      </w:r>
      <w:r w:rsidR="00A62726" w:rsidRPr="00256989">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de la consommation des ménages, celle-ci se réalise sous la contrainte du revenu mais aussi des prix des biens et des services consommés. Leur pouvoir d’achat dépend de l’évolution de leur revenu et des prix et mesure donc la quantité de biens et de services que peuvent se procurer les ménages grâce à leur revenu disponible. En effet, une taxe indirecte peut augmenter le prix d’un bien afin </w:t>
      </w:r>
      <w:r w:rsidR="00D228B4">
        <w:rPr>
          <w:rFonts w:ascii="Times New Roman" w:eastAsia="Times New Roman" w:hAnsi="Times New Roman" w:cs="Times New Roman"/>
          <w:sz w:val="24"/>
          <w:szCs w:val="24"/>
          <w:lang w:val="fr-FR"/>
        </w:rPr>
        <w:t>d’entrainer dans le même sens</w:t>
      </w:r>
      <w:r w:rsidR="00D228B4"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le prix des produits pour les consommateurs. </w:t>
      </w:r>
      <w:r w:rsidR="00DA131C" w:rsidRPr="00256989">
        <w:rPr>
          <w:rFonts w:ascii="Times New Roman" w:eastAsia="Times New Roman" w:hAnsi="Times New Roman" w:cs="Times New Roman"/>
          <w:sz w:val="24"/>
          <w:szCs w:val="24"/>
          <w:lang w:val="fr-FR"/>
        </w:rPr>
        <w:t>De ce fait, au Burkina Faso, les dépenses totales annuelles de consommation des ménages sont estimées à 8 142 milliards FCFA en 2021. En 2018, ces dépenses sont estimées à 6621,80 milliards FCFA, soit un accroissement global de 23% sur la période 2018-2021 en terme</w:t>
      </w:r>
      <w:r w:rsidR="00D228B4">
        <w:rPr>
          <w:rFonts w:ascii="Times New Roman" w:eastAsia="Times New Roman" w:hAnsi="Times New Roman" w:cs="Times New Roman"/>
          <w:sz w:val="24"/>
          <w:szCs w:val="24"/>
          <w:lang w:val="fr-FR"/>
        </w:rPr>
        <w:t xml:space="preserve"> </w:t>
      </w:r>
      <w:r w:rsidR="00DA131C" w:rsidRPr="00256989">
        <w:rPr>
          <w:rFonts w:ascii="Times New Roman" w:eastAsia="Times New Roman" w:hAnsi="Times New Roman" w:cs="Times New Roman"/>
          <w:sz w:val="24"/>
          <w:szCs w:val="24"/>
          <w:lang w:val="fr-FR"/>
        </w:rPr>
        <w:t>nominal. Cependant, le pays a connu une inflation record de 14,1% en 2022, toute chose qui a contribué à la hausse des dépenses des ménages (INSD,2021)</w:t>
      </w:r>
      <w:r w:rsidR="001B4198" w:rsidRPr="00256989">
        <w:rPr>
          <w:rFonts w:ascii="Times New Roman" w:eastAsia="Times New Roman" w:hAnsi="Times New Roman" w:cs="Times New Roman"/>
          <w:sz w:val="24"/>
          <w:szCs w:val="24"/>
          <w:lang w:val="fr-FR"/>
        </w:rPr>
        <w:t xml:space="preserve">. Concernant, la </w:t>
      </w:r>
      <w:r w:rsidR="00D228B4" w:rsidRPr="00D228B4">
        <w:rPr>
          <w:rFonts w:ascii="Times New Roman" w:eastAsia="Times New Roman" w:hAnsi="Times New Roman" w:cs="Times New Roman"/>
          <w:sz w:val="24"/>
          <w:szCs w:val="24"/>
          <w:lang w:val="fr-FR"/>
        </w:rPr>
        <w:t>structure des</w:t>
      </w:r>
      <w:r w:rsidR="001B4198" w:rsidRPr="00256989">
        <w:rPr>
          <w:rFonts w:ascii="Times New Roman" w:eastAsia="Times New Roman" w:hAnsi="Times New Roman" w:cs="Times New Roman"/>
          <w:sz w:val="24"/>
          <w:szCs w:val="24"/>
          <w:lang w:val="fr-FR"/>
        </w:rPr>
        <w:t xml:space="preserve"> dépenses de consommations des ménages, </w:t>
      </w:r>
      <w:r w:rsidR="00285388" w:rsidRPr="00256989">
        <w:rPr>
          <w:rFonts w:ascii="Times New Roman" w:eastAsia="Times New Roman" w:hAnsi="Times New Roman" w:cs="Times New Roman"/>
          <w:sz w:val="24"/>
          <w:szCs w:val="24"/>
          <w:lang w:val="fr-FR"/>
        </w:rPr>
        <w:t xml:space="preserve">les biens alimentaires ont constitué les besoins prioritaires des ménages au niveau de leur panier de consommation. En effet, les ménages y ont investi 43,5% de leur dépense annuelle. Par contre, ils dépensent faiblement pour leur santé </w:t>
      </w:r>
      <w:r w:rsidR="001B4198" w:rsidRPr="00256989">
        <w:rPr>
          <w:rFonts w:ascii="Times New Roman" w:eastAsia="Times New Roman" w:hAnsi="Times New Roman" w:cs="Times New Roman"/>
          <w:sz w:val="24"/>
          <w:szCs w:val="24"/>
          <w:lang w:val="fr-FR"/>
        </w:rPr>
        <w:t xml:space="preserve">qui représente </w:t>
      </w:r>
      <w:r w:rsidR="00285388" w:rsidRPr="00256989">
        <w:rPr>
          <w:rFonts w:ascii="Times New Roman" w:eastAsia="Times New Roman" w:hAnsi="Times New Roman" w:cs="Times New Roman"/>
          <w:sz w:val="24"/>
          <w:szCs w:val="24"/>
          <w:lang w:val="fr-FR"/>
        </w:rPr>
        <w:t>4,6 %</w:t>
      </w:r>
      <w:r w:rsidR="001B4198" w:rsidRPr="00256989">
        <w:rPr>
          <w:rFonts w:ascii="Times New Roman" w:eastAsia="Times New Roman" w:hAnsi="Times New Roman" w:cs="Times New Roman"/>
          <w:sz w:val="24"/>
          <w:szCs w:val="24"/>
          <w:lang w:val="fr-FR"/>
        </w:rPr>
        <w:t xml:space="preserve"> </w:t>
      </w:r>
      <w:r w:rsidR="00285388" w:rsidRPr="00256989">
        <w:rPr>
          <w:rFonts w:ascii="Times New Roman" w:eastAsia="Times New Roman" w:hAnsi="Times New Roman" w:cs="Times New Roman"/>
          <w:sz w:val="24"/>
          <w:szCs w:val="24"/>
          <w:lang w:val="fr-FR"/>
        </w:rPr>
        <w:t xml:space="preserve">et leur éducation </w:t>
      </w:r>
      <w:r w:rsidR="001B4198" w:rsidRPr="00256989">
        <w:rPr>
          <w:rFonts w:ascii="Times New Roman" w:eastAsia="Times New Roman" w:hAnsi="Times New Roman" w:cs="Times New Roman"/>
          <w:sz w:val="24"/>
          <w:szCs w:val="24"/>
          <w:lang w:val="fr-FR"/>
        </w:rPr>
        <w:t xml:space="preserve">qui est de l’ordre de </w:t>
      </w:r>
      <w:r w:rsidR="00285388" w:rsidRPr="00256989">
        <w:rPr>
          <w:rFonts w:ascii="Times New Roman" w:eastAsia="Times New Roman" w:hAnsi="Times New Roman" w:cs="Times New Roman"/>
          <w:sz w:val="24"/>
          <w:szCs w:val="24"/>
          <w:lang w:val="fr-FR"/>
        </w:rPr>
        <w:t>1,5 %. Par ailleurs, pour la constitution du patrimoine, les ménages ont investi 6,1% de leurs dépenses pour acquérir des biens durables</w:t>
      </w:r>
      <w:r w:rsidR="00E84C9E" w:rsidRPr="00256989">
        <w:rPr>
          <w:rFonts w:ascii="Times New Roman" w:eastAsia="Times New Roman" w:hAnsi="Times New Roman" w:cs="Times New Roman"/>
          <w:sz w:val="24"/>
          <w:szCs w:val="24"/>
          <w:lang w:val="fr-FR"/>
        </w:rPr>
        <w:t xml:space="preserve"> (INSD, 2024).</w:t>
      </w:r>
    </w:p>
    <w:p w14:paraId="05BFEA40" w14:textId="1E81368A" w:rsidR="005E4276" w:rsidRPr="00256989" w:rsidRDefault="00A37E0E">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w:t>
      </w:r>
      <w:r w:rsidR="006D388F" w:rsidRPr="00256989">
        <w:rPr>
          <w:rFonts w:ascii="Times New Roman" w:eastAsia="Times New Roman" w:hAnsi="Times New Roman" w:cs="Times New Roman"/>
          <w:sz w:val="24"/>
          <w:szCs w:val="24"/>
          <w:lang w:val="fr-FR"/>
        </w:rPr>
        <w:t xml:space="preserve">e ce </w:t>
      </w:r>
      <w:r w:rsidR="00D95A36">
        <w:rPr>
          <w:rFonts w:ascii="Times New Roman" w:eastAsia="Times New Roman" w:hAnsi="Times New Roman" w:cs="Times New Roman"/>
          <w:sz w:val="24"/>
          <w:szCs w:val="24"/>
          <w:lang w:val="fr-FR"/>
        </w:rPr>
        <w:t>fait</w:t>
      </w:r>
      <w:r w:rsidR="006D388F" w:rsidRPr="00256989">
        <w:rPr>
          <w:rFonts w:ascii="Times New Roman" w:eastAsia="Times New Roman" w:hAnsi="Times New Roman" w:cs="Times New Roman"/>
          <w:sz w:val="24"/>
          <w:szCs w:val="24"/>
          <w:lang w:val="fr-FR"/>
        </w:rPr>
        <w:t>, l’objectif de cette recherche est d’analyser l’effet de la structure fiscale sur les dépenses de consommation finale des ménages au Burkina Faso. Pour mener à bien cette recherche, nous émettons l’hypothèse qu’une baisse de l’impôt entraîne une augmentation des dépenses de consommation finale des ménages.</w:t>
      </w:r>
    </w:p>
    <w:p w14:paraId="2E8A466F" w14:textId="572422CF"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Pour tester cette hypothèse, nous utilisons les données trimestrielles </w:t>
      </w:r>
      <w:r w:rsidR="00200B80" w:rsidRPr="00256989">
        <w:rPr>
          <w:rFonts w:ascii="Times New Roman" w:eastAsia="Times New Roman" w:hAnsi="Times New Roman" w:cs="Times New Roman"/>
          <w:sz w:val="24"/>
          <w:szCs w:val="24"/>
          <w:lang w:val="fr-FR"/>
        </w:rPr>
        <w:t>sur le</w:t>
      </w:r>
      <w:r w:rsidRPr="00256989">
        <w:rPr>
          <w:rFonts w:ascii="Times New Roman" w:eastAsia="Times New Roman" w:hAnsi="Times New Roman" w:cs="Times New Roman"/>
          <w:sz w:val="24"/>
          <w:szCs w:val="24"/>
          <w:lang w:val="fr-FR"/>
        </w:rPr>
        <w:t xml:space="preserve"> Burkina Faso couvrant la période de 2003 à 2021</w:t>
      </w:r>
      <w:r w:rsidR="00CD64D0">
        <w:rPr>
          <w:rFonts w:ascii="Times New Roman" w:eastAsia="Times New Roman" w:hAnsi="Times New Roman" w:cs="Times New Roman"/>
          <w:sz w:val="24"/>
          <w:szCs w:val="24"/>
          <w:lang w:val="fr-FR"/>
        </w:rPr>
        <w:t xml:space="preserve"> en regardant </w:t>
      </w:r>
      <w:r w:rsidR="009000DE">
        <w:rPr>
          <w:rFonts w:ascii="Times New Roman" w:eastAsia="Times New Roman" w:hAnsi="Times New Roman" w:cs="Times New Roman"/>
          <w:sz w:val="24"/>
          <w:szCs w:val="24"/>
          <w:lang w:val="fr-FR"/>
        </w:rPr>
        <w:t xml:space="preserve">les dépenses de consommation finale </w:t>
      </w:r>
      <w:r w:rsidR="00AB7445">
        <w:rPr>
          <w:rFonts w:ascii="Times New Roman" w:eastAsia="Times New Roman" w:hAnsi="Times New Roman" w:cs="Times New Roman"/>
          <w:sz w:val="24"/>
          <w:szCs w:val="24"/>
          <w:lang w:val="fr-FR"/>
        </w:rPr>
        <w:t>des ménages dans son ensembl</w:t>
      </w:r>
      <w:r w:rsidR="00E418F4">
        <w:rPr>
          <w:rFonts w:ascii="Times New Roman" w:eastAsia="Times New Roman" w:hAnsi="Times New Roman" w:cs="Times New Roman"/>
          <w:sz w:val="24"/>
          <w:szCs w:val="24"/>
          <w:lang w:val="fr-FR"/>
        </w:rPr>
        <w:t xml:space="preserve">e et de </w:t>
      </w:r>
      <w:r w:rsidR="00FB21F9">
        <w:rPr>
          <w:rFonts w:ascii="Times New Roman" w:eastAsia="Times New Roman" w:hAnsi="Times New Roman" w:cs="Times New Roman"/>
          <w:sz w:val="24"/>
          <w:szCs w:val="24"/>
          <w:lang w:val="fr-FR"/>
        </w:rPr>
        <w:t>2015</w:t>
      </w:r>
      <w:r w:rsidR="00496E33">
        <w:rPr>
          <w:rFonts w:ascii="Times New Roman" w:eastAsia="Times New Roman" w:hAnsi="Times New Roman" w:cs="Times New Roman"/>
          <w:sz w:val="24"/>
          <w:szCs w:val="24"/>
          <w:lang w:val="fr-FR"/>
        </w:rPr>
        <w:t xml:space="preserve"> à 2021 </w:t>
      </w:r>
      <w:r w:rsidR="00ED2A72">
        <w:rPr>
          <w:rFonts w:ascii="Times New Roman" w:eastAsia="Times New Roman" w:hAnsi="Times New Roman" w:cs="Times New Roman"/>
          <w:sz w:val="24"/>
          <w:szCs w:val="24"/>
          <w:lang w:val="fr-FR"/>
        </w:rPr>
        <w:t>sur les d</w:t>
      </w:r>
      <w:r w:rsidR="00C64221">
        <w:rPr>
          <w:rFonts w:ascii="Times New Roman" w:eastAsia="Times New Roman" w:hAnsi="Times New Roman" w:cs="Times New Roman"/>
          <w:sz w:val="24"/>
          <w:szCs w:val="24"/>
          <w:lang w:val="fr-FR"/>
        </w:rPr>
        <w:t>i</w:t>
      </w:r>
      <w:r w:rsidR="00ED2A72">
        <w:rPr>
          <w:rFonts w:ascii="Times New Roman" w:eastAsia="Times New Roman" w:hAnsi="Times New Roman" w:cs="Times New Roman"/>
          <w:sz w:val="24"/>
          <w:szCs w:val="24"/>
          <w:lang w:val="fr-FR"/>
        </w:rPr>
        <w:t>ff</w:t>
      </w:r>
      <w:r w:rsidR="00C64221">
        <w:rPr>
          <w:rFonts w:ascii="Times New Roman" w:eastAsia="Times New Roman" w:hAnsi="Times New Roman" w:cs="Times New Roman"/>
          <w:sz w:val="24"/>
          <w:szCs w:val="24"/>
          <w:lang w:val="fr-FR"/>
        </w:rPr>
        <w:t>é</w:t>
      </w:r>
      <w:r w:rsidR="00ED2A72">
        <w:rPr>
          <w:rFonts w:ascii="Times New Roman" w:eastAsia="Times New Roman" w:hAnsi="Times New Roman" w:cs="Times New Roman"/>
          <w:sz w:val="24"/>
          <w:szCs w:val="24"/>
          <w:lang w:val="fr-FR"/>
        </w:rPr>
        <w:t>rentes</w:t>
      </w:r>
      <w:r w:rsidR="00C64221">
        <w:rPr>
          <w:rFonts w:ascii="Times New Roman" w:eastAsia="Times New Roman" w:hAnsi="Times New Roman" w:cs="Times New Roman"/>
          <w:sz w:val="24"/>
          <w:szCs w:val="24"/>
          <w:lang w:val="fr-FR"/>
        </w:rPr>
        <w:t xml:space="preserve"> composantes des dépenses de consommations finale des ménages</w:t>
      </w:r>
      <w:r w:rsidR="00ED2A72">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et le modèle autorégressif à décalages distribués. La contribution de cette </w:t>
      </w:r>
      <w:r w:rsidR="00200B80" w:rsidRPr="00256989">
        <w:rPr>
          <w:rFonts w:ascii="Times New Roman" w:eastAsia="Times New Roman" w:hAnsi="Times New Roman" w:cs="Times New Roman"/>
          <w:sz w:val="24"/>
          <w:szCs w:val="24"/>
          <w:lang w:val="fr-FR"/>
        </w:rPr>
        <w:t>recherche</w:t>
      </w:r>
      <w:r w:rsidRPr="00256989">
        <w:rPr>
          <w:rFonts w:ascii="Times New Roman" w:eastAsia="Times New Roman" w:hAnsi="Times New Roman" w:cs="Times New Roman"/>
          <w:sz w:val="24"/>
          <w:szCs w:val="24"/>
          <w:lang w:val="fr-FR"/>
        </w:rPr>
        <w:t xml:space="preserve"> est d’une part de prolonger la littérature sur la relation entre la structure fiscale et la consommation finale des ménages et d’autre part de permettre aux gouvernements de concevoir des politiques économiques efficaces et équitables.</w:t>
      </w:r>
    </w:p>
    <w:p w14:paraId="18035834" w14:textId="5DCF9C97" w:rsidR="00E01C8A" w:rsidRPr="00256989" w:rsidRDefault="00A37E0E">
      <w:pPr>
        <w:spacing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N</w:t>
      </w:r>
      <w:r w:rsidR="006D388F" w:rsidRPr="00256989">
        <w:rPr>
          <w:rFonts w:ascii="Times New Roman" w:eastAsia="Times New Roman" w:hAnsi="Times New Roman" w:cs="Times New Roman"/>
          <w:color w:val="000000"/>
          <w:sz w:val="24"/>
          <w:szCs w:val="24"/>
          <w:lang w:val="fr-FR"/>
        </w:rPr>
        <w:t>otre recherche est structuré</w:t>
      </w:r>
      <w:r>
        <w:rPr>
          <w:rFonts w:ascii="Times New Roman" w:eastAsia="Times New Roman" w:hAnsi="Times New Roman" w:cs="Times New Roman"/>
          <w:color w:val="000000"/>
          <w:sz w:val="24"/>
          <w:szCs w:val="24"/>
          <w:lang w:val="fr-FR"/>
        </w:rPr>
        <w:t>e</w:t>
      </w:r>
      <w:r w:rsidR="006D388F" w:rsidRPr="00256989">
        <w:rPr>
          <w:rFonts w:ascii="Times New Roman" w:eastAsia="Times New Roman" w:hAnsi="Times New Roman" w:cs="Times New Roman"/>
          <w:color w:val="000000"/>
          <w:sz w:val="24"/>
          <w:szCs w:val="24"/>
          <w:lang w:val="fr-FR"/>
        </w:rPr>
        <w:t xml:space="preserve"> comme suit</w:t>
      </w:r>
      <w:r>
        <w:rPr>
          <w:rFonts w:ascii="Times New Roman" w:eastAsia="Times New Roman" w:hAnsi="Times New Roman" w:cs="Times New Roman"/>
          <w:color w:val="000000"/>
          <w:sz w:val="24"/>
          <w:szCs w:val="24"/>
          <w:lang w:val="fr-FR"/>
        </w:rPr>
        <w:t xml:space="preserve"> </w:t>
      </w:r>
      <w:r w:rsidR="006D388F" w:rsidRPr="00256989">
        <w:rPr>
          <w:rFonts w:ascii="Times New Roman" w:eastAsia="Times New Roman" w:hAnsi="Times New Roman" w:cs="Times New Roman"/>
          <w:color w:val="000000"/>
          <w:sz w:val="24"/>
          <w:szCs w:val="24"/>
          <w:lang w:val="fr-FR"/>
        </w:rPr>
        <w:t xml:space="preserve">: La section I aborde la revue de la littérature. La section II présente </w:t>
      </w:r>
      <w:r w:rsidR="008739A4">
        <w:rPr>
          <w:rFonts w:ascii="Times New Roman" w:eastAsia="Times New Roman" w:hAnsi="Times New Roman" w:cs="Times New Roman"/>
          <w:color w:val="000000"/>
          <w:sz w:val="24"/>
          <w:szCs w:val="24"/>
          <w:lang w:val="fr-FR"/>
        </w:rPr>
        <w:t>les faits stylisés</w:t>
      </w:r>
      <w:r w:rsidR="006D388F" w:rsidRPr="00256989">
        <w:rPr>
          <w:rFonts w:ascii="Times New Roman" w:eastAsia="Times New Roman" w:hAnsi="Times New Roman" w:cs="Times New Roman"/>
          <w:color w:val="000000"/>
          <w:sz w:val="24"/>
          <w:szCs w:val="24"/>
          <w:lang w:val="fr-FR"/>
        </w:rPr>
        <w:t xml:space="preserve">. </w:t>
      </w:r>
      <w:r w:rsidR="008739A4">
        <w:rPr>
          <w:rFonts w:ascii="Times New Roman" w:eastAsia="Times New Roman" w:hAnsi="Times New Roman" w:cs="Times New Roman"/>
          <w:color w:val="000000"/>
          <w:sz w:val="24"/>
          <w:szCs w:val="24"/>
          <w:lang w:val="fr-FR"/>
        </w:rPr>
        <w:t xml:space="preserve">La </w:t>
      </w:r>
      <w:r w:rsidR="008739A4" w:rsidRPr="00256989">
        <w:rPr>
          <w:rFonts w:ascii="Times New Roman" w:eastAsia="Times New Roman" w:hAnsi="Times New Roman" w:cs="Times New Roman"/>
          <w:color w:val="000000"/>
          <w:sz w:val="24"/>
          <w:szCs w:val="24"/>
          <w:lang w:val="fr-FR"/>
        </w:rPr>
        <w:t xml:space="preserve">méthodologie utilisée </w:t>
      </w:r>
      <w:r w:rsidR="008739A4">
        <w:rPr>
          <w:rFonts w:ascii="Times New Roman" w:eastAsia="Times New Roman" w:hAnsi="Times New Roman" w:cs="Times New Roman"/>
          <w:color w:val="000000"/>
          <w:sz w:val="24"/>
          <w:szCs w:val="24"/>
          <w:lang w:val="fr-FR"/>
        </w:rPr>
        <w:t xml:space="preserve">fait l’objet de la section III. </w:t>
      </w:r>
      <w:r w:rsidR="006D388F" w:rsidRPr="00256989">
        <w:rPr>
          <w:rFonts w:ascii="Times New Roman" w:eastAsia="Times New Roman" w:hAnsi="Times New Roman" w:cs="Times New Roman"/>
          <w:color w:val="000000"/>
          <w:sz w:val="24"/>
          <w:szCs w:val="24"/>
          <w:lang w:val="fr-FR"/>
        </w:rPr>
        <w:t>La</w:t>
      </w:r>
      <w:r w:rsidR="00B454BB">
        <w:rPr>
          <w:rFonts w:ascii="Times New Roman" w:eastAsia="Times New Roman" w:hAnsi="Times New Roman" w:cs="Times New Roman"/>
          <w:color w:val="000000"/>
          <w:sz w:val="24"/>
          <w:szCs w:val="24"/>
          <w:lang w:val="fr-FR"/>
        </w:rPr>
        <w:t xml:space="preserve"> section IV est consacrée à la </w:t>
      </w:r>
      <w:r w:rsidR="006D388F" w:rsidRPr="00256989">
        <w:rPr>
          <w:rFonts w:ascii="Times New Roman" w:eastAsia="Times New Roman" w:hAnsi="Times New Roman" w:cs="Times New Roman"/>
          <w:color w:val="000000"/>
          <w:sz w:val="24"/>
          <w:szCs w:val="24"/>
          <w:lang w:val="fr-FR"/>
        </w:rPr>
        <w:t>présentation et la discussion</w:t>
      </w:r>
      <w:r w:rsidR="008739A4">
        <w:rPr>
          <w:rFonts w:ascii="Times New Roman" w:eastAsia="Times New Roman" w:hAnsi="Times New Roman" w:cs="Times New Roman"/>
          <w:color w:val="000000"/>
          <w:sz w:val="24"/>
          <w:szCs w:val="24"/>
          <w:lang w:val="fr-FR"/>
        </w:rPr>
        <w:t xml:space="preserve"> </w:t>
      </w:r>
      <w:r w:rsidR="008739A4" w:rsidRPr="00256989">
        <w:rPr>
          <w:rFonts w:ascii="Times New Roman" w:eastAsia="Times New Roman" w:hAnsi="Times New Roman" w:cs="Times New Roman"/>
          <w:color w:val="000000"/>
          <w:sz w:val="24"/>
          <w:szCs w:val="24"/>
          <w:lang w:val="fr-FR"/>
        </w:rPr>
        <w:t>des résultats</w:t>
      </w:r>
      <w:r w:rsidR="006D388F" w:rsidRPr="00256989">
        <w:rPr>
          <w:rFonts w:ascii="Times New Roman" w:eastAsia="Times New Roman" w:hAnsi="Times New Roman" w:cs="Times New Roman"/>
          <w:color w:val="000000"/>
          <w:sz w:val="24"/>
          <w:szCs w:val="24"/>
          <w:lang w:val="fr-FR"/>
        </w:rPr>
        <w:t xml:space="preserve"> et la dernière section porte sur la conclusion assortie des implications</w:t>
      </w:r>
      <w:r w:rsidR="000C0353">
        <w:rPr>
          <w:rFonts w:ascii="Times New Roman" w:eastAsia="Times New Roman" w:hAnsi="Times New Roman" w:cs="Times New Roman"/>
          <w:color w:val="000000"/>
          <w:sz w:val="24"/>
          <w:szCs w:val="24"/>
          <w:lang w:val="fr-FR"/>
        </w:rPr>
        <w:t xml:space="preserve"> de</w:t>
      </w:r>
      <w:r w:rsidR="006D388F" w:rsidRPr="00256989">
        <w:rPr>
          <w:rFonts w:ascii="Times New Roman" w:eastAsia="Times New Roman" w:hAnsi="Times New Roman" w:cs="Times New Roman"/>
          <w:color w:val="000000"/>
          <w:sz w:val="24"/>
          <w:szCs w:val="24"/>
          <w:lang w:val="fr-FR"/>
        </w:rPr>
        <w:t xml:space="preserve"> politique</w:t>
      </w:r>
      <w:r w:rsidR="000C0353">
        <w:rPr>
          <w:rFonts w:ascii="Times New Roman" w:eastAsia="Times New Roman" w:hAnsi="Times New Roman" w:cs="Times New Roman"/>
          <w:color w:val="000000"/>
          <w:sz w:val="24"/>
          <w:szCs w:val="24"/>
          <w:lang w:val="fr-FR"/>
        </w:rPr>
        <w:t xml:space="preserve"> </w:t>
      </w:r>
      <w:r w:rsidR="00CD64D0">
        <w:rPr>
          <w:rFonts w:ascii="Times New Roman" w:eastAsia="Times New Roman" w:hAnsi="Times New Roman" w:cs="Times New Roman"/>
          <w:color w:val="000000"/>
          <w:sz w:val="24"/>
          <w:szCs w:val="24"/>
          <w:lang w:val="fr-FR"/>
        </w:rPr>
        <w:t>économiques</w:t>
      </w:r>
      <w:r w:rsidR="006D388F" w:rsidRPr="00256989">
        <w:rPr>
          <w:rFonts w:ascii="Times New Roman" w:eastAsia="Times New Roman" w:hAnsi="Times New Roman" w:cs="Times New Roman"/>
          <w:color w:val="000000"/>
          <w:sz w:val="24"/>
          <w:szCs w:val="24"/>
          <w:lang w:val="fr-FR"/>
        </w:rPr>
        <w:t>.</w:t>
      </w:r>
    </w:p>
    <w:p w14:paraId="2CBB5E19" w14:textId="4FD757C9" w:rsidR="005E4276"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lastRenderedPageBreak/>
        <w:t>I. REVUE DE LA LITT</w:t>
      </w:r>
      <w:r w:rsidR="00976479">
        <w:rPr>
          <w:rFonts w:ascii="Times New Roman" w:eastAsia="Times New Roman" w:hAnsi="Times New Roman" w:cs="Times New Roman"/>
          <w:b/>
          <w:sz w:val="24"/>
          <w:szCs w:val="24"/>
          <w:lang w:val="fr-FR"/>
        </w:rPr>
        <w:t>É</w:t>
      </w:r>
      <w:r w:rsidRPr="00256989">
        <w:rPr>
          <w:rFonts w:ascii="Times New Roman" w:eastAsia="Times New Roman" w:hAnsi="Times New Roman" w:cs="Times New Roman"/>
          <w:b/>
          <w:sz w:val="24"/>
          <w:szCs w:val="24"/>
          <w:lang w:val="fr-FR"/>
        </w:rPr>
        <w:t>RATURE</w:t>
      </w:r>
    </w:p>
    <w:p w14:paraId="2B15BA34" w14:textId="58BDB212"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Dans cette section, nous abordons dans un premier temps l’approche théorique et dans un second temps les analyses empiriques de la relation entre la structure</w:t>
      </w:r>
      <w:r w:rsidR="004451D7" w:rsidRPr="00256989">
        <w:rPr>
          <w:rFonts w:ascii="Times New Roman" w:eastAsia="Times New Roman" w:hAnsi="Times New Roman" w:cs="Times New Roman"/>
          <w:sz w:val="24"/>
          <w:szCs w:val="24"/>
          <w:lang w:val="fr-FR"/>
        </w:rPr>
        <w:t xml:space="preserve"> fiscale </w:t>
      </w:r>
      <w:r w:rsidRPr="00256989">
        <w:rPr>
          <w:rFonts w:ascii="Times New Roman" w:eastAsia="Times New Roman" w:hAnsi="Times New Roman" w:cs="Times New Roman"/>
          <w:sz w:val="24"/>
          <w:szCs w:val="24"/>
          <w:lang w:val="fr-FR"/>
        </w:rPr>
        <w:t>et les dépenses de consommation finale des ménages.</w:t>
      </w:r>
    </w:p>
    <w:p w14:paraId="3B281DBD" w14:textId="4A538C5A" w:rsidR="004451D7"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t>I.1 Approche théorique de la relation entre la structure fiscale et les dépenses de consommation des ménages</w:t>
      </w:r>
    </w:p>
    <w:p w14:paraId="3BDB4D39" w14:textId="4005E3E7" w:rsidR="00930CA8" w:rsidRPr="00256989" w:rsidRDefault="004451D7" w:rsidP="00930CA8">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bCs/>
          <w:sz w:val="24"/>
          <w:szCs w:val="24"/>
          <w:lang w:val="fr-FR"/>
        </w:rPr>
        <w:t>Dans la plupart des nations</w:t>
      </w:r>
      <w:r w:rsidR="00A27087" w:rsidRPr="00256989">
        <w:rPr>
          <w:rFonts w:ascii="Times New Roman" w:eastAsia="Times New Roman" w:hAnsi="Times New Roman" w:cs="Times New Roman"/>
          <w:bCs/>
          <w:sz w:val="24"/>
          <w:szCs w:val="24"/>
          <w:lang w:val="fr-FR"/>
        </w:rPr>
        <w:t>,</w:t>
      </w:r>
      <w:r w:rsidR="00131504" w:rsidRPr="00256989">
        <w:rPr>
          <w:rFonts w:ascii="Times New Roman" w:eastAsia="Times New Roman" w:hAnsi="Times New Roman" w:cs="Times New Roman"/>
          <w:bCs/>
          <w:sz w:val="24"/>
          <w:szCs w:val="24"/>
          <w:lang w:val="fr-FR"/>
        </w:rPr>
        <w:t xml:space="preserve"> </w:t>
      </w:r>
      <w:r w:rsidR="00A27087" w:rsidRPr="00256989">
        <w:rPr>
          <w:rFonts w:ascii="Times New Roman" w:eastAsia="Times New Roman" w:hAnsi="Times New Roman" w:cs="Times New Roman"/>
          <w:bCs/>
          <w:sz w:val="24"/>
          <w:szCs w:val="24"/>
          <w:lang w:val="fr-FR"/>
        </w:rPr>
        <w:t>les revenus et la consommation sont soumis à des prélèvements fiscaux.</w:t>
      </w:r>
      <w:r w:rsidR="00131504" w:rsidRPr="00256989">
        <w:rPr>
          <w:rFonts w:ascii="Times New Roman" w:eastAsia="Times New Roman" w:hAnsi="Times New Roman" w:cs="Times New Roman"/>
          <w:bCs/>
          <w:sz w:val="24"/>
          <w:szCs w:val="24"/>
          <w:lang w:val="fr-FR"/>
        </w:rPr>
        <w:t xml:space="preserve"> Cependant, les différents impôts ont des impacts différents sur l’économie</w:t>
      </w:r>
      <w:r w:rsidR="00930CA8" w:rsidRPr="00256989">
        <w:rPr>
          <w:rFonts w:ascii="Times New Roman" w:eastAsia="Times New Roman" w:hAnsi="Times New Roman" w:cs="Times New Roman"/>
          <w:bCs/>
          <w:sz w:val="24"/>
          <w:szCs w:val="24"/>
          <w:lang w:val="fr-FR"/>
        </w:rPr>
        <w:t>,</w:t>
      </w:r>
      <w:r w:rsidR="00764BF9" w:rsidRPr="00256989">
        <w:rPr>
          <w:rFonts w:ascii="Times New Roman" w:eastAsia="Times New Roman" w:hAnsi="Times New Roman" w:cs="Times New Roman"/>
          <w:bCs/>
          <w:sz w:val="24"/>
          <w:szCs w:val="24"/>
          <w:lang w:val="fr-FR"/>
        </w:rPr>
        <w:t xml:space="preserve"> sur</w:t>
      </w:r>
      <w:r w:rsidR="00930CA8" w:rsidRPr="00256989">
        <w:rPr>
          <w:rFonts w:ascii="Times New Roman" w:eastAsia="Times New Roman" w:hAnsi="Times New Roman" w:cs="Times New Roman"/>
          <w:bCs/>
          <w:sz w:val="24"/>
          <w:szCs w:val="24"/>
          <w:lang w:val="fr-FR"/>
        </w:rPr>
        <w:t xml:space="preserve"> le comportement des ménages et des entreprises et sur le résultat en matière de répartition</w:t>
      </w:r>
      <w:r w:rsidR="00256989">
        <w:rPr>
          <w:rFonts w:ascii="Times New Roman" w:eastAsia="Times New Roman" w:hAnsi="Times New Roman" w:cs="Times New Roman"/>
          <w:bCs/>
          <w:sz w:val="24"/>
          <w:szCs w:val="24"/>
          <w:lang w:val="fr-FR"/>
        </w:rPr>
        <w:t xml:space="preserve"> du revenu</w:t>
      </w:r>
      <w:r w:rsidR="00930CA8" w:rsidRPr="00256989">
        <w:rPr>
          <w:rFonts w:ascii="Times New Roman" w:eastAsia="Times New Roman" w:hAnsi="Times New Roman" w:cs="Times New Roman"/>
          <w:bCs/>
          <w:sz w:val="24"/>
          <w:szCs w:val="24"/>
          <w:lang w:val="fr-FR"/>
        </w:rPr>
        <w:t xml:space="preserve"> (Modica et al, 2018).</w:t>
      </w:r>
      <w:r w:rsidR="00CB0F96" w:rsidRPr="00256989">
        <w:rPr>
          <w:rFonts w:ascii="Times New Roman" w:eastAsia="Times New Roman" w:hAnsi="Times New Roman" w:cs="Times New Roman"/>
          <w:bCs/>
          <w:sz w:val="24"/>
          <w:szCs w:val="24"/>
          <w:lang w:val="fr-FR"/>
        </w:rPr>
        <w:t xml:space="preserve"> </w:t>
      </w:r>
      <w:r w:rsidR="00CB0F96" w:rsidRPr="00256989">
        <w:rPr>
          <w:rFonts w:ascii="Times New Roman" w:eastAsia="Times New Roman" w:hAnsi="Times New Roman" w:cs="Times New Roman"/>
          <w:sz w:val="24"/>
          <w:szCs w:val="24"/>
          <w:lang w:val="fr-FR"/>
        </w:rPr>
        <w:t>En effet</w:t>
      </w:r>
      <w:r w:rsidR="00930CA8" w:rsidRPr="00256989">
        <w:rPr>
          <w:rFonts w:ascii="Times New Roman" w:eastAsia="Times New Roman" w:hAnsi="Times New Roman" w:cs="Times New Roman"/>
          <w:sz w:val="24"/>
          <w:szCs w:val="24"/>
          <w:lang w:val="fr-FR"/>
        </w:rPr>
        <w:t xml:space="preserve">, les impôts sont considérés comme des prélèvements obligatoires imposés sur le revenu, le capital et la consommation de la population par le gouvernement par l’intermédiaire de ses agents dans le but d’augmenter les </w:t>
      </w:r>
      <w:r w:rsidR="00E15740">
        <w:rPr>
          <w:rFonts w:ascii="Times New Roman" w:eastAsia="Times New Roman" w:hAnsi="Times New Roman" w:cs="Times New Roman"/>
          <w:sz w:val="24"/>
          <w:szCs w:val="24"/>
          <w:lang w:val="fr-FR"/>
        </w:rPr>
        <w:t>recettes publiques</w:t>
      </w:r>
      <w:r w:rsidR="00256989">
        <w:rPr>
          <w:rFonts w:ascii="Times New Roman" w:eastAsia="Times New Roman" w:hAnsi="Times New Roman" w:cs="Times New Roman"/>
          <w:sz w:val="24"/>
          <w:szCs w:val="24"/>
          <w:lang w:val="fr-FR"/>
        </w:rPr>
        <w:t xml:space="preserve"> </w:t>
      </w:r>
      <w:r w:rsidR="00930CA8" w:rsidRPr="00256989">
        <w:rPr>
          <w:rFonts w:ascii="Times New Roman" w:eastAsia="Times New Roman" w:hAnsi="Times New Roman" w:cs="Times New Roman"/>
          <w:sz w:val="24"/>
          <w:szCs w:val="24"/>
          <w:lang w:val="fr-FR"/>
        </w:rPr>
        <w:t xml:space="preserve">et d’améliorer la fourniture efficace d’équipements sociaux. Dans cette partie, nous montrons que la relation entre le taux d’imposition et les dépenses de consommation </w:t>
      </w:r>
      <w:r w:rsidR="006D518B">
        <w:rPr>
          <w:rFonts w:ascii="Times New Roman" w:eastAsia="Times New Roman" w:hAnsi="Times New Roman" w:cs="Times New Roman"/>
          <w:sz w:val="24"/>
          <w:szCs w:val="24"/>
          <w:lang w:val="fr-FR"/>
        </w:rPr>
        <w:t xml:space="preserve">finale </w:t>
      </w:r>
      <w:r w:rsidR="00930CA8" w:rsidRPr="00256989">
        <w:rPr>
          <w:rFonts w:ascii="Times New Roman" w:eastAsia="Times New Roman" w:hAnsi="Times New Roman" w:cs="Times New Roman"/>
          <w:sz w:val="24"/>
          <w:szCs w:val="24"/>
          <w:lang w:val="fr-FR"/>
        </w:rPr>
        <w:t>des ménages a fait l’objet de plusieurs débats théoriques. De ce fait, il s’agit de développer les différents types de théorie liées à cette relation.</w:t>
      </w:r>
    </w:p>
    <w:p w14:paraId="0CE30424" w14:textId="304988E8" w:rsidR="00EE13A4" w:rsidRPr="00B454BB" w:rsidRDefault="00EE13A4" w:rsidP="00EE13A4">
      <w:pPr>
        <w:pStyle w:val="Paragraphedeliste"/>
        <w:numPr>
          <w:ilvl w:val="0"/>
          <w:numId w:val="6"/>
        </w:numPr>
        <w:spacing w:line="360" w:lineRule="auto"/>
        <w:jc w:val="both"/>
        <w:rPr>
          <w:rFonts w:ascii="Times New Roman" w:eastAsia="Times New Roman" w:hAnsi="Times New Roman" w:cs="Times New Roman"/>
          <w:b/>
          <w:bCs/>
          <w:sz w:val="24"/>
          <w:szCs w:val="24"/>
          <w:lang w:val="fr-FR"/>
        </w:rPr>
      </w:pPr>
      <w:r w:rsidRPr="00B454BB">
        <w:rPr>
          <w:rFonts w:ascii="Times New Roman" w:eastAsia="Times New Roman" w:hAnsi="Times New Roman" w:cs="Times New Roman"/>
          <w:b/>
          <w:bCs/>
          <w:sz w:val="24"/>
          <w:szCs w:val="24"/>
          <w:lang w:val="fr-FR"/>
        </w:rPr>
        <w:t>La théorie de la capacité de paiement</w:t>
      </w:r>
    </w:p>
    <w:p w14:paraId="3823A2DD" w14:textId="1D74A076" w:rsidR="00EE13A4" w:rsidRPr="00256989" w:rsidRDefault="00386ED9" w:rsidP="00EE13A4">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La théorie de la capacité à payer</w:t>
      </w:r>
      <w:r w:rsidR="00B7495B" w:rsidRPr="00256989">
        <w:rPr>
          <w:rFonts w:ascii="Times New Roman" w:eastAsia="Times New Roman" w:hAnsi="Times New Roman" w:cs="Times New Roman"/>
          <w:sz w:val="24"/>
          <w:szCs w:val="24"/>
          <w:lang w:val="fr-FR"/>
        </w:rPr>
        <w:t xml:space="preserve"> </w:t>
      </w:r>
      <w:r w:rsidR="001A2411" w:rsidRPr="00256989">
        <w:rPr>
          <w:rFonts w:ascii="Times New Roman" w:eastAsia="Times New Roman" w:hAnsi="Times New Roman" w:cs="Times New Roman"/>
          <w:sz w:val="24"/>
          <w:szCs w:val="24"/>
          <w:lang w:val="fr-FR"/>
        </w:rPr>
        <w:t>développé</w:t>
      </w:r>
      <w:r w:rsidR="00E15740">
        <w:rPr>
          <w:rFonts w:ascii="Times New Roman" w:eastAsia="Times New Roman" w:hAnsi="Times New Roman" w:cs="Times New Roman"/>
          <w:sz w:val="24"/>
          <w:szCs w:val="24"/>
          <w:lang w:val="fr-FR"/>
        </w:rPr>
        <w:t>e</w:t>
      </w:r>
      <w:r w:rsidR="001A2411" w:rsidRPr="00256989">
        <w:rPr>
          <w:rFonts w:ascii="Times New Roman" w:eastAsia="Times New Roman" w:hAnsi="Times New Roman" w:cs="Times New Roman"/>
          <w:sz w:val="24"/>
          <w:szCs w:val="24"/>
          <w:lang w:val="fr-FR"/>
        </w:rPr>
        <w:t xml:space="preserve"> par </w:t>
      </w:r>
      <w:r w:rsidR="00543F94" w:rsidRPr="00256989">
        <w:rPr>
          <w:rFonts w:ascii="Times New Roman" w:eastAsia="Times New Roman" w:hAnsi="Times New Roman" w:cs="Times New Roman"/>
          <w:sz w:val="24"/>
          <w:szCs w:val="24"/>
          <w:lang w:val="fr-FR"/>
        </w:rPr>
        <w:t xml:space="preserve">Kendrick (1939), Brow (1945) et Mill (1965) </w:t>
      </w:r>
      <w:r w:rsidR="00B7495B" w:rsidRPr="00256989">
        <w:rPr>
          <w:rFonts w:ascii="Times New Roman" w:eastAsia="Times New Roman" w:hAnsi="Times New Roman" w:cs="Times New Roman"/>
          <w:sz w:val="24"/>
          <w:szCs w:val="24"/>
          <w:lang w:val="fr-FR"/>
        </w:rPr>
        <w:t xml:space="preserve">propage l’idée </w:t>
      </w:r>
      <w:r w:rsidR="00543F94" w:rsidRPr="00256989">
        <w:rPr>
          <w:rFonts w:ascii="Times New Roman" w:eastAsia="Times New Roman" w:hAnsi="Times New Roman" w:cs="Times New Roman"/>
          <w:sz w:val="24"/>
          <w:szCs w:val="24"/>
          <w:lang w:val="fr-FR"/>
        </w:rPr>
        <w:t xml:space="preserve">selon laquelle, l’imposition devrait être proportionnelle à la situation financière de chaque individu. </w:t>
      </w:r>
      <w:r w:rsidR="00E15740">
        <w:rPr>
          <w:rFonts w:ascii="Times New Roman" w:eastAsia="Times New Roman" w:hAnsi="Times New Roman" w:cs="Times New Roman"/>
          <w:sz w:val="24"/>
          <w:szCs w:val="24"/>
          <w:lang w:val="fr-FR"/>
        </w:rPr>
        <w:t xml:space="preserve">C’est-à-dire </w:t>
      </w:r>
      <w:r w:rsidR="00543F94" w:rsidRPr="00256989">
        <w:rPr>
          <w:rFonts w:ascii="Times New Roman" w:eastAsia="Times New Roman" w:hAnsi="Times New Roman" w:cs="Times New Roman"/>
          <w:sz w:val="24"/>
          <w:szCs w:val="24"/>
          <w:lang w:val="fr-FR"/>
        </w:rPr>
        <w:t xml:space="preserve">que </w:t>
      </w:r>
      <w:r w:rsidR="00B7495B" w:rsidRPr="00256989">
        <w:rPr>
          <w:rFonts w:ascii="Times New Roman" w:eastAsia="Times New Roman" w:hAnsi="Times New Roman" w:cs="Times New Roman"/>
          <w:sz w:val="24"/>
          <w:szCs w:val="24"/>
          <w:lang w:val="fr-FR"/>
        </w:rPr>
        <w:t xml:space="preserve">les </w:t>
      </w:r>
      <w:r w:rsidR="00E15740">
        <w:rPr>
          <w:rFonts w:ascii="Times New Roman" w:eastAsia="Times New Roman" w:hAnsi="Times New Roman" w:cs="Times New Roman"/>
          <w:sz w:val="24"/>
          <w:szCs w:val="24"/>
          <w:lang w:val="fr-FR"/>
        </w:rPr>
        <w:t>contribuables devraient</w:t>
      </w:r>
      <w:r w:rsidR="00B7495B" w:rsidRPr="00256989">
        <w:rPr>
          <w:rFonts w:ascii="Times New Roman" w:eastAsia="Times New Roman" w:hAnsi="Times New Roman" w:cs="Times New Roman"/>
          <w:sz w:val="24"/>
          <w:szCs w:val="24"/>
          <w:lang w:val="fr-FR"/>
        </w:rPr>
        <w:t xml:space="preserve"> être invités à payer des impôts en fonction de leur capacité à payer. E</w:t>
      </w:r>
      <w:r w:rsidR="007B5D10" w:rsidRPr="00256989">
        <w:rPr>
          <w:rFonts w:ascii="Times New Roman" w:eastAsia="Times New Roman" w:hAnsi="Times New Roman" w:cs="Times New Roman"/>
          <w:sz w:val="24"/>
          <w:szCs w:val="24"/>
          <w:lang w:val="fr-FR"/>
        </w:rPr>
        <w:t>n ce sens</w:t>
      </w:r>
      <w:r w:rsidR="00B7495B" w:rsidRPr="00256989">
        <w:rPr>
          <w:rFonts w:ascii="Times New Roman" w:eastAsia="Times New Roman" w:hAnsi="Times New Roman" w:cs="Times New Roman"/>
          <w:sz w:val="24"/>
          <w:szCs w:val="24"/>
          <w:lang w:val="fr-FR"/>
        </w:rPr>
        <w:t>,</w:t>
      </w:r>
      <w:r w:rsidR="00543F94" w:rsidRPr="00256989">
        <w:rPr>
          <w:rFonts w:ascii="Times New Roman" w:eastAsia="Times New Roman" w:hAnsi="Times New Roman" w:cs="Times New Roman"/>
          <w:sz w:val="24"/>
          <w:szCs w:val="24"/>
          <w:lang w:val="fr-FR"/>
        </w:rPr>
        <w:t xml:space="preserve"> Anyanfo (1996)</w:t>
      </w:r>
      <w:r w:rsidR="00143084" w:rsidRPr="00256989">
        <w:rPr>
          <w:rFonts w:ascii="Times New Roman" w:eastAsia="Times New Roman" w:hAnsi="Times New Roman" w:cs="Times New Roman"/>
          <w:sz w:val="24"/>
          <w:szCs w:val="24"/>
          <w:lang w:val="fr-FR"/>
        </w:rPr>
        <w:t xml:space="preserve"> </w:t>
      </w:r>
      <w:r w:rsidR="00B7495B" w:rsidRPr="00256989">
        <w:rPr>
          <w:rFonts w:ascii="Times New Roman" w:eastAsia="Times New Roman" w:hAnsi="Times New Roman" w:cs="Times New Roman"/>
          <w:sz w:val="24"/>
          <w:szCs w:val="24"/>
          <w:lang w:val="fr-FR"/>
        </w:rPr>
        <w:t xml:space="preserve">soutient </w:t>
      </w:r>
      <w:r w:rsidR="00543F94" w:rsidRPr="00256989">
        <w:rPr>
          <w:rFonts w:ascii="Times New Roman" w:eastAsia="Times New Roman" w:hAnsi="Times New Roman" w:cs="Times New Roman"/>
          <w:sz w:val="24"/>
          <w:szCs w:val="24"/>
          <w:lang w:val="fr-FR"/>
        </w:rPr>
        <w:t>ce</w:t>
      </w:r>
      <w:r w:rsidR="007B5D10" w:rsidRPr="00256989">
        <w:rPr>
          <w:rFonts w:ascii="Times New Roman" w:eastAsia="Times New Roman" w:hAnsi="Times New Roman" w:cs="Times New Roman"/>
          <w:sz w:val="24"/>
          <w:szCs w:val="24"/>
          <w:lang w:val="fr-FR"/>
        </w:rPr>
        <w:t>t</w:t>
      </w:r>
      <w:r w:rsidR="00543F94" w:rsidRPr="00256989">
        <w:rPr>
          <w:rFonts w:ascii="Times New Roman" w:eastAsia="Times New Roman" w:hAnsi="Times New Roman" w:cs="Times New Roman"/>
          <w:sz w:val="24"/>
          <w:szCs w:val="24"/>
          <w:lang w:val="fr-FR"/>
        </w:rPr>
        <w:t xml:space="preserve"> argument en montrant</w:t>
      </w:r>
      <w:r w:rsidR="00B7495B" w:rsidRPr="00256989">
        <w:rPr>
          <w:rFonts w:ascii="Times New Roman" w:eastAsia="Times New Roman" w:hAnsi="Times New Roman" w:cs="Times New Roman"/>
          <w:sz w:val="24"/>
          <w:szCs w:val="24"/>
          <w:lang w:val="fr-FR"/>
        </w:rPr>
        <w:t xml:space="preserve"> </w:t>
      </w:r>
      <w:r w:rsidR="00E15740">
        <w:rPr>
          <w:rFonts w:ascii="Times New Roman" w:eastAsia="Times New Roman" w:hAnsi="Times New Roman" w:cs="Times New Roman"/>
          <w:sz w:val="24"/>
          <w:szCs w:val="24"/>
          <w:lang w:val="fr-FR"/>
        </w:rPr>
        <w:t xml:space="preserve">que </w:t>
      </w:r>
      <w:r w:rsidR="00B7495B" w:rsidRPr="00256989">
        <w:rPr>
          <w:rFonts w:ascii="Times New Roman" w:eastAsia="Times New Roman" w:hAnsi="Times New Roman" w:cs="Times New Roman"/>
          <w:sz w:val="24"/>
          <w:szCs w:val="24"/>
          <w:lang w:val="fr-FR"/>
        </w:rPr>
        <w:t xml:space="preserve">les impôts devraient être évalués en fonction de la capacité contributive </w:t>
      </w:r>
      <w:r w:rsidR="00E15740">
        <w:rPr>
          <w:rFonts w:ascii="Times New Roman" w:eastAsia="Times New Roman" w:hAnsi="Times New Roman" w:cs="Times New Roman"/>
          <w:sz w:val="24"/>
          <w:szCs w:val="24"/>
          <w:lang w:val="fr-FR"/>
        </w:rPr>
        <w:t>de chaque contribuable</w:t>
      </w:r>
      <w:r w:rsidR="00B7495B" w:rsidRPr="00256989">
        <w:rPr>
          <w:rFonts w:ascii="Times New Roman" w:eastAsia="Times New Roman" w:hAnsi="Times New Roman" w:cs="Times New Roman"/>
          <w:sz w:val="24"/>
          <w:szCs w:val="24"/>
          <w:lang w:val="fr-FR"/>
        </w:rPr>
        <w:t>.</w:t>
      </w:r>
      <w:r w:rsidR="00B2451B" w:rsidRPr="00256989">
        <w:rPr>
          <w:rFonts w:ascii="Times New Roman" w:eastAsia="Times New Roman" w:hAnsi="Times New Roman" w:cs="Times New Roman"/>
          <w:sz w:val="24"/>
          <w:szCs w:val="24"/>
          <w:lang w:val="fr-FR"/>
        </w:rPr>
        <w:t xml:space="preserve"> Kendrick montre que </w:t>
      </w:r>
      <w:r w:rsidR="00E15740">
        <w:rPr>
          <w:rFonts w:ascii="Times New Roman" w:eastAsia="Times New Roman" w:hAnsi="Times New Roman" w:cs="Times New Roman"/>
          <w:sz w:val="24"/>
          <w:szCs w:val="24"/>
          <w:lang w:val="fr-FR"/>
        </w:rPr>
        <w:t>les individus</w:t>
      </w:r>
      <w:r w:rsidR="00E15740" w:rsidRPr="00256989">
        <w:rPr>
          <w:rFonts w:ascii="Times New Roman" w:eastAsia="Times New Roman" w:hAnsi="Times New Roman" w:cs="Times New Roman"/>
          <w:sz w:val="24"/>
          <w:szCs w:val="24"/>
          <w:lang w:val="fr-FR"/>
        </w:rPr>
        <w:t xml:space="preserve"> </w:t>
      </w:r>
      <w:r w:rsidR="00E15740">
        <w:rPr>
          <w:rFonts w:ascii="Times New Roman" w:eastAsia="Times New Roman" w:hAnsi="Times New Roman" w:cs="Times New Roman"/>
          <w:sz w:val="24"/>
          <w:szCs w:val="24"/>
          <w:lang w:val="fr-FR"/>
        </w:rPr>
        <w:t xml:space="preserve">ayant </w:t>
      </w:r>
      <w:r w:rsidR="006A10BB" w:rsidRPr="00256989">
        <w:rPr>
          <w:rFonts w:ascii="Times New Roman" w:eastAsia="Times New Roman" w:hAnsi="Times New Roman" w:cs="Times New Roman"/>
          <w:sz w:val="24"/>
          <w:szCs w:val="24"/>
          <w:lang w:val="fr-FR"/>
        </w:rPr>
        <w:t>d</w:t>
      </w:r>
      <w:r w:rsidR="00E15740">
        <w:rPr>
          <w:rFonts w:ascii="Times New Roman" w:eastAsia="Times New Roman" w:hAnsi="Times New Roman" w:cs="Times New Roman"/>
          <w:sz w:val="24"/>
          <w:szCs w:val="24"/>
          <w:lang w:val="fr-FR"/>
        </w:rPr>
        <w:t xml:space="preserve">’importantes </w:t>
      </w:r>
      <w:r w:rsidR="006A10BB" w:rsidRPr="00256989">
        <w:rPr>
          <w:rFonts w:ascii="Times New Roman" w:eastAsia="Times New Roman" w:hAnsi="Times New Roman" w:cs="Times New Roman"/>
          <w:sz w:val="24"/>
          <w:szCs w:val="24"/>
          <w:lang w:val="fr-FR"/>
        </w:rPr>
        <w:t>ressources devraient supporter une charge fiscale plus lourd</w:t>
      </w:r>
      <w:r w:rsidR="00E15740">
        <w:rPr>
          <w:rFonts w:ascii="Times New Roman" w:eastAsia="Times New Roman" w:hAnsi="Times New Roman" w:cs="Times New Roman"/>
          <w:sz w:val="24"/>
          <w:szCs w:val="24"/>
          <w:lang w:val="fr-FR"/>
        </w:rPr>
        <w:t>e</w:t>
      </w:r>
      <w:r w:rsidR="006A10BB" w:rsidRPr="00256989">
        <w:rPr>
          <w:rFonts w:ascii="Times New Roman" w:eastAsia="Times New Roman" w:hAnsi="Times New Roman" w:cs="Times New Roman"/>
          <w:sz w:val="24"/>
          <w:szCs w:val="24"/>
          <w:lang w:val="fr-FR"/>
        </w:rPr>
        <w:t xml:space="preserve"> que ceux qui en ont moins. Sur cette même idée, Mill</w:t>
      </w:r>
      <w:r w:rsidR="00AF3374">
        <w:rPr>
          <w:rFonts w:ascii="Times New Roman" w:eastAsia="Times New Roman" w:hAnsi="Times New Roman" w:cs="Times New Roman"/>
          <w:sz w:val="24"/>
          <w:szCs w:val="24"/>
          <w:lang w:val="fr-FR"/>
        </w:rPr>
        <w:t xml:space="preserve"> </w:t>
      </w:r>
      <w:r w:rsidR="00653841">
        <w:rPr>
          <w:rFonts w:ascii="Times New Roman" w:eastAsia="Times New Roman" w:hAnsi="Times New Roman" w:cs="Times New Roman"/>
          <w:sz w:val="24"/>
          <w:szCs w:val="24"/>
          <w:lang w:val="fr-FR"/>
        </w:rPr>
        <w:t>(1</w:t>
      </w:r>
      <w:r w:rsidR="00AF3374">
        <w:rPr>
          <w:rFonts w:ascii="Times New Roman" w:eastAsia="Times New Roman" w:hAnsi="Times New Roman" w:cs="Times New Roman"/>
          <w:sz w:val="24"/>
          <w:szCs w:val="24"/>
          <w:lang w:val="fr-FR"/>
        </w:rPr>
        <w:t xml:space="preserve">965) </w:t>
      </w:r>
      <w:r w:rsidR="006A10BB" w:rsidRPr="00256989">
        <w:rPr>
          <w:rFonts w:ascii="Times New Roman" w:eastAsia="Times New Roman" w:hAnsi="Times New Roman" w:cs="Times New Roman"/>
          <w:sz w:val="24"/>
          <w:szCs w:val="24"/>
          <w:lang w:val="fr-FR"/>
        </w:rPr>
        <w:t>approfondit en suggérant que les impôt</w:t>
      </w:r>
      <w:r w:rsidR="00E15740">
        <w:rPr>
          <w:rFonts w:ascii="Times New Roman" w:eastAsia="Times New Roman" w:hAnsi="Times New Roman" w:cs="Times New Roman"/>
          <w:sz w:val="24"/>
          <w:szCs w:val="24"/>
          <w:lang w:val="fr-FR"/>
        </w:rPr>
        <w:t>s</w:t>
      </w:r>
      <w:r w:rsidR="006A10BB" w:rsidRPr="00256989">
        <w:rPr>
          <w:rFonts w:ascii="Times New Roman" w:eastAsia="Times New Roman" w:hAnsi="Times New Roman" w:cs="Times New Roman"/>
          <w:sz w:val="24"/>
          <w:szCs w:val="24"/>
          <w:lang w:val="fr-FR"/>
        </w:rPr>
        <w:t xml:space="preserve"> </w:t>
      </w:r>
      <w:r w:rsidR="00E15740" w:rsidRPr="00E15740">
        <w:rPr>
          <w:rFonts w:ascii="Times New Roman" w:eastAsia="Times New Roman" w:hAnsi="Times New Roman" w:cs="Times New Roman"/>
          <w:sz w:val="24"/>
          <w:szCs w:val="24"/>
          <w:lang w:val="fr-FR"/>
        </w:rPr>
        <w:t>doivent</w:t>
      </w:r>
      <w:r w:rsidR="006A10BB" w:rsidRPr="00256989">
        <w:rPr>
          <w:rFonts w:ascii="Times New Roman" w:eastAsia="Times New Roman" w:hAnsi="Times New Roman" w:cs="Times New Roman"/>
          <w:sz w:val="24"/>
          <w:szCs w:val="24"/>
          <w:lang w:val="fr-FR"/>
        </w:rPr>
        <w:t xml:space="preserve"> garantir un sacrifice équitable par rapport à </w:t>
      </w:r>
      <w:r w:rsidR="00E15740">
        <w:rPr>
          <w:rFonts w:ascii="Times New Roman" w:eastAsia="Times New Roman" w:hAnsi="Times New Roman" w:cs="Times New Roman"/>
          <w:sz w:val="24"/>
          <w:szCs w:val="24"/>
          <w:lang w:val="fr-FR"/>
        </w:rPr>
        <w:t>la</w:t>
      </w:r>
      <w:r w:rsidR="00E15740" w:rsidRPr="00256989">
        <w:rPr>
          <w:rFonts w:ascii="Times New Roman" w:eastAsia="Times New Roman" w:hAnsi="Times New Roman" w:cs="Times New Roman"/>
          <w:sz w:val="24"/>
          <w:szCs w:val="24"/>
          <w:lang w:val="fr-FR"/>
        </w:rPr>
        <w:t xml:space="preserve"> </w:t>
      </w:r>
      <w:r w:rsidR="006A10BB" w:rsidRPr="00256989">
        <w:rPr>
          <w:rFonts w:ascii="Times New Roman" w:eastAsia="Times New Roman" w:hAnsi="Times New Roman" w:cs="Times New Roman"/>
          <w:sz w:val="24"/>
          <w:szCs w:val="24"/>
          <w:lang w:val="fr-FR"/>
        </w:rPr>
        <w:t>situation financière</w:t>
      </w:r>
      <w:r w:rsidR="00E15740">
        <w:rPr>
          <w:rFonts w:ascii="Times New Roman" w:eastAsia="Times New Roman" w:hAnsi="Times New Roman" w:cs="Times New Roman"/>
          <w:sz w:val="24"/>
          <w:szCs w:val="24"/>
          <w:lang w:val="fr-FR"/>
        </w:rPr>
        <w:t xml:space="preserve"> des contribuables</w:t>
      </w:r>
      <w:r w:rsidR="00942100" w:rsidRPr="00256989">
        <w:rPr>
          <w:rFonts w:ascii="Times New Roman" w:eastAsia="Times New Roman" w:hAnsi="Times New Roman" w:cs="Times New Roman"/>
          <w:sz w:val="24"/>
          <w:szCs w:val="24"/>
          <w:lang w:val="fr-FR"/>
        </w:rPr>
        <w:t xml:space="preserve"> laissant entrevoir une préférence pour une fiscalité progressive pour expliquer la baisse de la valeur de l’argent pour les riches. Quant à Brow, il préconise que les impôt</w:t>
      </w:r>
      <w:r w:rsidR="00E15740">
        <w:rPr>
          <w:rFonts w:ascii="Times New Roman" w:eastAsia="Times New Roman" w:hAnsi="Times New Roman" w:cs="Times New Roman"/>
          <w:sz w:val="24"/>
          <w:szCs w:val="24"/>
          <w:lang w:val="fr-FR"/>
        </w:rPr>
        <w:t>s</w:t>
      </w:r>
      <w:r w:rsidR="00942100" w:rsidRPr="00256989">
        <w:rPr>
          <w:rFonts w:ascii="Times New Roman" w:eastAsia="Times New Roman" w:hAnsi="Times New Roman" w:cs="Times New Roman"/>
          <w:sz w:val="24"/>
          <w:szCs w:val="24"/>
          <w:lang w:val="fr-FR"/>
        </w:rPr>
        <w:t xml:space="preserve"> soient alignés sur les revenus ou la richesse de chaque individu dans le but d’éviter des </w:t>
      </w:r>
      <w:r w:rsidR="00F412B9" w:rsidRPr="00256989">
        <w:rPr>
          <w:rFonts w:ascii="Times New Roman" w:eastAsia="Times New Roman" w:hAnsi="Times New Roman" w:cs="Times New Roman"/>
          <w:sz w:val="24"/>
          <w:szCs w:val="24"/>
          <w:lang w:val="fr-FR"/>
        </w:rPr>
        <w:t>difficultés financières excessives.</w:t>
      </w:r>
    </w:p>
    <w:p w14:paraId="44333CE9" w14:textId="7FE0991C" w:rsidR="00EE13A4" w:rsidRPr="00256989" w:rsidRDefault="0091324B" w:rsidP="00EE13A4">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Malgré, les accord</w:t>
      </w:r>
      <w:r w:rsidR="008245B0" w:rsidRPr="00256989">
        <w:rPr>
          <w:rFonts w:ascii="Times New Roman" w:eastAsia="Times New Roman" w:hAnsi="Times New Roman" w:cs="Times New Roman"/>
          <w:sz w:val="24"/>
          <w:szCs w:val="24"/>
          <w:lang w:val="fr-FR"/>
        </w:rPr>
        <w:t>s</w:t>
      </w:r>
      <w:r w:rsidRPr="00256989">
        <w:rPr>
          <w:rFonts w:ascii="Times New Roman" w:eastAsia="Times New Roman" w:hAnsi="Times New Roman" w:cs="Times New Roman"/>
          <w:sz w:val="24"/>
          <w:szCs w:val="24"/>
          <w:lang w:val="fr-FR"/>
        </w:rPr>
        <w:t xml:space="preserve"> entre ces différents auteurs, aucun ne définit clairement si c’est le revenu ou la richesse qui devrait être le principal </w:t>
      </w:r>
      <w:r w:rsidR="00E15740" w:rsidRPr="00E15740">
        <w:rPr>
          <w:rFonts w:ascii="Times New Roman" w:eastAsia="Times New Roman" w:hAnsi="Times New Roman" w:cs="Times New Roman"/>
          <w:sz w:val="24"/>
          <w:szCs w:val="24"/>
          <w:lang w:val="fr-FR"/>
        </w:rPr>
        <w:t>déterminant</w:t>
      </w:r>
      <w:r w:rsidRPr="00256989">
        <w:rPr>
          <w:rFonts w:ascii="Times New Roman" w:eastAsia="Times New Roman" w:hAnsi="Times New Roman" w:cs="Times New Roman"/>
          <w:sz w:val="24"/>
          <w:szCs w:val="24"/>
          <w:lang w:val="fr-FR"/>
        </w:rPr>
        <w:t xml:space="preserve"> de la capacité de paiement, ce qui laisse </w:t>
      </w:r>
      <w:r w:rsidR="00E15740">
        <w:rPr>
          <w:rFonts w:ascii="Times New Roman" w:eastAsia="Times New Roman" w:hAnsi="Times New Roman" w:cs="Times New Roman"/>
          <w:sz w:val="24"/>
          <w:szCs w:val="24"/>
          <w:lang w:val="fr-FR"/>
        </w:rPr>
        <w:t xml:space="preserve">subsister </w:t>
      </w:r>
      <w:r w:rsidRPr="00256989">
        <w:rPr>
          <w:rFonts w:ascii="Times New Roman" w:eastAsia="Times New Roman" w:hAnsi="Times New Roman" w:cs="Times New Roman"/>
          <w:sz w:val="24"/>
          <w:szCs w:val="24"/>
          <w:lang w:val="fr-FR"/>
        </w:rPr>
        <w:t xml:space="preserve">une </w:t>
      </w:r>
      <w:r w:rsidR="005C4DEB" w:rsidRPr="005C4DEB">
        <w:rPr>
          <w:rFonts w:ascii="Times New Roman" w:eastAsia="Times New Roman" w:hAnsi="Times New Roman" w:cs="Times New Roman"/>
          <w:sz w:val="24"/>
          <w:szCs w:val="24"/>
          <w:lang w:val="fr-FR"/>
        </w:rPr>
        <w:t>ambiguïté</w:t>
      </w:r>
      <w:r w:rsidRPr="00256989">
        <w:rPr>
          <w:rFonts w:ascii="Times New Roman" w:eastAsia="Times New Roman" w:hAnsi="Times New Roman" w:cs="Times New Roman"/>
          <w:sz w:val="24"/>
          <w:szCs w:val="24"/>
          <w:lang w:val="fr-FR"/>
        </w:rPr>
        <w:t xml:space="preserve"> dans la formulation de la politique fiscale. En outre, en appliquant ce principe, Young</w:t>
      </w:r>
      <w:r w:rsidR="008245B0"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(1986) montre que la perte d’utilité r</w:t>
      </w:r>
      <w:r w:rsidR="008245B0" w:rsidRPr="00256989">
        <w:rPr>
          <w:rFonts w:ascii="Times New Roman" w:eastAsia="Times New Roman" w:hAnsi="Times New Roman" w:cs="Times New Roman"/>
          <w:sz w:val="24"/>
          <w:szCs w:val="24"/>
          <w:lang w:val="fr-FR"/>
        </w:rPr>
        <w:t>é</w:t>
      </w:r>
      <w:r w:rsidRPr="00256989">
        <w:rPr>
          <w:rFonts w:ascii="Times New Roman" w:eastAsia="Times New Roman" w:hAnsi="Times New Roman" w:cs="Times New Roman"/>
          <w:sz w:val="24"/>
          <w:szCs w:val="24"/>
          <w:lang w:val="fr-FR"/>
        </w:rPr>
        <w:t>sultant</w:t>
      </w:r>
      <w:r w:rsidR="008245B0" w:rsidRPr="00256989">
        <w:rPr>
          <w:rFonts w:ascii="Times New Roman" w:eastAsia="Times New Roman" w:hAnsi="Times New Roman" w:cs="Times New Roman"/>
          <w:sz w:val="24"/>
          <w:szCs w:val="24"/>
          <w:lang w:val="fr-FR"/>
        </w:rPr>
        <w:t>e</w:t>
      </w:r>
      <w:r w:rsidRPr="00256989">
        <w:rPr>
          <w:rFonts w:ascii="Times New Roman" w:eastAsia="Times New Roman" w:hAnsi="Times New Roman" w:cs="Times New Roman"/>
          <w:sz w:val="24"/>
          <w:szCs w:val="24"/>
          <w:lang w:val="fr-FR"/>
        </w:rPr>
        <w:t xml:space="preserve"> de l’imposition doit être égale pour tous les contribuables et les riches seront imposé</w:t>
      </w:r>
      <w:r w:rsidR="005C4DEB">
        <w:rPr>
          <w:rFonts w:ascii="Times New Roman" w:eastAsia="Times New Roman" w:hAnsi="Times New Roman" w:cs="Times New Roman"/>
          <w:sz w:val="24"/>
          <w:szCs w:val="24"/>
          <w:lang w:val="fr-FR"/>
        </w:rPr>
        <w:t>s</w:t>
      </w:r>
      <w:r w:rsidRPr="00256989">
        <w:rPr>
          <w:rFonts w:ascii="Times New Roman" w:eastAsia="Times New Roman" w:hAnsi="Times New Roman" w:cs="Times New Roman"/>
          <w:sz w:val="24"/>
          <w:szCs w:val="24"/>
          <w:lang w:val="fr-FR"/>
        </w:rPr>
        <w:t xml:space="preserve"> plus lourdement que les pauvres.</w:t>
      </w:r>
      <w:r w:rsidR="008245B0" w:rsidRPr="00256989">
        <w:rPr>
          <w:rFonts w:ascii="Times New Roman" w:eastAsia="Times New Roman" w:hAnsi="Times New Roman" w:cs="Times New Roman"/>
          <w:sz w:val="24"/>
          <w:szCs w:val="24"/>
          <w:lang w:val="fr-FR"/>
        </w:rPr>
        <w:t xml:space="preserve"> Ainsi, Martinez-Vazguez </w:t>
      </w:r>
      <w:r w:rsidR="00F144A1" w:rsidRPr="00256989">
        <w:rPr>
          <w:rFonts w:ascii="Times New Roman" w:eastAsia="Times New Roman" w:hAnsi="Times New Roman" w:cs="Times New Roman"/>
          <w:sz w:val="24"/>
          <w:szCs w:val="24"/>
          <w:lang w:val="fr-FR"/>
        </w:rPr>
        <w:t xml:space="preserve">(2001) </w:t>
      </w:r>
      <w:r w:rsidR="008245B0" w:rsidRPr="00256989">
        <w:rPr>
          <w:rFonts w:ascii="Times New Roman" w:eastAsia="Times New Roman" w:hAnsi="Times New Roman" w:cs="Times New Roman"/>
          <w:sz w:val="24"/>
          <w:szCs w:val="24"/>
          <w:lang w:val="fr-FR"/>
        </w:rPr>
        <w:t>pense</w:t>
      </w:r>
      <w:r w:rsidR="008B7668" w:rsidRPr="00256989">
        <w:rPr>
          <w:rFonts w:ascii="Times New Roman" w:eastAsia="Times New Roman" w:hAnsi="Times New Roman" w:cs="Times New Roman"/>
          <w:sz w:val="24"/>
          <w:szCs w:val="24"/>
          <w:lang w:val="fr-FR"/>
        </w:rPr>
        <w:t xml:space="preserve"> que le principe de la capacité à payer est souvent utilisé pour justifier l’imposition des taxes directes telles que l’impôt sur le revenu ou l’impôt sur les plus-values. En conséquence, on peut affirmer que la théorie de la capacité à payer </w:t>
      </w:r>
      <w:r w:rsidR="005C4DEB">
        <w:rPr>
          <w:rFonts w:ascii="Times New Roman" w:eastAsia="Times New Roman" w:hAnsi="Times New Roman" w:cs="Times New Roman"/>
          <w:sz w:val="24"/>
          <w:szCs w:val="24"/>
          <w:lang w:val="fr-FR"/>
        </w:rPr>
        <w:t xml:space="preserve">garantit </w:t>
      </w:r>
      <w:r w:rsidR="008B7668" w:rsidRPr="00256989">
        <w:rPr>
          <w:rFonts w:ascii="Times New Roman" w:eastAsia="Times New Roman" w:hAnsi="Times New Roman" w:cs="Times New Roman"/>
          <w:sz w:val="24"/>
          <w:szCs w:val="24"/>
          <w:lang w:val="fr-FR"/>
        </w:rPr>
        <w:t>que les indigents ne sont pas surcharg</w:t>
      </w:r>
      <w:r w:rsidR="001831B6" w:rsidRPr="00256989">
        <w:rPr>
          <w:rFonts w:ascii="Times New Roman" w:eastAsia="Times New Roman" w:hAnsi="Times New Roman" w:cs="Times New Roman"/>
          <w:sz w:val="24"/>
          <w:szCs w:val="24"/>
          <w:lang w:val="fr-FR"/>
        </w:rPr>
        <w:t>é</w:t>
      </w:r>
      <w:r w:rsidR="008B7668" w:rsidRPr="00256989">
        <w:rPr>
          <w:rFonts w:ascii="Times New Roman" w:eastAsia="Times New Roman" w:hAnsi="Times New Roman" w:cs="Times New Roman"/>
          <w:sz w:val="24"/>
          <w:szCs w:val="24"/>
          <w:lang w:val="fr-FR"/>
        </w:rPr>
        <w:t xml:space="preserve">s et qu’ils sont au contraire soulagés par les services gratuits </w:t>
      </w:r>
      <w:r w:rsidR="005C4DEB">
        <w:rPr>
          <w:rFonts w:ascii="Times New Roman" w:eastAsia="Times New Roman" w:hAnsi="Times New Roman" w:cs="Times New Roman"/>
          <w:sz w:val="24"/>
          <w:szCs w:val="24"/>
          <w:lang w:val="fr-FR"/>
        </w:rPr>
        <w:t xml:space="preserve">qui leur </w:t>
      </w:r>
      <w:r w:rsidR="008B7668" w:rsidRPr="00256989">
        <w:rPr>
          <w:rFonts w:ascii="Times New Roman" w:eastAsia="Times New Roman" w:hAnsi="Times New Roman" w:cs="Times New Roman"/>
          <w:sz w:val="24"/>
          <w:szCs w:val="24"/>
          <w:lang w:val="fr-FR"/>
        </w:rPr>
        <w:t>sont offerts.</w:t>
      </w:r>
    </w:p>
    <w:p w14:paraId="477E9996" w14:textId="7E4443A5" w:rsidR="005E4276" w:rsidRPr="00C07CBB" w:rsidRDefault="006D388F" w:rsidP="0055345E">
      <w:pPr>
        <w:pStyle w:val="Paragraphedeliste"/>
        <w:numPr>
          <w:ilvl w:val="0"/>
          <w:numId w:val="6"/>
        </w:numPr>
        <w:spacing w:line="360" w:lineRule="auto"/>
        <w:jc w:val="both"/>
        <w:rPr>
          <w:rFonts w:ascii="Times New Roman" w:eastAsia="Times New Roman" w:hAnsi="Times New Roman" w:cs="Times New Roman"/>
          <w:b/>
          <w:bCs/>
          <w:color w:val="000000"/>
          <w:sz w:val="24"/>
          <w:szCs w:val="24"/>
          <w:lang w:val="fr-FR"/>
        </w:rPr>
      </w:pPr>
      <w:r w:rsidRPr="00C07CBB">
        <w:rPr>
          <w:rFonts w:ascii="Times New Roman" w:eastAsia="Times New Roman" w:hAnsi="Times New Roman" w:cs="Times New Roman"/>
          <w:b/>
          <w:bCs/>
          <w:color w:val="000000"/>
          <w:sz w:val="24"/>
          <w:szCs w:val="24"/>
          <w:lang w:val="fr-FR"/>
        </w:rPr>
        <w:t>La théorie des avantages fiscaux</w:t>
      </w:r>
    </w:p>
    <w:p w14:paraId="36A197AA" w14:textId="228A1B2E" w:rsidR="000854BC"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La théorie des avantages </w:t>
      </w:r>
      <w:r w:rsidR="001938BC" w:rsidRPr="00256989">
        <w:rPr>
          <w:rFonts w:ascii="Times New Roman" w:eastAsia="Times New Roman" w:hAnsi="Times New Roman" w:cs="Times New Roman"/>
          <w:sz w:val="24"/>
          <w:szCs w:val="24"/>
          <w:lang w:val="fr-FR"/>
        </w:rPr>
        <w:t xml:space="preserve">fiscaux fait référence à l’idée selon laquelle la structure fiscale d’un pays peut avoir un impact significatif sur le comportement économique des individus et des entreprises. Cette théorie s’intéresse aux </w:t>
      </w:r>
      <w:r w:rsidR="005C4DEB" w:rsidRPr="005C4DEB">
        <w:rPr>
          <w:rFonts w:ascii="Times New Roman" w:eastAsia="Times New Roman" w:hAnsi="Times New Roman" w:cs="Times New Roman"/>
          <w:sz w:val="24"/>
          <w:szCs w:val="24"/>
          <w:lang w:val="fr-FR"/>
        </w:rPr>
        <w:t>canaux</w:t>
      </w:r>
      <w:r w:rsidR="001938BC" w:rsidRPr="00256989">
        <w:rPr>
          <w:rFonts w:ascii="Times New Roman" w:eastAsia="Times New Roman" w:hAnsi="Times New Roman" w:cs="Times New Roman"/>
          <w:sz w:val="24"/>
          <w:szCs w:val="24"/>
          <w:lang w:val="fr-FR"/>
        </w:rPr>
        <w:t xml:space="preserve"> par lesquels les politiques fiscales, tel</w:t>
      </w:r>
      <w:r w:rsidR="005C4DEB">
        <w:rPr>
          <w:rFonts w:ascii="Times New Roman" w:eastAsia="Times New Roman" w:hAnsi="Times New Roman" w:cs="Times New Roman"/>
          <w:sz w:val="24"/>
          <w:szCs w:val="24"/>
          <w:lang w:val="fr-FR"/>
        </w:rPr>
        <w:t>le</w:t>
      </w:r>
      <w:r w:rsidR="001938BC" w:rsidRPr="00256989">
        <w:rPr>
          <w:rFonts w:ascii="Times New Roman" w:eastAsia="Times New Roman" w:hAnsi="Times New Roman" w:cs="Times New Roman"/>
          <w:sz w:val="24"/>
          <w:szCs w:val="24"/>
          <w:lang w:val="fr-FR"/>
        </w:rPr>
        <w:t xml:space="preserve">s que les taux d’imposition, les déductions fiscales et les crédits d’impôt, influencent les décisions en matière de travail, d’investissement, d’épargne et de consommation. L’idée </w:t>
      </w:r>
      <w:r w:rsidR="007B5D10" w:rsidRPr="00256989">
        <w:rPr>
          <w:rFonts w:ascii="Times New Roman" w:eastAsia="Times New Roman" w:hAnsi="Times New Roman" w:cs="Times New Roman"/>
          <w:sz w:val="24"/>
          <w:szCs w:val="24"/>
          <w:lang w:val="fr-FR"/>
        </w:rPr>
        <w:t>développé</w:t>
      </w:r>
      <w:r w:rsidR="001938BC" w:rsidRPr="00256989">
        <w:rPr>
          <w:rFonts w:ascii="Times New Roman" w:eastAsia="Times New Roman" w:hAnsi="Times New Roman" w:cs="Times New Roman"/>
          <w:sz w:val="24"/>
          <w:szCs w:val="24"/>
          <w:lang w:val="fr-FR"/>
        </w:rPr>
        <w:t>e</w:t>
      </w:r>
      <w:r w:rsidR="007B5D10" w:rsidRPr="00256989">
        <w:rPr>
          <w:rFonts w:ascii="Times New Roman" w:eastAsia="Times New Roman" w:hAnsi="Times New Roman" w:cs="Times New Roman"/>
          <w:sz w:val="24"/>
          <w:szCs w:val="24"/>
          <w:lang w:val="fr-FR"/>
        </w:rPr>
        <w:t xml:space="preserve"> </w:t>
      </w:r>
      <w:r w:rsidR="0055345E" w:rsidRPr="00256989">
        <w:rPr>
          <w:rFonts w:ascii="Times New Roman" w:eastAsia="Times New Roman" w:hAnsi="Times New Roman" w:cs="Times New Roman"/>
          <w:sz w:val="24"/>
          <w:szCs w:val="24"/>
          <w:lang w:val="fr-FR"/>
        </w:rPr>
        <w:t>par</w:t>
      </w:r>
      <w:r w:rsidR="009B3BD2" w:rsidRPr="00256989">
        <w:rPr>
          <w:rFonts w:ascii="Times New Roman" w:eastAsia="Times New Roman" w:hAnsi="Times New Roman" w:cs="Times New Roman"/>
          <w:sz w:val="24"/>
          <w:szCs w:val="24"/>
          <w:lang w:val="fr-FR"/>
        </w:rPr>
        <w:t xml:space="preserve"> Cooper (1994)</w:t>
      </w:r>
      <w:r w:rsidR="00A7212A" w:rsidRPr="00256989">
        <w:rPr>
          <w:rFonts w:ascii="Times New Roman" w:eastAsia="Times New Roman" w:hAnsi="Times New Roman" w:cs="Times New Roman"/>
          <w:sz w:val="24"/>
          <w:szCs w:val="24"/>
          <w:lang w:val="fr-FR"/>
        </w:rPr>
        <w:t xml:space="preserve"> </w:t>
      </w:r>
      <w:r w:rsidR="005C4DEB">
        <w:rPr>
          <w:rFonts w:ascii="Times New Roman" w:eastAsia="Times New Roman" w:hAnsi="Times New Roman" w:cs="Times New Roman"/>
          <w:sz w:val="24"/>
          <w:szCs w:val="24"/>
          <w:lang w:val="fr-FR"/>
        </w:rPr>
        <w:t xml:space="preserve">montre </w:t>
      </w:r>
      <w:r w:rsidR="009B3BD2" w:rsidRPr="00256989">
        <w:rPr>
          <w:rFonts w:ascii="Times New Roman" w:eastAsia="Times New Roman" w:hAnsi="Times New Roman" w:cs="Times New Roman"/>
          <w:sz w:val="24"/>
          <w:szCs w:val="24"/>
          <w:lang w:val="fr-FR"/>
        </w:rPr>
        <w:t xml:space="preserve">que les impôts doivent être imposés aux individus en fonction de l’avantage qu’ils confèrent. Le principe de cette théorie est </w:t>
      </w:r>
      <w:r w:rsidR="001831B6" w:rsidRPr="00256989">
        <w:rPr>
          <w:rFonts w:ascii="Times New Roman" w:eastAsia="Times New Roman" w:hAnsi="Times New Roman" w:cs="Times New Roman"/>
          <w:sz w:val="24"/>
          <w:szCs w:val="24"/>
          <w:lang w:val="fr-FR"/>
        </w:rPr>
        <w:t xml:space="preserve">que </w:t>
      </w:r>
      <w:r w:rsidR="009B3BD2" w:rsidRPr="00256989">
        <w:rPr>
          <w:rFonts w:ascii="Times New Roman" w:eastAsia="Times New Roman" w:hAnsi="Times New Roman" w:cs="Times New Roman"/>
          <w:sz w:val="24"/>
          <w:szCs w:val="24"/>
          <w:lang w:val="fr-FR"/>
        </w:rPr>
        <w:t>plus une personne tire d’avantages des activités de l’</w:t>
      </w:r>
      <w:r w:rsidR="005C4DEB">
        <w:rPr>
          <w:rFonts w:ascii="Times New Roman" w:eastAsia="Times New Roman" w:hAnsi="Times New Roman" w:cs="Times New Roman"/>
          <w:sz w:val="24"/>
          <w:szCs w:val="24"/>
          <w:lang w:val="fr-FR"/>
        </w:rPr>
        <w:t>É</w:t>
      </w:r>
      <w:r w:rsidR="009B3BD2" w:rsidRPr="00256989">
        <w:rPr>
          <w:rFonts w:ascii="Times New Roman" w:eastAsia="Times New Roman" w:hAnsi="Times New Roman" w:cs="Times New Roman"/>
          <w:sz w:val="24"/>
          <w:szCs w:val="24"/>
          <w:lang w:val="fr-FR"/>
        </w:rPr>
        <w:t>tat, plus elle doit payer au gouvernement, ce qui suppose qu’il existe un donnant-donnant.</w:t>
      </w:r>
      <w:r w:rsidR="009B4A6D">
        <w:rPr>
          <w:rFonts w:ascii="Times New Roman" w:eastAsia="Times New Roman" w:hAnsi="Times New Roman" w:cs="Times New Roman"/>
          <w:sz w:val="24"/>
          <w:szCs w:val="24"/>
          <w:lang w:val="fr-FR"/>
        </w:rPr>
        <w:t xml:space="preserve"> Cela</w:t>
      </w:r>
      <w:r w:rsidR="00B10AFD" w:rsidRPr="00256989">
        <w:rPr>
          <w:rFonts w:ascii="Times New Roman" w:eastAsia="Times New Roman" w:hAnsi="Times New Roman" w:cs="Times New Roman"/>
          <w:sz w:val="24"/>
          <w:szCs w:val="24"/>
          <w:lang w:val="fr-FR"/>
        </w:rPr>
        <w:t xml:space="preserve"> a</w:t>
      </w:r>
      <w:r w:rsidR="00B02823" w:rsidRPr="00256989">
        <w:rPr>
          <w:rFonts w:ascii="Times New Roman" w:eastAsia="Times New Roman" w:hAnsi="Times New Roman" w:cs="Times New Roman"/>
          <w:sz w:val="24"/>
          <w:szCs w:val="24"/>
          <w:lang w:val="fr-FR"/>
        </w:rPr>
        <w:t xml:space="preserve"> été soutenue par les auteurs comme Wicksell</w:t>
      </w:r>
      <w:r w:rsidR="003C0AA9" w:rsidRPr="00256989">
        <w:rPr>
          <w:rFonts w:ascii="Times New Roman" w:eastAsia="Times New Roman" w:hAnsi="Times New Roman" w:cs="Times New Roman"/>
          <w:sz w:val="24"/>
          <w:szCs w:val="24"/>
          <w:lang w:val="fr-FR"/>
        </w:rPr>
        <w:t xml:space="preserve"> (1896)</w:t>
      </w:r>
      <w:r w:rsidR="00B02823" w:rsidRPr="00256989">
        <w:rPr>
          <w:rFonts w:ascii="Times New Roman" w:eastAsia="Times New Roman" w:hAnsi="Times New Roman" w:cs="Times New Roman"/>
          <w:sz w:val="24"/>
          <w:szCs w:val="24"/>
          <w:lang w:val="fr-FR"/>
        </w:rPr>
        <w:t xml:space="preserve"> et Lindahl</w:t>
      </w:r>
      <w:r w:rsidR="003C0AA9" w:rsidRPr="00256989">
        <w:rPr>
          <w:rFonts w:ascii="Times New Roman" w:eastAsia="Times New Roman" w:hAnsi="Times New Roman" w:cs="Times New Roman"/>
          <w:sz w:val="24"/>
          <w:szCs w:val="24"/>
          <w:lang w:val="fr-FR"/>
        </w:rPr>
        <w:t xml:space="preserve"> (1919)</w:t>
      </w:r>
      <w:r w:rsidR="006510B6" w:rsidRPr="00256989">
        <w:rPr>
          <w:rFonts w:ascii="Times New Roman" w:eastAsia="Times New Roman" w:hAnsi="Times New Roman" w:cs="Times New Roman"/>
          <w:sz w:val="24"/>
          <w:szCs w:val="24"/>
          <w:lang w:val="fr-FR"/>
        </w:rPr>
        <w:t>.</w:t>
      </w:r>
      <w:r w:rsidR="009B4A6D">
        <w:rPr>
          <w:rFonts w:ascii="Times New Roman" w:eastAsia="Times New Roman" w:hAnsi="Times New Roman" w:cs="Times New Roman"/>
          <w:sz w:val="24"/>
          <w:szCs w:val="24"/>
          <w:lang w:val="fr-FR"/>
        </w:rPr>
        <w:t xml:space="preserve"> C</w:t>
      </w:r>
      <w:r w:rsidR="00CD2F1E">
        <w:rPr>
          <w:rFonts w:ascii="Times New Roman" w:eastAsia="Times New Roman" w:hAnsi="Times New Roman" w:cs="Times New Roman"/>
          <w:sz w:val="24"/>
          <w:szCs w:val="24"/>
          <w:lang w:val="fr-FR"/>
        </w:rPr>
        <w:t>es auteurs affirment</w:t>
      </w:r>
      <w:r w:rsidR="000854BC" w:rsidRPr="00256989">
        <w:rPr>
          <w:rFonts w:ascii="Times New Roman" w:eastAsia="Times New Roman" w:hAnsi="Times New Roman" w:cs="Times New Roman"/>
          <w:sz w:val="24"/>
          <w:szCs w:val="24"/>
          <w:lang w:val="fr-FR"/>
        </w:rPr>
        <w:t xml:space="preserve"> que les impôts doivent être justes et basés sur les bénéfices reçus par les citoyens. De ce fait, Wicksell a introduit le principe du consentement à l’impôt et de l’égalité des avantages, tandis que Lindahl a </w:t>
      </w:r>
      <w:r w:rsidR="00AD0FBA" w:rsidRPr="00256989">
        <w:rPr>
          <w:rFonts w:ascii="Times New Roman" w:eastAsia="Times New Roman" w:hAnsi="Times New Roman" w:cs="Times New Roman"/>
          <w:sz w:val="24"/>
          <w:szCs w:val="24"/>
          <w:lang w:val="fr-FR"/>
        </w:rPr>
        <w:t>développé un mécanisme théorique pour financer les biens publics selon les préférences individuelles.</w:t>
      </w:r>
    </w:p>
    <w:p w14:paraId="120E086C" w14:textId="42D5820D" w:rsidR="00061BF5" w:rsidRPr="00256989" w:rsidRDefault="00B02823">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 </w:t>
      </w:r>
      <w:r w:rsidR="000348F3" w:rsidRPr="00256989">
        <w:rPr>
          <w:rFonts w:ascii="Times New Roman" w:eastAsia="Times New Roman" w:hAnsi="Times New Roman" w:cs="Times New Roman"/>
          <w:sz w:val="24"/>
          <w:szCs w:val="24"/>
          <w:lang w:val="fr-FR"/>
        </w:rPr>
        <w:t xml:space="preserve">Cependant, </w:t>
      </w:r>
      <w:r w:rsidR="005C4DEB">
        <w:rPr>
          <w:rFonts w:ascii="Times New Roman" w:eastAsia="Times New Roman" w:hAnsi="Times New Roman" w:cs="Times New Roman"/>
          <w:sz w:val="24"/>
          <w:szCs w:val="24"/>
          <w:lang w:val="fr-FR"/>
        </w:rPr>
        <w:t>il convient de noter qu’</w:t>
      </w:r>
      <w:r w:rsidR="000348F3" w:rsidRPr="00256989">
        <w:rPr>
          <w:rFonts w:ascii="Times New Roman" w:eastAsia="Times New Roman" w:hAnsi="Times New Roman" w:cs="Times New Roman"/>
          <w:sz w:val="24"/>
          <w:szCs w:val="24"/>
          <w:lang w:val="fr-FR"/>
        </w:rPr>
        <w:t xml:space="preserve">il est impossible de mettre en </w:t>
      </w:r>
      <w:r w:rsidR="005C4DEB" w:rsidRPr="005C4DEB">
        <w:rPr>
          <w:rFonts w:ascii="Times New Roman" w:eastAsia="Times New Roman" w:hAnsi="Times New Roman" w:cs="Times New Roman"/>
          <w:sz w:val="24"/>
          <w:szCs w:val="24"/>
          <w:lang w:val="fr-FR"/>
        </w:rPr>
        <w:t>œuvre</w:t>
      </w:r>
      <w:r w:rsidR="000348F3" w:rsidRPr="00256989">
        <w:rPr>
          <w:rFonts w:ascii="Times New Roman" w:eastAsia="Times New Roman" w:hAnsi="Times New Roman" w:cs="Times New Roman"/>
          <w:sz w:val="24"/>
          <w:szCs w:val="24"/>
          <w:lang w:val="fr-FR"/>
        </w:rPr>
        <w:t xml:space="preserve"> cette théorie avec </w:t>
      </w:r>
      <w:r w:rsidR="005C4DEB" w:rsidRPr="005C4DEB">
        <w:rPr>
          <w:rFonts w:ascii="Times New Roman" w:eastAsia="Times New Roman" w:hAnsi="Times New Roman" w:cs="Times New Roman"/>
          <w:sz w:val="24"/>
          <w:szCs w:val="24"/>
          <w:lang w:val="fr-FR"/>
        </w:rPr>
        <w:t>précision</w:t>
      </w:r>
      <w:r w:rsidR="000348F3" w:rsidRPr="00256989">
        <w:rPr>
          <w:rFonts w:ascii="Times New Roman" w:eastAsia="Times New Roman" w:hAnsi="Times New Roman" w:cs="Times New Roman"/>
          <w:sz w:val="24"/>
          <w:szCs w:val="24"/>
          <w:lang w:val="fr-FR"/>
        </w:rPr>
        <w:t xml:space="preserve"> en raison de la difficulté de déterminer le nombre d’avantages gouvernementaux, y compris les avantages diffus tels que la protection militaire reçue par chaque </w:t>
      </w:r>
      <w:r w:rsidR="005C4DEB" w:rsidRPr="005C4DEB">
        <w:rPr>
          <w:rFonts w:ascii="Times New Roman" w:eastAsia="Times New Roman" w:hAnsi="Times New Roman" w:cs="Times New Roman"/>
          <w:sz w:val="24"/>
          <w:szCs w:val="24"/>
          <w:lang w:val="fr-FR"/>
        </w:rPr>
        <w:t>contribuable</w:t>
      </w:r>
      <w:r w:rsidR="000348F3" w:rsidRPr="00256989">
        <w:rPr>
          <w:rFonts w:ascii="Times New Roman" w:eastAsia="Times New Roman" w:hAnsi="Times New Roman" w:cs="Times New Roman"/>
          <w:sz w:val="24"/>
          <w:szCs w:val="24"/>
          <w:lang w:val="fr-FR"/>
        </w:rPr>
        <w:t xml:space="preserve"> </w:t>
      </w:r>
      <w:r w:rsidR="005C4DEB" w:rsidRPr="005C4DEB">
        <w:rPr>
          <w:rFonts w:ascii="Times New Roman" w:eastAsia="Times New Roman" w:hAnsi="Times New Roman" w:cs="Times New Roman"/>
          <w:sz w:val="24"/>
          <w:szCs w:val="24"/>
          <w:lang w:val="fr-FR"/>
        </w:rPr>
        <w:t>résident</w:t>
      </w:r>
      <w:r w:rsidR="000348F3" w:rsidRPr="00256989">
        <w:rPr>
          <w:rFonts w:ascii="Times New Roman" w:eastAsia="Times New Roman" w:hAnsi="Times New Roman" w:cs="Times New Roman"/>
          <w:sz w:val="24"/>
          <w:szCs w:val="24"/>
          <w:lang w:val="fr-FR"/>
        </w:rPr>
        <w:t xml:space="preserve"> et non-résident.</w:t>
      </w:r>
      <w:r w:rsidR="00D8734A" w:rsidRPr="00256989">
        <w:rPr>
          <w:rFonts w:ascii="Times New Roman" w:eastAsia="Times New Roman" w:hAnsi="Times New Roman" w:cs="Times New Roman"/>
          <w:sz w:val="24"/>
          <w:szCs w:val="24"/>
          <w:lang w:val="fr-FR"/>
        </w:rPr>
        <w:t xml:space="preserve"> De nombreux auteurs ont </w:t>
      </w:r>
      <w:r w:rsidR="005C4DEB" w:rsidRPr="005C4DEB">
        <w:rPr>
          <w:rFonts w:ascii="Times New Roman" w:eastAsia="Times New Roman" w:hAnsi="Times New Roman" w:cs="Times New Roman"/>
          <w:sz w:val="24"/>
          <w:szCs w:val="24"/>
          <w:lang w:val="fr-FR"/>
        </w:rPr>
        <w:t>proposé</w:t>
      </w:r>
      <w:r w:rsidR="00D8734A" w:rsidRPr="00256989">
        <w:rPr>
          <w:rFonts w:ascii="Times New Roman" w:eastAsia="Times New Roman" w:hAnsi="Times New Roman" w:cs="Times New Roman"/>
          <w:sz w:val="24"/>
          <w:szCs w:val="24"/>
          <w:lang w:val="fr-FR"/>
        </w:rPr>
        <w:t xml:space="preserve"> différent</w:t>
      </w:r>
      <w:r w:rsidR="005C4DEB">
        <w:rPr>
          <w:rFonts w:ascii="Times New Roman" w:eastAsia="Times New Roman" w:hAnsi="Times New Roman" w:cs="Times New Roman"/>
          <w:sz w:val="24"/>
          <w:szCs w:val="24"/>
          <w:lang w:val="fr-FR"/>
        </w:rPr>
        <w:t>e</w:t>
      </w:r>
      <w:r w:rsidR="00D8734A" w:rsidRPr="00256989">
        <w:rPr>
          <w:rFonts w:ascii="Times New Roman" w:eastAsia="Times New Roman" w:hAnsi="Times New Roman" w:cs="Times New Roman"/>
          <w:sz w:val="24"/>
          <w:szCs w:val="24"/>
          <w:lang w:val="fr-FR"/>
        </w:rPr>
        <w:t>s interprétations de la théorie des avantages fiscaux.</w:t>
      </w:r>
      <w:r w:rsidR="00B00867" w:rsidRPr="00256989">
        <w:rPr>
          <w:rFonts w:ascii="Times New Roman" w:eastAsia="Times New Roman" w:hAnsi="Times New Roman" w:cs="Times New Roman"/>
          <w:sz w:val="24"/>
          <w:szCs w:val="24"/>
          <w:lang w:val="fr-FR"/>
        </w:rPr>
        <w:t xml:space="preserve"> Pour Neill (2000), la théorie suggère que les impôts acquittés par un individu devraient correspondre aux bénéfices qu’il tire de la combinaison de biens et de services offerts </w:t>
      </w:r>
      <w:r w:rsidR="00B00867" w:rsidRPr="00256989">
        <w:rPr>
          <w:rFonts w:ascii="Times New Roman" w:eastAsia="Times New Roman" w:hAnsi="Times New Roman" w:cs="Times New Roman"/>
          <w:sz w:val="24"/>
          <w:szCs w:val="24"/>
          <w:lang w:val="fr-FR"/>
        </w:rPr>
        <w:lastRenderedPageBreak/>
        <w:t>par l’</w:t>
      </w:r>
      <w:r w:rsidR="005C4DEB">
        <w:rPr>
          <w:rFonts w:ascii="Times New Roman" w:eastAsia="Times New Roman" w:hAnsi="Times New Roman" w:cs="Times New Roman"/>
          <w:sz w:val="24"/>
          <w:szCs w:val="24"/>
          <w:lang w:val="fr-FR"/>
        </w:rPr>
        <w:t>É</w:t>
      </w:r>
      <w:r w:rsidR="00B00867" w:rsidRPr="00256989">
        <w:rPr>
          <w:rFonts w:ascii="Times New Roman" w:eastAsia="Times New Roman" w:hAnsi="Times New Roman" w:cs="Times New Roman"/>
          <w:sz w:val="24"/>
          <w:szCs w:val="24"/>
          <w:lang w:val="fr-FR"/>
        </w:rPr>
        <w:t>tat.</w:t>
      </w:r>
      <w:r w:rsidR="00006BC4" w:rsidRPr="00256989">
        <w:rPr>
          <w:rFonts w:ascii="Times New Roman" w:eastAsia="Times New Roman" w:hAnsi="Times New Roman" w:cs="Times New Roman"/>
          <w:sz w:val="24"/>
          <w:szCs w:val="24"/>
          <w:lang w:val="fr-FR"/>
        </w:rPr>
        <w:t xml:space="preserve"> </w:t>
      </w:r>
      <w:r w:rsidR="00992220" w:rsidRPr="00256989">
        <w:rPr>
          <w:rFonts w:ascii="Times New Roman" w:eastAsia="Times New Roman" w:hAnsi="Times New Roman" w:cs="Times New Roman"/>
          <w:sz w:val="24"/>
          <w:szCs w:val="24"/>
          <w:lang w:val="fr-FR"/>
        </w:rPr>
        <w:t>Rah</w:t>
      </w:r>
      <w:r w:rsidR="00BA7F36" w:rsidRPr="00256989">
        <w:rPr>
          <w:rFonts w:ascii="Times New Roman" w:eastAsia="Times New Roman" w:hAnsi="Times New Roman" w:cs="Times New Roman"/>
          <w:sz w:val="24"/>
          <w:szCs w:val="24"/>
          <w:lang w:val="fr-FR"/>
        </w:rPr>
        <w:t>man</w:t>
      </w:r>
      <w:r w:rsidR="00006BC4" w:rsidRPr="00256989">
        <w:rPr>
          <w:rFonts w:ascii="Times New Roman" w:eastAsia="Times New Roman" w:hAnsi="Times New Roman" w:cs="Times New Roman"/>
          <w:sz w:val="24"/>
          <w:szCs w:val="24"/>
          <w:lang w:val="fr-FR"/>
        </w:rPr>
        <w:t xml:space="preserve"> (2003), </w:t>
      </w:r>
      <w:r w:rsidR="009F36FD">
        <w:rPr>
          <w:rFonts w:ascii="Times New Roman" w:eastAsia="Times New Roman" w:hAnsi="Times New Roman" w:cs="Times New Roman"/>
          <w:sz w:val="24"/>
          <w:szCs w:val="24"/>
          <w:lang w:val="fr-FR"/>
        </w:rPr>
        <w:t xml:space="preserve">développant </w:t>
      </w:r>
      <w:r w:rsidR="00006BC4" w:rsidRPr="00256989">
        <w:rPr>
          <w:rFonts w:ascii="Times New Roman" w:eastAsia="Times New Roman" w:hAnsi="Times New Roman" w:cs="Times New Roman"/>
          <w:sz w:val="24"/>
          <w:szCs w:val="24"/>
          <w:lang w:val="fr-FR"/>
        </w:rPr>
        <w:t xml:space="preserve">la théorie des avantages affirme que les impôts devraient être </w:t>
      </w:r>
      <w:r w:rsidR="009F36FD" w:rsidRPr="009F36FD">
        <w:rPr>
          <w:rFonts w:ascii="Times New Roman" w:eastAsia="Times New Roman" w:hAnsi="Times New Roman" w:cs="Times New Roman"/>
          <w:sz w:val="24"/>
          <w:szCs w:val="24"/>
          <w:lang w:val="fr-FR"/>
        </w:rPr>
        <w:t>déterminés</w:t>
      </w:r>
      <w:r w:rsidR="00006BC4" w:rsidRPr="00256989">
        <w:rPr>
          <w:rFonts w:ascii="Times New Roman" w:eastAsia="Times New Roman" w:hAnsi="Times New Roman" w:cs="Times New Roman"/>
          <w:sz w:val="24"/>
          <w:szCs w:val="24"/>
          <w:lang w:val="fr-FR"/>
        </w:rPr>
        <w:t xml:space="preserve"> par les avantages reçus plutôt que par le revenu, car ceux qui bénéficient de prestations plus importantes doivent contribuer en conséquence.</w:t>
      </w:r>
      <w:r w:rsidR="00061BF5" w:rsidRPr="00256989">
        <w:rPr>
          <w:rFonts w:ascii="Times New Roman" w:eastAsia="Times New Roman" w:hAnsi="Times New Roman" w:cs="Times New Roman"/>
          <w:sz w:val="24"/>
          <w:szCs w:val="24"/>
          <w:lang w:val="fr-FR"/>
        </w:rPr>
        <w:t xml:space="preserve"> Lindsay (2019), </w:t>
      </w:r>
      <w:r w:rsidR="009F36FD">
        <w:rPr>
          <w:rFonts w:ascii="Times New Roman" w:eastAsia="Times New Roman" w:hAnsi="Times New Roman" w:cs="Times New Roman"/>
          <w:sz w:val="24"/>
          <w:szCs w:val="24"/>
          <w:lang w:val="fr-FR"/>
        </w:rPr>
        <w:t xml:space="preserve">à travers </w:t>
      </w:r>
      <w:r w:rsidR="00061BF5" w:rsidRPr="00256989">
        <w:rPr>
          <w:rFonts w:ascii="Times New Roman" w:eastAsia="Times New Roman" w:hAnsi="Times New Roman" w:cs="Times New Roman"/>
          <w:sz w:val="24"/>
          <w:szCs w:val="24"/>
          <w:lang w:val="fr-FR"/>
        </w:rPr>
        <w:t xml:space="preserve">la théorie des avantages considère le fardeau fiscal en fonction des avantages reçus par le </w:t>
      </w:r>
      <w:r w:rsidR="00B10AFD" w:rsidRPr="00256989">
        <w:rPr>
          <w:rFonts w:ascii="Times New Roman" w:eastAsia="Times New Roman" w:hAnsi="Times New Roman" w:cs="Times New Roman"/>
          <w:sz w:val="24"/>
          <w:szCs w:val="24"/>
          <w:lang w:val="fr-FR"/>
        </w:rPr>
        <w:t>contribuable</w:t>
      </w:r>
      <w:r w:rsidR="00061BF5" w:rsidRPr="00256989">
        <w:rPr>
          <w:rFonts w:ascii="Times New Roman" w:eastAsia="Times New Roman" w:hAnsi="Times New Roman" w:cs="Times New Roman"/>
          <w:sz w:val="24"/>
          <w:szCs w:val="24"/>
          <w:lang w:val="fr-FR"/>
        </w:rPr>
        <w:t xml:space="preserve"> de l’</w:t>
      </w:r>
      <w:r w:rsidR="009F36FD">
        <w:rPr>
          <w:rFonts w:ascii="Times New Roman" w:eastAsia="Times New Roman" w:hAnsi="Times New Roman" w:cs="Times New Roman"/>
          <w:sz w:val="24"/>
          <w:szCs w:val="24"/>
          <w:lang w:val="fr-FR"/>
        </w:rPr>
        <w:t>É</w:t>
      </w:r>
      <w:r w:rsidR="00061BF5" w:rsidRPr="00256989">
        <w:rPr>
          <w:rFonts w:ascii="Times New Roman" w:eastAsia="Times New Roman" w:hAnsi="Times New Roman" w:cs="Times New Roman"/>
          <w:sz w:val="24"/>
          <w:szCs w:val="24"/>
          <w:lang w:val="fr-FR"/>
        </w:rPr>
        <w:t>tat</w:t>
      </w:r>
      <w:r w:rsidR="00B10AFD" w:rsidRPr="00256989">
        <w:rPr>
          <w:rFonts w:ascii="Times New Roman" w:eastAsia="Times New Roman" w:hAnsi="Times New Roman" w:cs="Times New Roman"/>
          <w:sz w:val="24"/>
          <w:szCs w:val="24"/>
          <w:lang w:val="fr-FR"/>
        </w:rPr>
        <w:t>. Son principe fondamental repose sur la réciprocité</w:t>
      </w:r>
      <w:r w:rsidR="009F36FD">
        <w:rPr>
          <w:rFonts w:ascii="Times New Roman" w:eastAsia="Times New Roman" w:hAnsi="Times New Roman" w:cs="Times New Roman"/>
          <w:sz w:val="24"/>
          <w:szCs w:val="24"/>
          <w:lang w:val="fr-FR"/>
        </w:rPr>
        <w:t xml:space="preserve"> </w:t>
      </w:r>
      <w:r w:rsidR="00B10AFD" w:rsidRPr="00256989">
        <w:rPr>
          <w:rFonts w:ascii="Times New Roman" w:eastAsia="Times New Roman" w:hAnsi="Times New Roman" w:cs="Times New Roman"/>
          <w:sz w:val="24"/>
          <w:szCs w:val="24"/>
          <w:lang w:val="fr-FR"/>
        </w:rPr>
        <w:t>:</w:t>
      </w:r>
      <w:r w:rsidR="001D2409" w:rsidRPr="00256989">
        <w:rPr>
          <w:rFonts w:ascii="Times New Roman" w:eastAsia="Times New Roman" w:hAnsi="Times New Roman" w:cs="Times New Roman"/>
          <w:sz w:val="24"/>
          <w:szCs w:val="24"/>
          <w:lang w:val="fr-FR"/>
        </w:rPr>
        <w:t xml:space="preserve"> </w:t>
      </w:r>
      <w:r w:rsidR="00B10AFD" w:rsidRPr="00256989">
        <w:rPr>
          <w:rFonts w:ascii="Times New Roman" w:eastAsia="Times New Roman" w:hAnsi="Times New Roman" w:cs="Times New Roman"/>
          <w:sz w:val="24"/>
          <w:szCs w:val="24"/>
          <w:lang w:val="fr-FR"/>
        </w:rPr>
        <w:t>un système fiscal équitable est celui où les impôts payés par un contribuable correspondent aux bénéfices qu’il tire de l’</w:t>
      </w:r>
      <w:r w:rsidR="009F36FD">
        <w:rPr>
          <w:rFonts w:ascii="Times New Roman" w:eastAsia="Times New Roman" w:hAnsi="Times New Roman" w:cs="Times New Roman"/>
          <w:sz w:val="24"/>
          <w:szCs w:val="24"/>
          <w:lang w:val="fr-FR"/>
        </w:rPr>
        <w:t>É</w:t>
      </w:r>
      <w:r w:rsidR="00B10AFD" w:rsidRPr="00256989">
        <w:rPr>
          <w:rFonts w:ascii="Times New Roman" w:eastAsia="Times New Roman" w:hAnsi="Times New Roman" w:cs="Times New Roman"/>
          <w:sz w:val="24"/>
          <w:szCs w:val="24"/>
          <w:lang w:val="fr-FR"/>
        </w:rPr>
        <w:t>tat.</w:t>
      </w:r>
    </w:p>
    <w:p w14:paraId="747D6229" w14:textId="77777777" w:rsidR="005E4276" w:rsidRPr="00C07CBB" w:rsidRDefault="006D388F">
      <w:pPr>
        <w:numPr>
          <w:ilvl w:val="0"/>
          <w:numId w:val="1"/>
        </w:numPr>
        <w:pBdr>
          <w:top w:val="nil"/>
          <w:left w:val="nil"/>
          <w:bottom w:val="nil"/>
          <w:right w:val="nil"/>
          <w:between w:val="nil"/>
        </w:pBdr>
        <w:spacing w:line="360" w:lineRule="auto"/>
        <w:ind w:left="360"/>
        <w:jc w:val="both"/>
        <w:rPr>
          <w:rFonts w:ascii="Times New Roman" w:eastAsia="Times New Roman" w:hAnsi="Times New Roman" w:cs="Times New Roman"/>
          <w:b/>
          <w:bCs/>
          <w:color w:val="000000"/>
          <w:sz w:val="24"/>
          <w:szCs w:val="24"/>
          <w:lang w:val="fr-FR"/>
        </w:rPr>
      </w:pPr>
      <w:r w:rsidRPr="00C07CBB">
        <w:rPr>
          <w:rFonts w:ascii="Times New Roman" w:eastAsia="Times New Roman" w:hAnsi="Times New Roman" w:cs="Times New Roman"/>
          <w:b/>
          <w:bCs/>
          <w:color w:val="000000"/>
          <w:sz w:val="24"/>
          <w:szCs w:val="24"/>
          <w:lang w:val="fr-FR"/>
        </w:rPr>
        <w:t>La théorie de la consommation moderne</w:t>
      </w:r>
    </w:p>
    <w:p w14:paraId="2C013C53" w14:textId="44795D06" w:rsidR="00E56C49"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 comportement des ménages en matière de consommation a été étudié à travers </w:t>
      </w:r>
      <w:r w:rsidR="00AB1EF9" w:rsidRPr="00256989">
        <w:rPr>
          <w:rFonts w:ascii="Times New Roman" w:eastAsia="Times New Roman" w:hAnsi="Times New Roman" w:cs="Times New Roman"/>
          <w:sz w:val="24"/>
          <w:szCs w:val="24"/>
          <w:lang w:val="fr-FR"/>
        </w:rPr>
        <w:t>diverses</w:t>
      </w:r>
      <w:r w:rsidRPr="00256989">
        <w:rPr>
          <w:rFonts w:ascii="Times New Roman" w:eastAsia="Times New Roman" w:hAnsi="Times New Roman" w:cs="Times New Roman"/>
          <w:sz w:val="24"/>
          <w:szCs w:val="24"/>
          <w:lang w:val="fr-FR"/>
        </w:rPr>
        <w:t xml:space="preserve"> théories distinctes</w:t>
      </w:r>
      <w:r w:rsidR="00AB1EF9" w:rsidRPr="00256989">
        <w:rPr>
          <w:rFonts w:ascii="Times New Roman" w:eastAsia="Times New Roman" w:hAnsi="Times New Roman" w:cs="Times New Roman"/>
          <w:sz w:val="24"/>
          <w:szCs w:val="24"/>
          <w:lang w:val="fr-FR"/>
        </w:rPr>
        <w:t xml:space="preserve"> parmi lesquelles nous avons </w:t>
      </w:r>
      <w:r w:rsidRPr="00256989">
        <w:rPr>
          <w:rFonts w:ascii="Times New Roman" w:eastAsia="Times New Roman" w:hAnsi="Times New Roman" w:cs="Times New Roman"/>
          <w:sz w:val="24"/>
          <w:szCs w:val="24"/>
          <w:lang w:val="fr-FR"/>
        </w:rPr>
        <w:t>l’hypothèse du revenu absolu formulée par Keynes (1936), l’hypothèse du revenu relatif par Duesenberry (1948, 1949)</w:t>
      </w:r>
      <w:r w:rsidR="00634938"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ainsi que l’hypothèse du revenu permanent avancée par Friedman (1957).</w:t>
      </w:r>
    </w:p>
    <w:p w14:paraId="20F2EECC" w14:textId="13EB084A" w:rsidR="00B1717D"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 La théorie moderne de la consommation a été mise en avant à travers la loi psychologique du comportement de la consommation de Keynes (1936) dans sa théorie </w:t>
      </w:r>
      <w:r w:rsidR="00F14C8F" w:rsidRPr="00256989">
        <w:rPr>
          <w:rFonts w:ascii="Times New Roman" w:eastAsia="Times New Roman" w:hAnsi="Times New Roman" w:cs="Times New Roman"/>
          <w:sz w:val="24"/>
          <w:szCs w:val="24"/>
          <w:lang w:val="fr-FR"/>
        </w:rPr>
        <w:t>générale. Il</w:t>
      </w:r>
      <w:r w:rsidRPr="00256989">
        <w:rPr>
          <w:rFonts w:ascii="Times New Roman" w:eastAsia="Times New Roman" w:hAnsi="Times New Roman" w:cs="Times New Roman"/>
          <w:sz w:val="24"/>
          <w:szCs w:val="24"/>
          <w:lang w:val="fr-FR"/>
        </w:rPr>
        <w:t xml:space="preserve"> </w:t>
      </w:r>
      <w:r w:rsidR="009F36FD">
        <w:rPr>
          <w:rFonts w:ascii="Times New Roman" w:eastAsia="Times New Roman" w:hAnsi="Times New Roman" w:cs="Times New Roman"/>
          <w:sz w:val="24"/>
          <w:szCs w:val="24"/>
          <w:lang w:val="fr-FR"/>
        </w:rPr>
        <w:t>affirme</w:t>
      </w:r>
      <w:r w:rsidR="009F36FD"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que</w:t>
      </w:r>
      <w:r w:rsidR="00E56C49" w:rsidRPr="00256989">
        <w:rPr>
          <w:rFonts w:ascii="Times New Roman" w:eastAsia="Times New Roman" w:hAnsi="Times New Roman" w:cs="Times New Roman"/>
          <w:sz w:val="24"/>
          <w:szCs w:val="24"/>
          <w:lang w:val="fr-FR"/>
        </w:rPr>
        <w:t xml:space="preserve"> la consommation augmente avec le revenu, mais à un rythme décroissant. Cela signifie qu</w:t>
      </w:r>
      <w:r w:rsidR="00B26C1A" w:rsidRPr="00256989">
        <w:rPr>
          <w:rFonts w:ascii="Times New Roman" w:eastAsia="Times New Roman" w:hAnsi="Times New Roman" w:cs="Times New Roman"/>
          <w:sz w:val="24"/>
          <w:szCs w:val="24"/>
          <w:lang w:val="fr-FR"/>
        </w:rPr>
        <w:t>’avec une augmentation de revenu, les ménages ne dépensent qu’une partie de ce revenu supplémentaire, et le reste est épargné. Ainsi</w:t>
      </w:r>
      <w:r w:rsidR="009F36FD">
        <w:rPr>
          <w:rFonts w:ascii="Times New Roman" w:eastAsia="Times New Roman" w:hAnsi="Times New Roman" w:cs="Times New Roman"/>
          <w:sz w:val="24"/>
          <w:szCs w:val="24"/>
          <w:lang w:val="fr-FR"/>
        </w:rPr>
        <w:t>,</w:t>
      </w:r>
      <w:r w:rsidR="00B26C1A" w:rsidRPr="00256989">
        <w:rPr>
          <w:rFonts w:ascii="Times New Roman" w:eastAsia="Times New Roman" w:hAnsi="Times New Roman" w:cs="Times New Roman"/>
          <w:sz w:val="24"/>
          <w:szCs w:val="24"/>
          <w:lang w:val="fr-FR"/>
        </w:rPr>
        <w:t xml:space="preserve"> les impôts peuvent affecter cette propension</w:t>
      </w:r>
      <w:r w:rsidR="00F14C8F" w:rsidRPr="00256989">
        <w:rPr>
          <w:rFonts w:ascii="Times New Roman" w:eastAsia="Times New Roman" w:hAnsi="Times New Roman" w:cs="Times New Roman"/>
          <w:sz w:val="24"/>
          <w:szCs w:val="24"/>
          <w:lang w:val="fr-FR"/>
        </w:rPr>
        <w:t>. Aussi, Keynes</w:t>
      </w:r>
      <w:r w:rsidRPr="00256989">
        <w:rPr>
          <w:rFonts w:ascii="Times New Roman" w:eastAsia="Times New Roman" w:hAnsi="Times New Roman" w:cs="Times New Roman"/>
          <w:sz w:val="24"/>
          <w:szCs w:val="24"/>
          <w:lang w:val="fr-FR"/>
        </w:rPr>
        <w:t xml:space="preserve"> définit la propension à consommer comme la relation entre </w:t>
      </w:r>
      <w:r w:rsidR="009F36FD">
        <w:rPr>
          <w:rFonts w:ascii="Times New Roman" w:eastAsia="Times New Roman" w:hAnsi="Times New Roman" w:cs="Times New Roman"/>
          <w:sz w:val="24"/>
          <w:szCs w:val="24"/>
          <w:lang w:val="fr-FR"/>
        </w:rPr>
        <w:t xml:space="preserve">la </w:t>
      </w:r>
      <w:r w:rsidRPr="00256989">
        <w:rPr>
          <w:rFonts w:ascii="Times New Roman" w:eastAsia="Times New Roman" w:hAnsi="Times New Roman" w:cs="Times New Roman"/>
          <w:sz w:val="24"/>
          <w:szCs w:val="24"/>
          <w:lang w:val="fr-FR"/>
        </w:rPr>
        <w:t>consommation et le revenu national. Il distingue la propension marginale à consommer (PMC)</w:t>
      </w:r>
      <w:r>
        <w:rPr>
          <w:rFonts w:ascii="Times New Roman" w:eastAsia="Times New Roman" w:hAnsi="Times New Roman" w:cs="Times New Roman"/>
          <w:sz w:val="24"/>
          <w:szCs w:val="24"/>
          <w:vertAlign w:val="superscript"/>
        </w:rPr>
        <w:footnoteReference w:id="1"/>
      </w:r>
      <w:r w:rsidRPr="00256989">
        <w:rPr>
          <w:rFonts w:ascii="Times New Roman" w:eastAsia="Times New Roman" w:hAnsi="Times New Roman" w:cs="Times New Roman"/>
          <w:sz w:val="24"/>
          <w:szCs w:val="24"/>
          <w:lang w:val="fr-FR"/>
        </w:rPr>
        <w:t xml:space="preserve"> et la propension moyenne à consommer (Pmc)</w:t>
      </w:r>
      <w:r>
        <w:rPr>
          <w:rFonts w:ascii="Times New Roman" w:eastAsia="Times New Roman" w:hAnsi="Times New Roman" w:cs="Times New Roman"/>
          <w:sz w:val="24"/>
          <w:szCs w:val="24"/>
          <w:vertAlign w:val="superscript"/>
        </w:rPr>
        <w:footnoteReference w:id="2"/>
      </w:r>
      <w:r w:rsidRPr="00256989">
        <w:rPr>
          <w:rFonts w:ascii="Times New Roman" w:eastAsia="Times New Roman" w:hAnsi="Times New Roman" w:cs="Times New Roman"/>
          <w:sz w:val="24"/>
          <w:szCs w:val="24"/>
          <w:lang w:val="fr-FR"/>
        </w:rPr>
        <w:t xml:space="preserve"> et conclut que ces différentes propensions diminuent avec le revenu compris entre 0 et 1.</w:t>
      </w:r>
      <w:r>
        <w:rPr>
          <w:rFonts w:ascii="Times New Roman" w:eastAsia="Times New Roman" w:hAnsi="Times New Roman" w:cs="Times New Roman"/>
          <w:sz w:val="24"/>
          <w:szCs w:val="24"/>
          <w:vertAlign w:val="superscript"/>
        </w:rPr>
        <w:footnoteReference w:id="3"/>
      </w:r>
      <w:r w:rsidRPr="00256989">
        <w:rPr>
          <w:rFonts w:ascii="Times New Roman" w:eastAsia="Times New Roman" w:hAnsi="Times New Roman" w:cs="Times New Roman"/>
          <w:sz w:val="24"/>
          <w:szCs w:val="24"/>
          <w:lang w:val="fr-FR"/>
        </w:rPr>
        <w:t xml:space="preserve"> </w:t>
      </w:r>
      <w:r w:rsidR="00B1717D" w:rsidRPr="00256989">
        <w:rPr>
          <w:rFonts w:ascii="Times New Roman" w:eastAsia="Times New Roman" w:hAnsi="Times New Roman" w:cs="Times New Roman"/>
          <w:sz w:val="24"/>
          <w:szCs w:val="24"/>
          <w:lang w:val="fr-FR"/>
        </w:rPr>
        <w:t>La relation entre impôt et consommation selon Keynes est un aspect central de sa théorie économique. Dans sa vision, les impôts influencent directement le niveau de consommation des ménages, ce qui a des implications sur la demande agrégée et, par conséquent, pour l’activité économique.</w:t>
      </w:r>
      <w:r w:rsidR="00302390" w:rsidRPr="00256989">
        <w:rPr>
          <w:rFonts w:ascii="Times New Roman" w:eastAsia="Times New Roman" w:hAnsi="Times New Roman" w:cs="Times New Roman"/>
          <w:sz w:val="24"/>
          <w:szCs w:val="24"/>
          <w:lang w:val="fr-FR"/>
        </w:rPr>
        <w:t xml:space="preserve"> Il montre que les impôts réduisent le revenu disponible des ménages. Ainsi, une </w:t>
      </w:r>
      <w:r w:rsidR="00302390" w:rsidRPr="00256989">
        <w:rPr>
          <w:rFonts w:ascii="Times New Roman" w:eastAsia="Times New Roman" w:hAnsi="Times New Roman" w:cs="Times New Roman"/>
          <w:sz w:val="24"/>
          <w:szCs w:val="24"/>
          <w:lang w:val="fr-FR"/>
        </w:rPr>
        <w:lastRenderedPageBreak/>
        <w:t>hausse des impôts peut donc diminuer la consommation, car les ménages disposent de moins de ressources pour dépenser.</w:t>
      </w:r>
    </w:p>
    <w:p w14:paraId="65CAEF65" w14:textId="77777777"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En 1994, Duesenberry élabore une théorie socioéconomique de la fonction de consommation dans laquelle le comportement du consommateur est régi par la comparaison de son propre revenu avec d’autres revenus en mettant en lumière deux hypothèses fondamentales</w:t>
      </w:r>
      <w:r>
        <w:rPr>
          <w:rFonts w:ascii="Times New Roman" w:eastAsia="Times New Roman" w:hAnsi="Times New Roman" w:cs="Times New Roman"/>
          <w:sz w:val="24"/>
          <w:szCs w:val="24"/>
          <w:vertAlign w:val="superscript"/>
        </w:rPr>
        <w:footnoteReference w:id="4"/>
      </w:r>
      <w:r w:rsidRPr="00256989">
        <w:rPr>
          <w:rFonts w:ascii="Times New Roman" w:eastAsia="Times New Roman" w:hAnsi="Times New Roman" w:cs="Times New Roman"/>
          <w:sz w:val="24"/>
          <w:szCs w:val="24"/>
          <w:lang w:val="fr-FR"/>
        </w:rPr>
        <w:t>.</w:t>
      </w:r>
    </w:p>
    <w:p w14:paraId="52F39580" w14:textId="296220C9" w:rsidR="00054E8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Par la suite, Friedman (1956)</w:t>
      </w:r>
      <w:r w:rsidR="00EB7A4D" w:rsidRPr="00256989">
        <w:rPr>
          <w:rFonts w:ascii="Times New Roman" w:eastAsia="Times New Roman" w:hAnsi="Times New Roman" w:cs="Times New Roman"/>
          <w:sz w:val="24"/>
          <w:szCs w:val="24"/>
          <w:lang w:val="fr-FR"/>
        </w:rPr>
        <w:t xml:space="preserve"> remet en question l’idée que la consommation est uniquement déterminée par le revenu courant. Il</w:t>
      </w:r>
      <w:r w:rsidRPr="00256989">
        <w:rPr>
          <w:rFonts w:ascii="Times New Roman" w:eastAsia="Times New Roman" w:hAnsi="Times New Roman" w:cs="Times New Roman"/>
          <w:sz w:val="24"/>
          <w:szCs w:val="24"/>
          <w:lang w:val="fr-FR"/>
        </w:rPr>
        <w:t xml:space="preserve"> a développé une fonction de consommation en supposant une hypothèse du revenu permanent selon laquelle les agents économiques agissent, non pas seulement en fonction de leur revenu disponible mais également en fonction du revenu qu’ils anticipent</w:t>
      </w:r>
      <w:r>
        <w:rPr>
          <w:rFonts w:ascii="Times New Roman" w:eastAsia="Times New Roman" w:hAnsi="Times New Roman" w:cs="Times New Roman"/>
          <w:sz w:val="24"/>
          <w:szCs w:val="24"/>
          <w:vertAlign w:val="superscript"/>
        </w:rPr>
        <w:footnoteReference w:id="5"/>
      </w:r>
      <w:r w:rsidRPr="00256989">
        <w:rPr>
          <w:rFonts w:ascii="Times New Roman" w:eastAsia="Times New Roman" w:hAnsi="Times New Roman" w:cs="Times New Roman"/>
          <w:sz w:val="24"/>
          <w:szCs w:val="24"/>
          <w:lang w:val="fr-FR"/>
        </w:rPr>
        <w:t xml:space="preserve">. </w:t>
      </w:r>
      <w:r w:rsidR="00EB7A4D" w:rsidRPr="00256989">
        <w:rPr>
          <w:rFonts w:ascii="Times New Roman" w:eastAsia="Times New Roman" w:hAnsi="Times New Roman" w:cs="Times New Roman"/>
          <w:sz w:val="24"/>
          <w:szCs w:val="24"/>
          <w:lang w:val="fr-FR"/>
        </w:rPr>
        <w:t>Sa théorie du revenu permanent souligne l’importance des antic</w:t>
      </w:r>
      <w:r w:rsidR="009F36FD">
        <w:rPr>
          <w:rFonts w:ascii="Times New Roman" w:eastAsia="Times New Roman" w:hAnsi="Times New Roman" w:cs="Times New Roman"/>
          <w:sz w:val="24"/>
          <w:szCs w:val="24"/>
          <w:lang w:val="fr-FR"/>
        </w:rPr>
        <w:t>i</w:t>
      </w:r>
      <w:r w:rsidR="00EB7A4D" w:rsidRPr="00256989">
        <w:rPr>
          <w:rFonts w:ascii="Times New Roman" w:eastAsia="Times New Roman" w:hAnsi="Times New Roman" w:cs="Times New Roman"/>
          <w:sz w:val="24"/>
          <w:szCs w:val="24"/>
          <w:lang w:val="fr-FR"/>
        </w:rPr>
        <w:t xml:space="preserve">pations et du comportement à long terme des ménages, offrant une perspective différente sur l’impact des impôts sur la </w:t>
      </w:r>
      <w:r w:rsidR="00054E86" w:rsidRPr="00256989">
        <w:rPr>
          <w:rFonts w:ascii="Times New Roman" w:eastAsia="Times New Roman" w:hAnsi="Times New Roman" w:cs="Times New Roman"/>
          <w:sz w:val="24"/>
          <w:szCs w:val="24"/>
          <w:lang w:val="fr-FR"/>
        </w:rPr>
        <w:t>consommation.</w:t>
      </w:r>
      <w:r w:rsidR="005B2099" w:rsidRPr="00256989">
        <w:rPr>
          <w:rFonts w:ascii="Times New Roman" w:eastAsia="Times New Roman" w:hAnsi="Times New Roman" w:cs="Times New Roman"/>
          <w:sz w:val="24"/>
          <w:szCs w:val="24"/>
          <w:lang w:val="fr-FR"/>
        </w:rPr>
        <w:t xml:space="preserve"> </w:t>
      </w:r>
      <w:r w:rsidR="00054E86" w:rsidRPr="00256989">
        <w:rPr>
          <w:rFonts w:ascii="Times New Roman" w:eastAsia="Times New Roman" w:hAnsi="Times New Roman" w:cs="Times New Roman"/>
          <w:sz w:val="24"/>
          <w:szCs w:val="24"/>
          <w:lang w:val="fr-FR"/>
        </w:rPr>
        <w:t>Les implications de la théorie de Frie</w:t>
      </w:r>
      <w:r w:rsidR="006266EF">
        <w:rPr>
          <w:rFonts w:ascii="Times New Roman" w:eastAsia="Times New Roman" w:hAnsi="Times New Roman" w:cs="Times New Roman"/>
          <w:sz w:val="24"/>
          <w:szCs w:val="24"/>
          <w:lang w:val="fr-FR"/>
        </w:rPr>
        <w:t>d</w:t>
      </w:r>
      <w:r w:rsidR="00054E86" w:rsidRPr="00256989">
        <w:rPr>
          <w:rFonts w:ascii="Times New Roman" w:eastAsia="Times New Roman" w:hAnsi="Times New Roman" w:cs="Times New Roman"/>
          <w:sz w:val="24"/>
          <w:szCs w:val="24"/>
          <w:lang w:val="fr-FR"/>
        </w:rPr>
        <w:t>man suggèrent que les réductions d’impôts pourraient stimuler la consommation, mais cela dépend de la perception des ménages concernant leur revenu permanent.</w:t>
      </w:r>
      <w:r w:rsidR="005B2099" w:rsidRPr="00256989">
        <w:rPr>
          <w:rFonts w:ascii="Times New Roman" w:eastAsia="Times New Roman" w:hAnsi="Times New Roman" w:cs="Times New Roman"/>
          <w:sz w:val="24"/>
          <w:szCs w:val="24"/>
          <w:lang w:val="fr-FR"/>
        </w:rPr>
        <w:t xml:space="preserve"> </w:t>
      </w:r>
      <w:r w:rsidR="00054E86" w:rsidRPr="00256989">
        <w:rPr>
          <w:rFonts w:ascii="Times New Roman" w:eastAsia="Times New Roman" w:hAnsi="Times New Roman" w:cs="Times New Roman"/>
          <w:sz w:val="24"/>
          <w:szCs w:val="24"/>
          <w:lang w:val="fr-FR"/>
        </w:rPr>
        <w:t xml:space="preserve">Si les ménages estiment que ces réductions </w:t>
      </w:r>
      <w:r w:rsidR="002F3F40" w:rsidRPr="00256989">
        <w:rPr>
          <w:rFonts w:ascii="Times New Roman" w:eastAsia="Times New Roman" w:hAnsi="Times New Roman" w:cs="Times New Roman"/>
          <w:sz w:val="24"/>
          <w:szCs w:val="24"/>
          <w:lang w:val="fr-FR"/>
        </w:rPr>
        <w:t>s</w:t>
      </w:r>
      <w:r w:rsidR="00054E86" w:rsidRPr="00256989">
        <w:rPr>
          <w:rFonts w:ascii="Times New Roman" w:eastAsia="Times New Roman" w:hAnsi="Times New Roman" w:cs="Times New Roman"/>
          <w:sz w:val="24"/>
          <w:szCs w:val="24"/>
          <w:lang w:val="fr-FR"/>
        </w:rPr>
        <w:t xml:space="preserve">ont temporaires, l’effet sur la consommation pourrait être limité. </w:t>
      </w:r>
      <w:r w:rsidR="00845236" w:rsidRPr="00256989">
        <w:rPr>
          <w:rFonts w:ascii="Times New Roman" w:eastAsia="Times New Roman" w:hAnsi="Times New Roman" w:cs="Times New Roman"/>
          <w:sz w:val="24"/>
          <w:szCs w:val="24"/>
          <w:lang w:val="fr-FR"/>
        </w:rPr>
        <w:t xml:space="preserve"> Ainsi, il souligne que les politiques fiscales doivent tenir compte de ces dynamiques pour être efficaces</w:t>
      </w:r>
      <w:r w:rsidR="00201A63" w:rsidRPr="00256989">
        <w:rPr>
          <w:rFonts w:ascii="Times New Roman" w:eastAsia="Times New Roman" w:hAnsi="Times New Roman" w:cs="Times New Roman"/>
          <w:sz w:val="24"/>
          <w:szCs w:val="24"/>
          <w:lang w:val="fr-FR"/>
        </w:rPr>
        <w:t>.</w:t>
      </w:r>
      <w:r w:rsidR="00845236" w:rsidRPr="00256989">
        <w:rPr>
          <w:rFonts w:ascii="Times New Roman" w:eastAsia="Times New Roman" w:hAnsi="Times New Roman" w:cs="Times New Roman"/>
          <w:sz w:val="24"/>
          <w:szCs w:val="24"/>
          <w:lang w:val="fr-FR"/>
        </w:rPr>
        <w:t xml:space="preserve"> </w:t>
      </w:r>
      <w:r w:rsidR="00856048" w:rsidRPr="00256989">
        <w:rPr>
          <w:rFonts w:ascii="Times New Roman" w:eastAsia="Times New Roman" w:hAnsi="Times New Roman" w:cs="Times New Roman"/>
          <w:sz w:val="24"/>
          <w:szCs w:val="24"/>
          <w:lang w:val="fr-FR"/>
        </w:rPr>
        <w:t>Cela implique que même si les impôts affectent le revenu courant, les ménages ajustent leur consommation en fonction de ce qu’ils anticipent comme revenu à long terme</w:t>
      </w:r>
      <w:r w:rsidRPr="00256989">
        <w:rPr>
          <w:rFonts w:ascii="Times New Roman" w:eastAsia="Times New Roman" w:hAnsi="Times New Roman" w:cs="Times New Roman"/>
          <w:sz w:val="24"/>
          <w:szCs w:val="24"/>
          <w:lang w:val="fr-FR"/>
        </w:rPr>
        <w:t xml:space="preserve">. </w:t>
      </w:r>
      <w:r w:rsidR="002F3F40" w:rsidRPr="00256989">
        <w:rPr>
          <w:rFonts w:ascii="Times New Roman" w:eastAsia="Times New Roman" w:hAnsi="Times New Roman" w:cs="Times New Roman"/>
          <w:sz w:val="24"/>
          <w:szCs w:val="24"/>
          <w:lang w:val="fr-FR"/>
        </w:rPr>
        <w:t>Ainsi, pour</w:t>
      </w:r>
      <w:r w:rsidR="008F4BE3" w:rsidRPr="00256989">
        <w:rPr>
          <w:rFonts w:ascii="Times New Roman" w:eastAsia="Times New Roman" w:hAnsi="Times New Roman" w:cs="Times New Roman"/>
          <w:sz w:val="24"/>
          <w:szCs w:val="24"/>
          <w:lang w:val="fr-FR"/>
        </w:rPr>
        <w:t xml:space="preserve"> Friedman, une hausse des impôts peut </w:t>
      </w:r>
      <w:r w:rsidR="009F36FD" w:rsidRPr="009F36FD">
        <w:rPr>
          <w:rFonts w:ascii="Times New Roman" w:eastAsia="Times New Roman" w:hAnsi="Times New Roman" w:cs="Times New Roman"/>
          <w:sz w:val="24"/>
          <w:szCs w:val="24"/>
          <w:lang w:val="fr-FR"/>
        </w:rPr>
        <w:t>réduire</w:t>
      </w:r>
      <w:r w:rsidR="008F4BE3" w:rsidRPr="00256989">
        <w:rPr>
          <w:rFonts w:ascii="Times New Roman" w:eastAsia="Times New Roman" w:hAnsi="Times New Roman" w:cs="Times New Roman"/>
          <w:sz w:val="24"/>
          <w:szCs w:val="24"/>
          <w:lang w:val="fr-FR"/>
        </w:rPr>
        <w:t xml:space="preserve"> le revenu courant, mais les ménages, en tenant compte de leur revenu permanent, ne réduisent pas leur consommation de manière proportionnelle. Ils peuvent puiser dans leurs économies pour maintenir leur niveau de consommation. </w:t>
      </w:r>
      <w:r w:rsidRPr="00256989">
        <w:rPr>
          <w:rFonts w:ascii="Times New Roman" w:eastAsia="Times New Roman" w:hAnsi="Times New Roman" w:cs="Times New Roman"/>
          <w:sz w:val="24"/>
          <w:szCs w:val="24"/>
          <w:lang w:val="fr-FR"/>
        </w:rPr>
        <w:t>Cette théorie met l’accent sur le comportement de consommation à long terme plutôt qu’à court terme.</w:t>
      </w:r>
    </w:p>
    <w:p w14:paraId="2D6ACFD6" w14:textId="23D7C821"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lang w:val="fr-FR"/>
        </w:rPr>
        <w:t xml:space="preserve"> </w:t>
      </w:r>
      <w:r w:rsidRPr="00256989">
        <w:rPr>
          <w:rFonts w:ascii="Times New Roman" w:eastAsia="Times New Roman" w:hAnsi="Times New Roman" w:cs="Times New Roman"/>
          <w:sz w:val="24"/>
          <w:szCs w:val="24"/>
          <w:lang w:val="fr-FR"/>
        </w:rPr>
        <w:t xml:space="preserve">En plus de ces deux auteurs, </w:t>
      </w:r>
      <w:r w:rsidR="00842F81" w:rsidRPr="00256989">
        <w:rPr>
          <w:rFonts w:ascii="Times New Roman" w:eastAsia="Times New Roman" w:hAnsi="Times New Roman" w:cs="Times New Roman"/>
          <w:sz w:val="24"/>
          <w:szCs w:val="24"/>
          <w:lang w:val="fr-FR"/>
        </w:rPr>
        <w:t>Lucas</w:t>
      </w:r>
      <w:r w:rsidR="002C69ED" w:rsidRPr="00256989">
        <w:rPr>
          <w:rFonts w:ascii="Times New Roman" w:eastAsia="Times New Roman" w:hAnsi="Times New Roman" w:cs="Times New Roman"/>
          <w:sz w:val="24"/>
          <w:szCs w:val="24"/>
          <w:lang w:val="fr-FR"/>
        </w:rPr>
        <w:t xml:space="preserve"> (1976)</w:t>
      </w:r>
      <w:r w:rsidR="00173A39" w:rsidRPr="00256989">
        <w:rPr>
          <w:rFonts w:ascii="Times New Roman" w:eastAsia="Times New Roman" w:hAnsi="Times New Roman" w:cs="Times New Roman"/>
          <w:sz w:val="24"/>
          <w:szCs w:val="24"/>
          <w:lang w:val="fr-FR"/>
        </w:rPr>
        <w:t xml:space="preserve"> critique l’approche keynésienne qui se concentre sur la demande agrégée et souligne qu’à long terme, les facteurs réels tels que la productivité et le </w:t>
      </w:r>
      <w:r w:rsidR="00F27ABC" w:rsidRPr="00F27ABC">
        <w:rPr>
          <w:rFonts w:ascii="Times New Roman" w:eastAsia="Times New Roman" w:hAnsi="Times New Roman" w:cs="Times New Roman"/>
          <w:sz w:val="24"/>
          <w:szCs w:val="24"/>
          <w:lang w:val="fr-FR"/>
        </w:rPr>
        <w:t>progrès</w:t>
      </w:r>
      <w:r w:rsidR="00173A39" w:rsidRPr="00256989">
        <w:rPr>
          <w:rFonts w:ascii="Times New Roman" w:eastAsia="Times New Roman" w:hAnsi="Times New Roman" w:cs="Times New Roman"/>
          <w:sz w:val="24"/>
          <w:szCs w:val="24"/>
          <w:lang w:val="fr-FR"/>
        </w:rPr>
        <w:t xml:space="preserve"> technologique jouent un rôle crucial dans la </w:t>
      </w:r>
      <w:r w:rsidR="00F27ABC" w:rsidRPr="00F27ABC">
        <w:rPr>
          <w:rFonts w:ascii="Times New Roman" w:eastAsia="Times New Roman" w:hAnsi="Times New Roman" w:cs="Times New Roman"/>
          <w:sz w:val="24"/>
          <w:szCs w:val="24"/>
          <w:lang w:val="fr-FR"/>
        </w:rPr>
        <w:t>détermination</w:t>
      </w:r>
      <w:r w:rsidR="00173A39" w:rsidRPr="00256989">
        <w:rPr>
          <w:rFonts w:ascii="Times New Roman" w:eastAsia="Times New Roman" w:hAnsi="Times New Roman" w:cs="Times New Roman"/>
          <w:sz w:val="24"/>
          <w:szCs w:val="24"/>
          <w:lang w:val="fr-FR"/>
        </w:rPr>
        <w:t xml:space="preserve"> de la consommation.</w:t>
      </w:r>
      <w:r w:rsidR="00A36820" w:rsidRPr="00256989">
        <w:rPr>
          <w:rFonts w:ascii="Times New Roman" w:eastAsia="Times New Roman" w:hAnsi="Times New Roman" w:cs="Times New Roman"/>
          <w:sz w:val="24"/>
          <w:szCs w:val="24"/>
          <w:lang w:val="fr-FR"/>
        </w:rPr>
        <w:t xml:space="preserve"> Cependant,</w:t>
      </w:r>
      <w:r w:rsidR="00842F81" w:rsidRPr="00256989">
        <w:rPr>
          <w:rFonts w:ascii="Times New Roman" w:eastAsia="Times New Roman" w:hAnsi="Times New Roman" w:cs="Times New Roman"/>
          <w:sz w:val="24"/>
          <w:szCs w:val="24"/>
          <w:lang w:val="fr-FR"/>
        </w:rPr>
        <w:t xml:space="preserve"> </w:t>
      </w:r>
      <w:r w:rsidR="00A36820" w:rsidRPr="00256989">
        <w:rPr>
          <w:rFonts w:ascii="Times New Roman" w:eastAsia="Times New Roman" w:hAnsi="Times New Roman" w:cs="Times New Roman"/>
          <w:sz w:val="24"/>
          <w:szCs w:val="24"/>
          <w:lang w:val="fr-FR"/>
        </w:rPr>
        <w:t>l</w:t>
      </w:r>
      <w:r w:rsidR="000033DF" w:rsidRPr="00256989">
        <w:rPr>
          <w:rFonts w:ascii="Times New Roman" w:eastAsia="Times New Roman" w:hAnsi="Times New Roman" w:cs="Times New Roman"/>
          <w:sz w:val="24"/>
          <w:szCs w:val="24"/>
          <w:lang w:val="fr-FR"/>
        </w:rPr>
        <w:t xml:space="preserve">a relation entre impôt et consommation selon </w:t>
      </w:r>
      <w:r w:rsidR="00842F81" w:rsidRPr="00256989">
        <w:rPr>
          <w:rFonts w:ascii="Times New Roman" w:eastAsia="Times New Roman" w:hAnsi="Times New Roman" w:cs="Times New Roman"/>
          <w:sz w:val="24"/>
          <w:szCs w:val="24"/>
          <w:lang w:val="fr-FR"/>
        </w:rPr>
        <w:t>lui</w:t>
      </w:r>
      <w:r w:rsidR="000033DF" w:rsidRPr="00256989">
        <w:rPr>
          <w:rFonts w:ascii="Times New Roman" w:eastAsia="Times New Roman" w:hAnsi="Times New Roman" w:cs="Times New Roman"/>
          <w:sz w:val="24"/>
          <w:szCs w:val="24"/>
          <w:lang w:val="fr-FR"/>
        </w:rPr>
        <w:t xml:space="preserve"> s’inscrit dans son cadre plus large de la théorie des </w:t>
      </w:r>
      <w:r w:rsidR="000033DF" w:rsidRPr="00256989">
        <w:rPr>
          <w:rFonts w:ascii="Times New Roman" w:eastAsia="Times New Roman" w:hAnsi="Times New Roman" w:cs="Times New Roman"/>
          <w:sz w:val="24"/>
          <w:szCs w:val="24"/>
          <w:lang w:val="fr-FR"/>
        </w:rPr>
        <w:lastRenderedPageBreak/>
        <w:t>anticipations rationnelles</w:t>
      </w:r>
      <w:r w:rsidR="002C69ED" w:rsidRPr="00256989">
        <w:rPr>
          <w:rFonts w:ascii="Times New Roman" w:eastAsia="Times New Roman" w:hAnsi="Times New Roman" w:cs="Times New Roman"/>
          <w:sz w:val="24"/>
          <w:szCs w:val="24"/>
          <w:lang w:val="fr-FR"/>
        </w:rPr>
        <w:t xml:space="preserve"> et de l’économie néoclassique</w:t>
      </w:r>
      <w:r w:rsidR="000033DF" w:rsidRPr="00256989">
        <w:rPr>
          <w:rFonts w:ascii="Times New Roman" w:eastAsia="Times New Roman" w:hAnsi="Times New Roman" w:cs="Times New Roman"/>
          <w:sz w:val="24"/>
          <w:szCs w:val="24"/>
          <w:lang w:val="fr-FR"/>
        </w:rPr>
        <w:t>. Il soutient que les individus utilisent toute l’information disponible pour former leurs anticipations concernant l’avenir. Ainsi, lorsque le gouvernement modifie la fiscalité, les ménages ajustent leur consommation en fonction des attentes quant</w:t>
      </w:r>
      <w:r w:rsidR="00F27ABC">
        <w:rPr>
          <w:rFonts w:ascii="Times New Roman" w:eastAsia="Times New Roman" w:hAnsi="Times New Roman" w:cs="Times New Roman"/>
          <w:sz w:val="24"/>
          <w:szCs w:val="24"/>
          <w:lang w:val="fr-FR"/>
        </w:rPr>
        <w:t xml:space="preserve"> </w:t>
      </w:r>
      <w:r w:rsidR="000033DF" w:rsidRPr="00256989">
        <w:rPr>
          <w:rFonts w:ascii="Times New Roman" w:eastAsia="Times New Roman" w:hAnsi="Times New Roman" w:cs="Times New Roman"/>
          <w:sz w:val="24"/>
          <w:szCs w:val="24"/>
          <w:lang w:val="fr-FR"/>
        </w:rPr>
        <w:t>aux conséquences économiques futures.</w:t>
      </w:r>
      <w:r w:rsidR="0038470D" w:rsidRPr="00256989">
        <w:rPr>
          <w:rFonts w:ascii="Times New Roman" w:eastAsia="Times New Roman" w:hAnsi="Times New Roman" w:cs="Times New Roman"/>
          <w:sz w:val="24"/>
          <w:szCs w:val="24"/>
          <w:lang w:val="fr-FR"/>
        </w:rPr>
        <w:t xml:space="preserve"> En conséquence, les augmentations d’impôts ne conduisent pas nécessairement à une réduction immédiate de la consommation. Si les ménages anticipent que ces hausses d’impôts sont temporaires ou que les dépenses publiques vont générer des bénéfices à long terme, ils peuvent choisir de maintenir leur niveau de consommation.</w:t>
      </w:r>
    </w:p>
    <w:p w14:paraId="66B4A64F" w14:textId="16A7A62A" w:rsidR="00105E60" w:rsidRPr="00256989" w:rsidRDefault="000E06CD">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De plus, selon Barro (1974)</w:t>
      </w:r>
      <w:r w:rsidR="0054157D" w:rsidRPr="00256989">
        <w:rPr>
          <w:rFonts w:ascii="Times New Roman" w:eastAsia="Times New Roman" w:hAnsi="Times New Roman" w:cs="Times New Roman"/>
          <w:sz w:val="24"/>
          <w:szCs w:val="24"/>
          <w:lang w:val="fr-FR"/>
        </w:rPr>
        <w:t xml:space="preserve">, la relation entre l’impôt et la consommation s’articule autour de l’idée </w:t>
      </w:r>
      <w:r w:rsidR="008F23B7">
        <w:rPr>
          <w:rFonts w:ascii="Times New Roman" w:eastAsia="Times New Roman" w:hAnsi="Times New Roman" w:cs="Times New Roman"/>
          <w:sz w:val="24"/>
          <w:szCs w:val="24"/>
          <w:lang w:val="fr-FR"/>
        </w:rPr>
        <w:t xml:space="preserve">que </w:t>
      </w:r>
      <w:r w:rsidR="007E21F3">
        <w:rPr>
          <w:rFonts w:ascii="Times New Roman" w:eastAsia="Times New Roman" w:hAnsi="Times New Roman" w:cs="Times New Roman"/>
          <w:sz w:val="24"/>
          <w:szCs w:val="24"/>
          <w:lang w:val="fr-FR"/>
        </w:rPr>
        <w:t xml:space="preserve">les ménages anticipent </w:t>
      </w:r>
      <w:r w:rsidR="00C23CBC">
        <w:rPr>
          <w:rFonts w:ascii="Times New Roman" w:eastAsia="Times New Roman" w:hAnsi="Times New Roman" w:cs="Times New Roman"/>
          <w:sz w:val="24"/>
          <w:szCs w:val="24"/>
          <w:lang w:val="fr-FR"/>
        </w:rPr>
        <w:t>les hausses d’impôts futurs et ajustent leur comportement en conséquence</w:t>
      </w:r>
      <w:r w:rsidR="00D66D95">
        <w:rPr>
          <w:rFonts w:ascii="Times New Roman" w:eastAsia="Times New Roman" w:hAnsi="Times New Roman" w:cs="Times New Roman"/>
          <w:sz w:val="24"/>
          <w:szCs w:val="24"/>
          <w:lang w:val="fr-FR"/>
        </w:rPr>
        <w:t>. Son modèle , basé sur l’équivalence ricardienne</w:t>
      </w:r>
      <w:r w:rsidR="005D64A9">
        <w:rPr>
          <w:rFonts w:ascii="Times New Roman" w:eastAsia="Times New Roman" w:hAnsi="Times New Roman" w:cs="Times New Roman"/>
          <w:sz w:val="24"/>
          <w:szCs w:val="24"/>
          <w:lang w:val="fr-FR"/>
        </w:rPr>
        <w:t xml:space="preserve"> suggère que le mode de financement des dépenses publiques par l’impôt ou par l’endettement n’ a pas d’impact sur la consommatio</w:t>
      </w:r>
      <w:r w:rsidR="00D743A6">
        <w:rPr>
          <w:rFonts w:ascii="Times New Roman" w:eastAsia="Times New Roman" w:hAnsi="Times New Roman" w:cs="Times New Roman"/>
          <w:sz w:val="24"/>
          <w:szCs w:val="24"/>
          <w:lang w:val="fr-FR"/>
        </w:rPr>
        <w:t xml:space="preserve">n. Elle repose sur l’idée que les agents économiques anticipent rationnellement </w:t>
      </w:r>
      <w:r w:rsidR="00FC1F0E">
        <w:rPr>
          <w:rFonts w:ascii="Times New Roman" w:eastAsia="Times New Roman" w:hAnsi="Times New Roman" w:cs="Times New Roman"/>
          <w:sz w:val="24"/>
          <w:szCs w:val="24"/>
          <w:lang w:val="fr-FR"/>
        </w:rPr>
        <w:t>une hausse future des impôts lorsque l’ Etat s’endette</w:t>
      </w:r>
      <w:r w:rsidR="00A3138D">
        <w:rPr>
          <w:rFonts w:ascii="Times New Roman" w:eastAsia="Times New Roman" w:hAnsi="Times New Roman" w:cs="Times New Roman"/>
          <w:sz w:val="24"/>
          <w:szCs w:val="24"/>
          <w:lang w:val="fr-FR"/>
        </w:rPr>
        <w:t>, ce qui les pousse à épargner plutôt qu’à consommer.</w:t>
      </w:r>
      <w:r w:rsidR="0054157D" w:rsidRPr="00256989">
        <w:rPr>
          <w:rFonts w:ascii="Times New Roman" w:eastAsia="Times New Roman" w:hAnsi="Times New Roman" w:cs="Times New Roman"/>
          <w:sz w:val="24"/>
          <w:szCs w:val="24"/>
          <w:lang w:val="fr-FR"/>
        </w:rPr>
        <w:t xml:space="preserve"> Cela signifie que, sur le long terme, les modifications fiscales n’affectent pas la consommation globale.</w:t>
      </w:r>
      <w:r w:rsidR="007D1370" w:rsidRPr="00256989">
        <w:rPr>
          <w:rFonts w:ascii="Times New Roman" w:eastAsia="Times New Roman" w:hAnsi="Times New Roman" w:cs="Times New Roman"/>
          <w:sz w:val="24"/>
          <w:szCs w:val="24"/>
          <w:lang w:val="fr-FR"/>
        </w:rPr>
        <w:t xml:space="preserve"> En effet, les ménages, en tenant compte des obligations fiscales futures, peuvent choisir d’épargner davantage lorsque des impôts augmentent, dans le but de se </w:t>
      </w:r>
      <w:r w:rsidR="00F27ABC" w:rsidRPr="00F27ABC">
        <w:rPr>
          <w:rFonts w:ascii="Times New Roman" w:eastAsia="Times New Roman" w:hAnsi="Times New Roman" w:cs="Times New Roman"/>
          <w:sz w:val="24"/>
          <w:szCs w:val="24"/>
          <w:lang w:val="fr-FR"/>
        </w:rPr>
        <w:t>préparer</w:t>
      </w:r>
      <w:r w:rsidR="007D1370" w:rsidRPr="00256989">
        <w:rPr>
          <w:rFonts w:ascii="Times New Roman" w:eastAsia="Times New Roman" w:hAnsi="Times New Roman" w:cs="Times New Roman"/>
          <w:sz w:val="24"/>
          <w:szCs w:val="24"/>
          <w:lang w:val="fr-FR"/>
        </w:rPr>
        <w:t xml:space="preserve"> à des charges futures. Dans ce cas, même si le revenu courant diminue à cause des impôts, la consommation ne baisse pas nécessairement de manière proportionnelle, car les ménages anticipent un revenu net à long terme.</w:t>
      </w:r>
      <w:r w:rsidR="007C469E" w:rsidRPr="00256989">
        <w:rPr>
          <w:rFonts w:ascii="Times New Roman" w:eastAsia="Times New Roman" w:hAnsi="Times New Roman" w:cs="Times New Roman"/>
          <w:sz w:val="24"/>
          <w:szCs w:val="24"/>
          <w:lang w:val="fr-FR"/>
        </w:rPr>
        <w:t xml:space="preserve"> En conclusion, l’approche de Barro suggère que les politiques fiscales doivent être conçues avec soin, car les effets anticipés des changements fiscaux peuvent </w:t>
      </w:r>
      <w:r w:rsidR="00F27ABC" w:rsidRPr="00F27ABC">
        <w:rPr>
          <w:rFonts w:ascii="Times New Roman" w:eastAsia="Times New Roman" w:hAnsi="Times New Roman" w:cs="Times New Roman"/>
          <w:sz w:val="24"/>
          <w:szCs w:val="24"/>
          <w:lang w:val="fr-FR"/>
        </w:rPr>
        <w:t>neutraliser</w:t>
      </w:r>
      <w:r w:rsidR="007C469E" w:rsidRPr="00256989">
        <w:rPr>
          <w:rFonts w:ascii="Times New Roman" w:eastAsia="Times New Roman" w:hAnsi="Times New Roman" w:cs="Times New Roman"/>
          <w:sz w:val="24"/>
          <w:szCs w:val="24"/>
          <w:lang w:val="fr-FR"/>
        </w:rPr>
        <w:t xml:space="preserve"> leurs impacts sur la consommation.</w:t>
      </w:r>
      <w:r w:rsidR="00105E60" w:rsidRPr="00256989">
        <w:rPr>
          <w:rFonts w:ascii="Times New Roman" w:eastAsia="Times New Roman" w:hAnsi="Times New Roman" w:cs="Times New Roman"/>
          <w:sz w:val="24"/>
          <w:szCs w:val="24"/>
          <w:lang w:val="fr-FR"/>
        </w:rPr>
        <w:t xml:space="preserve"> Cependant, bien que cette théorie soit influente, elle a fait l’objet de critique par certains économistes qui soulign</w:t>
      </w:r>
      <w:r w:rsidR="00F27ABC">
        <w:rPr>
          <w:rFonts w:ascii="Times New Roman" w:eastAsia="Times New Roman" w:hAnsi="Times New Roman" w:cs="Times New Roman"/>
          <w:sz w:val="24"/>
          <w:szCs w:val="24"/>
          <w:lang w:val="fr-FR"/>
        </w:rPr>
        <w:t>e</w:t>
      </w:r>
      <w:r w:rsidR="00105E60" w:rsidRPr="00256989">
        <w:rPr>
          <w:rFonts w:ascii="Times New Roman" w:eastAsia="Times New Roman" w:hAnsi="Times New Roman" w:cs="Times New Roman"/>
          <w:sz w:val="24"/>
          <w:szCs w:val="24"/>
          <w:lang w:val="fr-FR"/>
        </w:rPr>
        <w:t>nt que tous les ménages ne sont pas rationnels ou ne disposent pas d’une information parfait</w:t>
      </w:r>
      <w:r w:rsidR="00F27ABC">
        <w:rPr>
          <w:rFonts w:ascii="Times New Roman" w:eastAsia="Times New Roman" w:hAnsi="Times New Roman" w:cs="Times New Roman"/>
          <w:sz w:val="24"/>
          <w:szCs w:val="24"/>
          <w:lang w:val="fr-FR"/>
        </w:rPr>
        <w:t>e</w:t>
      </w:r>
      <w:r w:rsidR="00105E60" w:rsidRPr="00256989">
        <w:rPr>
          <w:rFonts w:ascii="Times New Roman" w:eastAsia="Times New Roman" w:hAnsi="Times New Roman" w:cs="Times New Roman"/>
          <w:sz w:val="24"/>
          <w:szCs w:val="24"/>
          <w:lang w:val="fr-FR"/>
        </w:rPr>
        <w:t>, ce qui peut mener à des comportements de consommation différents de ceux prédits par la théorie.</w:t>
      </w:r>
    </w:p>
    <w:p w14:paraId="7E481628" w14:textId="7A3735D1" w:rsidR="00D87814" w:rsidRPr="00256989" w:rsidRDefault="00D87814">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En conséquence du débat théorique ci-dessus, </w:t>
      </w:r>
      <w:r w:rsidR="00F27ABC">
        <w:rPr>
          <w:rFonts w:ascii="Times New Roman" w:eastAsia="Times New Roman" w:hAnsi="Times New Roman" w:cs="Times New Roman"/>
          <w:sz w:val="24"/>
          <w:szCs w:val="24"/>
          <w:lang w:val="fr-FR"/>
        </w:rPr>
        <w:t>nous pouvons retenir qu’</w:t>
      </w:r>
      <w:r w:rsidRPr="00256989">
        <w:rPr>
          <w:rFonts w:ascii="Times New Roman" w:eastAsia="Times New Roman" w:hAnsi="Times New Roman" w:cs="Times New Roman"/>
          <w:sz w:val="24"/>
          <w:szCs w:val="24"/>
          <w:lang w:val="fr-FR"/>
        </w:rPr>
        <w:t xml:space="preserve">il existe une vaste littérature empirique ayant pour objectif d’analyser la relation entre </w:t>
      </w:r>
      <w:r w:rsidR="00B454BB">
        <w:rPr>
          <w:rFonts w:ascii="Times New Roman" w:eastAsia="Times New Roman" w:hAnsi="Times New Roman" w:cs="Times New Roman"/>
          <w:sz w:val="24"/>
          <w:szCs w:val="24"/>
          <w:lang w:val="fr-FR"/>
        </w:rPr>
        <w:t>la structure fiscale</w:t>
      </w:r>
      <w:r w:rsidRPr="00256989">
        <w:rPr>
          <w:rFonts w:ascii="Times New Roman" w:eastAsia="Times New Roman" w:hAnsi="Times New Roman" w:cs="Times New Roman"/>
          <w:sz w:val="24"/>
          <w:szCs w:val="24"/>
          <w:lang w:val="fr-FR"/>
        </w:rPr>
        <w:t xml:space="preserve"> et la consommation des ménages.</w:t>
      </w:r>
    </w:p>
    <w:p w14:paraId="17376C23" w14:textId="1AA0C6F0"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b/>
          <w:sz w:val="24"/>
          <w:szCs w:val="24"/>
          <w:lang w:val="fr-FR"/>
        </w:rPr>
        <w:t xml:space="preserve">I.2 Approche empirique de la relation entre la structure </w:t>
      </w:r>
      <w:r w:rsidR="00B454BB">
        <w:rPr>
          <w:rFonts w:ascii="Times New Roman" w:eastAsia="Times New Roman" w:hAnsi="Times New Roman" w:cs="Times New Roman"/>
          <w:b/>
          <w:sz w:val="24"/>
          <w:szCs w:val="24"/>
          <w:lang w:val="fr-FR"/>
        </w:rPr>
        <w:t>fiscale</w:t>
      </w:r>
      <w:r w:rsidRPr="00256989">
        <w:rPr>
          <w:rFonts w:ascii="Times New Roman" w:eastAsia="Times New Roman" w:hAnsi="Times New Roman" w:cs="Times New Roman"/>
          <w:b/>
          <w:sz w:val="24"/>
          <w:szCs w:val="24"/>
          <w:lang w:val="fr-FR"/>
        </w:rPr>
        <w:t xml:space="preserve"> et les dépenses de consommation des ménages.</w:t>
      </w:r>
    </w:p>
    <w:p w14:paraId="2D552CB0" w14:textId="042BE28E" w:rsidR="00A94769"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 xml:space="preserve">Plusieurs </w:t>
      </w:r>
      <w:r w:rsidR="00D576F8" w:rsidRPr="00256989">
        <w:rPr>
          <w:rFonts w:ascii="Times New Roman" w:eastAsia="Times New Roman" w:hAnsi="Times New Roman" w:cs="Times New Roman"/>
          <w:sz w:val="24"/>
          <w:szCs w:val="24"/>
          <w:lang w:val="fr-FR"/>
        </w:rPr>
        <w:t>travaux empiriques</w:t>
      </w:r>
      <w:r w:rsidRPr="00256989">
        <w:rPr>
          <w:rFonts w:ascii="Times New Roman" w:eastAsia="Times New Roman" w:hAnsi="Times New Roman" w:cs="Times New Roman"/>
          <w:sz w:val="24"/>
          <w:szCs w:val="24"/>
          <w:lang w:val="fr-FR"/>
        </w:rPr>
        <w:t xml:space="preserve"> ont </w:t>
      </w:r>
      <w:r w:rsidR="00D576F8" w:rsidRPr="00256989">
        <w:rPr>
          <w:rFonts w:ascii="Times New Roman" w:eastAsia="Times New Roman" w:hAnsi="Times New Roman" w:cs="Times New Roman"/>
          <w:sz w:val="24"/>
          <w:szCs w:val="24"/>
          <w:lang w:val="fr-FR"/>
        </w:rPr>
        <w:t>porté sur</w:t>
      </w:r>
      <w:r w:rsidRPr="00256989">
        <w:rPr>
          <w:rFonts w:ascii="Times New Roman" w:eastAsia="Times New Roman" w:hAnsi="Times New Roman" w:cs="Times New Roman"/>
          <w:sz w:val="24"/>
          <w:szCs w:val="24"/>
          <w:lang w:val="fr-FR"/>
        </w:rPr>
        <w:t xml:space="preserve"> la relation entre l</w:t>
      </w:r>
      <w:r w:rsidR="00B454BB">
        <w:rPr>
          <w:rFonts w:ascii="Times New Roman" w:eastAsia="Times New Roman" w:hAnsi="Times New Roman" w:cs="Times New Roman"/>
          <w:sz w:val="24"/>
          <w:szCs w:val="24"/>
          <w:lang w:val="fr-FR"/>
        </w:rPr>
        <w:t>’impôt</w:t>
      </w:r>
      <w:r w:rsidRPr="00256989">
        <w:rPr>
          <w:rFonts w:ascii="Times New Roman" w:eastAsia="Times New Roman" w:hAnsi="Times New Roman" w:cs="Times New Roman"/>
          <w:sz w:val="24"/>
          <w:szCs w:val="24"/>
          <w:lang w:val="fr-FR"/>
        </w:rPr>
        <w:t xml:space="preserve"> et les dépenses de consommation des ménages. Les différents résultats trouvés sont mitigés.</w:t>
      </w:r>
      <w:r w:rsidR="00A94769" w:rsidRPr="00256989">
        <w:rPr>
          <w:rFonts w:ascii="Times New Roman" w:eastAsia="Times New Roman" w:hAnsi="Times New Roman" w:cs="Times New Roman"/>
          <w:sz w:val="24"/>
          <w:szCs w:val="24"/>
          <w:lang w:val="fr-FR"/>
        </w:rPr>
        <w:t xml:space="preserve"> L’objectif de cette partie est d’examiner les conclusions auxquelles sont parvenus divers chercheurs ainsi que leurs contributions à la recherche concern</w:t>
      </w:r>
      <w:r w:rsidR="0077785A">
        <w:rPr>
          <w:rFonts w:ascii="Times New Roman" w:eastAsia="Times New Roman" w:hAnsi="Times New Roman" w:cs="Times New Roman"/>
          <w:sz w:val="24"/>
          <w:szCs w:val="24"/>
          <w:lang w:val="fr-FR"/>
        </w:rPr>
        <w:t>ée</w:t>
      </w:r>
      <w:r w:rsidR="00A94769" w:rsidRPr="00256989">
        <w:rPr>
          <w:rFonts w:ascii="Times New Roman" w:eastAsia="Times New Roman" w:hAnsi="Times New Roman" w:cs="Times New Roman"/>
          <w:sz w:val="24"/>
          <w:szCs w:val="24"/>
          <w:lang w:val="fr-FR"/>
        </w:rPr>
        <w:t>.</w:t>
      </w:r>
    </w:p>
    <w:p w14:paraId="52DEE9D1" w14:textId="77777777" w:rsidR="005E4276" w:rsidRPr="00256989" w:rsidRDefault="006D388F">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lang w:val="fr-FR"/>
        </w:rPr>
      </w:pPr>
      <w:bookmarkStart w:id="1" w:name="_Hlk199943222"/>
      <w:r w:rsidRPr="00256989">
        <w:rPr>
          <w:rFonts w:ascii="Times New Roman" w:eastAsia="Times New Roman" w:hAnsi="Times New Roman" w:cs="Times New Roman"/>
          <w:b/>
          <w:color w:val="000000"/>
          <w:sz w:val="24"/>
          <w:szCs w:val="24"/>
          <w:lang w:val="fr-FR"/>
        </w:rPr>
        <w:t>La relation négative entre la structure fiscale et les dépenses de consommation des ménages.</w:t>
      </w:r>
    </w:p>
    <w:p w14:paraId="4CBCE718" w14:textId="039CF081" w:rsidR="005E4276" w:rsidRPr="00256989" w:rsidRDefault="006D388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Bodart et al (2008)</w:t>
      </w:r>
      <w:r w:rsidRPr="00256989">
        <w:rPr>
          <w:rFonts w:ascii="Times New Roman" w:eastAsia="Times New Roman" w:hAnsi="Times New Roman" w:cs="Times New Roman"/>
          <w:color w:val="1F1F1F"/>
          <w:sz w:val="24"/>
          <w:szCs w:val="24"/>
          <w:highlight w:val="white"/>
          <w:lang w:val="fr-FR"/>
        </w:rPr>
        <w:t xml:space="preserve"> ont analysé la relation entre </w:t>
      </w:r>
      <w:r w:rsidR="00F60684" w:rsidRPr="00256989">
        <w:rPr>
          <w:rFonts w:ascii="Times New Roman" w:eastAsia="Times New Roman" w:hAnsi="Times New Roman" w:cs="Times New Roman"/>
          <w:color w:val="1F1F1F"/>
          <w:sz w:val="24"/>
          <w:szCs w:val="24"/>
          <w:highlight w:val="white"/>
          <w:lang w:val="fr-FR"/>
        </w:rPr>
        <w:t>le</w:t>
      </w:r>
      <w:r w:rsidRPr="00256989">
        <w:rPr>
          <w:rFonts w:ascii="Times New Roman" w:eastAsia="Times New Roman" w:hAnsi="Times New Roman" w:cs="Times New Roman"/>
          <w:color w:val="1F1F1F"/>
          <w:sz w:val="24"/>
          <w:szCs w:val="24"/>
          <w:highlight w:val="white"/>
          <w:lang w:val="fr-FR"/>
        </w:rPr>
        <w:t xml:space="preserve"> taux d’imposition et les dépenses de consommation des ménages en Belgique.</w:t>
      </w:r>
      <w:r w:rsidRPr="00256989">
        <w:rPr>
          <w:rFonts w:ascii="Times New Roman" w:eastAsia="Times New Roman" w:hAnsi="Times New Roman" w:cs="Times New Roman"/>
          <w:color w:val="000000"/>
          <w:sz w:val="24"/>
          <w:szCs w:val="24"/>
          <w:lang w:val="fr-FR"/>
        </w:rPr>
        <w:t xml:space="preserve"> En utilisant des données trimestrielles qui couvrent la période allant du </w:t>
      </w:r>
      <w:r w:rsidR="0077785A">
        <w:rPr>
          <w:rFonts w:ascii="Times New Roman" w:eastAsia="Times New Roman" w:hAnsi="Times New Roman" w:cs="Times New Roman"/>
          <w:color w:val="000000"/>
          <w:sz w:val="24"/>
          <w:szCs w:val="24"/>
          <w:lang w:val="fr-FR"/>
        </w:rPr>
        <w:t>premier</w:t>
      </w:r>
      <w:r w:rsidRPr="00256989">
        <w:rPr>
          <w:rFonts w:ascii="Times New Roman" w:eastAsia="Times New Roman" w:hAnsi="Times New Roman" w:cs="Times New Roman"/>
          <w:color w:val="000000"/>
          <w:sz w:val="24"/>
          <w:szCs w:val="24"/>
          <w:lang w:val="fr-FR"/>
        </w:rPr>
        <w:t xml:space="preserve"> trimestre 1980 au </w:t>
      </w:r>
      <w:r w:rsidR="0077785A">
        <w:rPr>
          <w:rFonts w:ascii="Times New Roman" w:eastAsia="Times New Roman" w:hAnsi="Times New Roman" w:cs="Times New Roman"/>
          <w:color w:val="000000"/>
          <w:sz w:val="24"/>
          <w:szCs w:val="24"/>
          <w:lang w:val="fr-FR"/>
        </w:rPr>
        <w:t>quatrième</w:t>
      </w:r>
      <w:r w:rsidRPr="00256989">
        <w:rPr>
          <w:rFonts w:ascii="Times New Roman" w:eastAsia="Times New Roman" w:hAnsi="Times New Roman" w:cs="Times New Roman"/>
          <w:color w:val="000000"/>
          <w:sz w:val="24"/>
          <w:szCs w:val="24"/>
          <w:lang w:val="fr-FR"/>
        </w:rPr>
        <w:t xml:space="preserve"> trimestre 2007 et se basant sur le modèle à correction d’erreur, les auteurs ont conclu que </w:t>
      </w:r>
      <w:r w:rsidR="00844616" w:rsidRPr="00256989">
        <w:rPr>
          <w:rFonts w:ascii="Times New Roman" w:eastAsia="Times New Roman" w:hAnsi="Times New Roman" w:cs="Times New Roman"/>
          <w:color w:val="000000"/>
          <w:sz w:val="24"/>
          <w:szCs w:val="24"/>
          <w:lang w:val="fr-FR"/>
        </w:rPr>
        <w:t>la réduction du taux moyen entraine une diminution des dépenses de consommation des ménages sur l’ensemble de la période.</w:t>
      </w:r>
      <w:r w:rsidR="00E72EC8" w:rsidRPr="00256989">
        <w:rPr>
          <w:rFonts w:ascii="Times New Roman" w:eastAsia="Times New Roman" w:hAnsi="Times New Roman" w:cs="Times New Roman"/>
          <w:color w:val="000000"/>
          <w:sz w:val="24"/>
          <w:szCs w:val="24"/>
          <w:lang w:val="fr-FR"/>
        </w:rPr>
        <w:t xml:space="preserve"> M</w:t>
      </w:r>
      <w:r w:rsidRPr="00256989">
        <w:rPr>
          <w:rFonts w:ascii="Times New Roman" w:eastAsia="Times New Roman" w:hAnsi="Times New Roman" w:cs="Times New Roman"/>
          <w:color w:val="000000"/>
          <w:sz w:val="24"/>
          <w:szCs w:val="24"/>
          <w:lang w:val="fr-FR"/>
        </w:rPr>
        <w:t>ais</w:t>
      </w:r>
      <w:r w:rsidR="00E72EC8"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on constate que l’</w:t>
      </w:r>
      <w:r w:rsidR="00844616" w:rsidRPr="00256989">
        <w:rPr>
          <w:rFonts w:ascii="Times New Roman" w:eastAsia="Times New Roman" w:hAnsi="Times New Roman" w:cs="Times New Roman"/>
          <w:color w:val="000000"/>
          <w:sz w:val="24"/>
          <w:szCs w:val="24"/>
          <w:lang w:val="fr-FR"/>
        </w:rPr>
        <w:t>effet de la variation de la taxe</w:t>
      </w:r>
      <w:r w:rsidRPr="00256989">
        <w:rPr>
          <w:rFonts w:ascii="Times New Roman" w:eastAsia="Times New Roman" w:hAnsi="Times New Roman" w:cs="Times New Roman"/>
          <w:color w:val="000000"/>
          <w:sz w:val="24"/>
          <w:szCs w:val="24"/>
          <w:lang w:val="fr-FR"/>
        </w:rPr>
        <w:t xml:space="preserve"> est légèrement moins important après 1998 et il est par ailleurs seulement temporaire durant cette période. Cela signifie qu’une baisse du taux implicite de taxation entraîne une hausse permanente du niveau de la consommation avant 1998 tandis qu’elle induit une hausse temporaire de la consommation annuelle totale après 1998.</w:t>
      </w:r>
      <w:r w:rsidR="00E45C3E" w:rsidRPr="00256989">
        <w:rPr>
          <w:rFonts w:ascii="Times New Roman" w:eastAsia="Times New Roman" w:hAnsi="Times New Roman" w:cs="Times New Roman"/>
          <w:color w:val="000000"/>
          <w:sz w:val="24"/>
          <w:szCs w:val="24"/>
          <w:lang w:val="fr-FR"/>
        </w:rPr>
        <w:t xml:space="preserve"> En outre, Shapiro et Slemrod (2003) ont exploré l’impact des impôts sur les dépenses de consommation des ménages américains. En se basant sur les enquêtes de consommation, les auteurs ont conclu que 21,8% des répondants qui ont reçu des remises déclarent qu’ils </w:t>
      </w:r>
      <w:r w:rsidR="00E45C3E" w:rsidRPr="00256989">
        <w:rPr>
          <w:rFonts w:ascii="Times New Roman" w:eastAsia="Times New Roman" w:hAnsi="Times New Roman" w:cs="Times New Roman"/>
          <w:sz w:val="24"/>
          <w:szCs w:val="24"/>
          <w:lang w:val="fr-FR"/>
        </w:rPr>
        <w:t>dépensent</w:t>
      </w:r>
      <w:r w:rsidR="00E45C3E" w:rsidRPr="00256989">
        <w:rPr>
          <w:rFonts w:ascii="Times New Roman" w:eastAsia="Times New Roman" w:hAnsi="Times New Roman" w:cs="Times New Roman"/>
          <w:color w:val="000000"/>
          <w:sz w:val="24"/>
          <w:szCs w:val="24"/>
          <w:lang w:val="fr-FR"/>
        </w:rPr>
        <w:t xml:space="preserve"> leur remise. Cela signifie qu’une réduction des taux d’imposition entraîne une augmentation des dépenses de consommation. Ces différents travaux ont </w:t>
      </w:r>
      <w:r w:rsidR="0077785A" w:rsidRPr="0077785A">
        <w:rPr>
          <w:rFonts w:ascii="Times New Roman" w:eastAsia="Times New Roman" w:hAnsi="Times New Roman" w:cs="Times New Roman"/>
          <w:color w:val="000000"/>
          <w:sz w:val="24"/>
          <w:szCs w:val="24"/>
          <w:lang w:val="fr-FR"/>
        </w:rPr>
        <w:t>utilisé</w:t>
      </w:r>
      <w:r w:rsidR="00E45C3E" w:rsidRPr="00256989">
        <w:rPr>
          <w:rFonts w:ascii="Times New Roman" w:eastAsia="Times New Roman" w:hAnsi="Times New Roman" w:cs="Times New Roman"/>
          <w:color w:val="000000"/>
          <w:sz w:val="24"/>
          <w:szCs w:val="24"/>
          <w:lang w:val="fr-FR"/>
        </w:rPr>
        <w:t xml:space="preserve"> des taux qui ont subi des reformes durant la période étudiée alors que cette présente recherche utilise un taux effectif en pourcentage des dépenses de consommation.</w:t>
      </w:r>
    </w:p>
    <w:p w14:paraId="05FA5A57" w14:textId="79F9376A" w:rsidR="005E4276" w:rsidRPr="00256989" w:rsidRDefault="00E72EC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Pour le</w:t>
      </w:r>
      <w:r w:rsidR="0077785A">
        <w:rPr>
          <w:rFonts w:ascii="Times New Roman" w:eastAsia="Times New Roman" w:hAnsi="Times New Roman" w:cs="Times New Roman"/>
          <w:color w:val="000000"/>
          <w:sz w:val="24"/>
          <w:szCs w:val="24"/>
          <w:lang w:val="fr-FR"/>
        </w:rPr>
        <w:t>ur</w:t>
      </w:r>
      <w:r w:rsidRPr="00256989">
        <w:rPr>
          <w:rFonts w:ascii="Times New Roman" w:eastAsia="Times New Roman" w:hAnsi="Times New Roman" w:cs="Times New Roman"/>
          <w:color w:val="000000"/>
          <w:sz w:val="24"/>
          <w:szCs w:val="24"/>
          <w:lang w:val="fr-FR"/>
        </w:rPr>
        <w:t xml:space="preserve"> part, </w:t>
      </w:r>
      <w:r w:rsidR="006D388F" w:rsidRPr="00256989">
        <w:rPr>
          <w:rFonts w:ascii="Times New Roman" w:eastAsia="Times New Roman" w:hAnsi="Times New Roman" w:cs="Times New Roman"/>
          <w:color w:val="000000"/>
          <w:sz w:val="24"/>
          <w:szCs w:val="24"/>
          <w:lang w:val="fr-FR"/>
        </w:rPr>
        <w:t>Johnson et al (2006) ont e</w:t>
      </w:r>
      <w:r w:rsidRPr="00256989">
        <w:rPr>
          <w:rFonts w:ascii="Times New Roman" w:eastAsia="Times New Roman" w:hAnsi="Times New Roman" w:cs="Times New Roman"/>
          <w:color w:val="000000"/>
          <w:sz w:val="24"/>
          <w:szCs w:val="24"/>
          <w:lang w:val="fr-FR"/>
        </w:rPr>
        <w:t>xaminé</w:t>
      </w:r>
      <w:r w:rsidR="006D388F" w:rsidRPr="00256989">
        <w:rPr>
          <w:rFonts w:ascii="Times New Roman" w:eastAsia="Times New Roman" w:hAnsi="Times New Roman" w:cs="Times New Roman"/>
          <w:color w:val="000000"/>
          <w:sz w:val="24"/>
          <w:szCs w:val="24"/>
          <w:lang w:val="fr-FR"/>
        </w:rPr>
        <w:t xml:space="preserve"> la relation entre les dépenses de consommations des ménages américains et la réduction des taux d’impositions sur le revenu de 2001. En se basant sur les enquêtes portant sur les dépenses de consommation et un modèle d’équilibre calculable, les auteurs ont montré que les réductions d’impôts de 2001 ont stimulé les dépenses de consommation. Ils affirment également que les réponses des dépenses à la réduction d’impôts peuvent différer selon le temps et les circonstances.</w:t>
      </w:r>
    </w:p>
    <w:p w14:paraId="70686E2E" w14:textId="2F75BDF4" w:rsidR="005E4276" w:rsidRPr="00256989" w:rsidRDefault="006D388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Kaya et </w:t>
      </w:r>
      <w:r w:rsidR="009F63D5" w:rsidRPr="00256989">
        <w:rPr>
          <w:rFonts w:ascii="Times New Roman" w:eastAsia="Times New Roman" w:hAnsi="Times New Roman" w:cs="Times New Roman"/>
          <w:color w:val="000000"/>
          <w:sz w:val="24"/>
          <w:szCs w:val="24"/>
          <w:lang w:val="fr-FR"/>
        </w:rPr>
        <w:t>S</w:t>
      </w:r>
      <w:r w:rsidRPr="00256989">
        <w:rPr>
          <w:rFonts w:ascii="Times New Roman" w:eastAsia="Times New Roman" w:hAnsi="Times New Roman" w:cs="Times New Roman"/>
          <w:color w:val="000000"/>
          <w:sz w:val="24"/>
          <w:szCs w:val="24"/>
          <w:lang w:val="fr-FR"/>
        </w:rPr>
        <w:t xml:space="preserve">en (2015) ont </w:t>
      </w:r>
      <w:r w:rsidR="009F63D5" w:rsidRPr="00256989">
        <w:rPr>
          <w:rFonts w:ascii="Times New Roman" w:eastAsia="Times New Roman" w:hAnsi="Times New Roman" w:cs="Times New Roman"/>
          <w:color w:val="000000"/>
          <w:sz w:val="24"/>
          <w:szCs w:val="24"/>
          <w:lang w:val="fr-FR"/>
        </w:rPr>
        <w:t xml:space="preserve">étudié </w:t>
      </w:r>
      <w:r w:rsidRPr="00256989">
        <w:rPr>
          <w:rFonts w:ascii="Times New Roman" w:eastAsia="Times New Roman" w:hAnsi="Times New Roman" w:cs="Times New Roman"/>
          <w:color w:val="000000"/>
          <w:sz w:val="24"/>
          <w:szCs w:val="24"/>
          <w:lang w:val="fr-FR"/>
        </w:rPr>
        <w:t xml:space="preserve">l’effet de court terme et long terme des chocs fiscaux sur les dépenses de consommations des ménages en Turquie </w:t>
      </w:r>
      <w:r w:rsidR="0077785A">
        <w:rPr>
          <w:rFonts w:ascii="Times New Roman" w:eastAsia="Times New Roman" w:hAnsi="Times New Roman" w:cs="Times New Roman"/>
          <w:color w:val="000000"/>
          <w:sz w:val="24"/>
          <w:szCs w:val="24"/>
          <w:lang w:val="fr-FR"/>
        </w:rPr>
        <w:t>en</w:t>
      </w:r>
      <w:r w:rsidR="0077785A"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 xml:space="preserve">utilisant les différentes composantes des dépenses de consommations des ménages à savoir l’alimentation, l’éducation, le transport et autres biens sur la période de 2003 à 2013 de façon </w:t>
      </w:r>
      <w:r w:rsidR="00391FB9" w:rsidRPr="00256989">
        <w:rPr>
          <w:rFonts w:ascii="Times New Roman" w:eastAsia="Times New Roman" w:hAnsi="Times New Roman" w:cs="Times New Roman"/>
          <w:color w:val="000000"/>
          <w:sz w:val="24"/>
          <w:szCs w:val="24"/>
          <w:lang w:val="fr-FR"/>
        </w:rPr>
        <w:t>trimestrielle. L</w:t>
      </w:r>
      <w:r w:rsidRPr="00256989">
        <w:rPr>
          <w:rFonts w:ascii="Times New Roman" w:eastAsia="Times New Roman" w:hAnsi="Times New Roman" w:cs="Times New Roman"/>
          <w:color w:val="000000"/>
          <w:sz w:val="24"/>
          <w:szCs w:val="24"/>
          <w:lang w:val="fr-FR"/>
        </w:rPr>
        <w:t xml:space="preserve">es auteurs concluent que les résultats </w:t>
      </w:r>
      <w:r w:rsidRPr="00256989">
        <w:rPr>
          <w:rFonts w:ascii="Times New Roman" w:eastAsia="Times New Roman" w:hAnsi="Times New Roman" w:cs="Times New Roman"/>
          <w:color w:val="000000"/>
          <w:sz w:val="24"/>
          <w:szCs w:val="24"/>
          <w:lang w:val="fr-FR"/>
        </w:rPr>
        <w:lastRenderedPageBreak/>
        <w:t xml:space="preserve">diffèrent </w:t>
      </w:r>
      <w:r w:rsidR="0077785A">
        <w:rPr>
          <w:rFonts w:ascii="Times New Roman" w:eastAsia="Times New Roman" w:hAnsi="Times New Roman" w:cs="Times New Roman"/>
          <w:color w:val="000000"/>
          <w:sz w:val="24"/>
          <w:szCs w:val="24"/>
          <w:lang w:val="fr-FR"/>
        </w:rPr>
        <w:t>selon qu’il s’agisse du</w:t>
      </w:r>
      <w:r w:rsidRPr="00256989">
        <w:rPr>
          <w:rFonts w:ascii="Times New Roman" w:eastAsia="Times New Roman" w:hAnsi="Times New Roman" w:cs="Times New Roman"/>
          <w:color w:val="000000"/>
          <w:sz w:val="24"/>
          <w:szCs w:val="24"/>
          <w:lang w:val="fr-FR"/>
        </w:rPr>
        <w:t xml:space="preserve"> court </w:t>
      </w:r>
      <w:r w:rsidR="0077785A">
        <w:rPr>
          <w:rFonts w:ascii="Times New Roman" w:eastAsia="Times New Roman" w:hAnsi="Times New Roman" w:cs="Times New Roman"/>
          <w:color w:val="000000"/>
          <w:sz w:val="24"/>
          <w:szCs w:val="24"/>
          <w:lang w:val="fr-FR"/>
        </w:rPr>
        <w:t>ou du</w:t>
      </w:r>
      <w:r w:rsidR="00776CF6">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long terme. A court terme, tous les impôts considérés affectent négativement les dépenses de consommations des ménages. En revanche, à long terme sauf la TVA et l’impôt sur le revenu des personnes physiques influencent les dépenses de consommations, les autres impôts n’affectent pas la consommation des dépenses</w:t>
      </w:r>
      <w:r w:rsidR="00391FB9" w:rsidRPr="00256989">
        <w:rPr>
          <w:rFonts w:ascii="Times New Roman" w:eastAsia="Times New Roman" w:hAnsi="Times New Roman" w:cs="Times New Roman"/>
          <w:color w:val="000000"/>
          <w:sz w:val="24"/>
          <w:szCs w:val="24"/>
          <w:lang w:val="fr-FR"/>
        </w:rPr>
        <w:t xml:space="preserve"> à l’aide de la méthode d’un modèle structurel VAR. Mais sur le plan méthodologie, l’étude examinée a utilisé un modèle VAR tandis que la méthode d’analyse ARDL actuelle est utilisée pour l’analyse des données.</w:t>
      </w:r>
    </w:p>
    <w:p w14:paraId="4CE137C8" w14:textId="23C9CC44" w:rsidR="00A94769" w:rsidRPr="00256989" w:rsidRDefault="006D388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D692F">
        <w:rPr>
          <w:rFonts w:ascii="Times New Roman" w:eastAsia="Times New Roman" w:hAnsi="Times New Roman" w:cs="Times New Roman"/>
          <w:color w:val="000000"/>
          <w:sz w:val="24"/>
          <w:szCs w:val="24"/>
          <w:lang w:val="fr-FR"/>
        </w:rPr>
        <w:t xml:space="preserve">Alm et El-Ganainy (2012) ont examiné la relation entre la taxe sur la valeur ajoutée et la consommation sur quinze </w:t>
      </w:r>
      <w:r w:rsidR="00391FB9" w:rsidRPr="002D692F">
        <w:rPr>
          <w:rFonts w:ascii="Times New Roman" w:eastAsia="Times New Roman" w:hAnsi="Times New Roman" w:cs="Times New Roman"/>
          <w:color w:val="000000"/>
          <w:sz w:val="24"/>
          <w:szCs w:val="24"/>
          <w:lang w:val="fr-FR"/>
        </w:rPr>
        <w:t xml:space="preserve">(15) </w:t>
      </w:r>
      <w:r w:rsidRPr="002D692F">
        <w:rPr>
          <w:rFonts w:ascii="Times New Roman" w:eastAsia="Times New Roman" w:hAnsi="Times New Roman" w:cs="Times New Roman"/>
          <w:color w:val="000000"/>
          <w:sz w:val="24"/>
          <w:szCs w:val="24"/>
          <w:lang w:val="fr-FR"/>
        </w:rPr>
        <w:t xml:space="preserve">pays de l’Union Européenne au cours de la période 1961-2005. Ces auteurs concluent à travers une variété de méthodes d’estimation et de spécifications avec la méthode des moments généralisés, qu’une augmentation du taux de TVA conduit à une réduction du niveau de consommation agrégée à court terme et une réduction un peu importante à long terme. Dans </w:t>
      </w:r>
      <w:r w:rsidR="00EF7B3F" w:rsidRPr="002D692F">
        <w:rPr>
          <w:rFonts w:ascii="Times New Roman" w:eastAsia="Times New Roman" w:hAnsi="Times New Roman" w:cs="Times New Roman"/>
          <w:color w:val="000000"/>
          <w:sz w:val="24"/>
          <w:szCs w:val="24"/>
          <w:lang w:val="fr-FR"/>
        </w:rPr>
        <w:t>le même ordre d’idée</w:t>
      </w:r>
      <w:r w:rsidRPr="002D692F">
        <w:rPr>
          <w:rFonts w:ascii="Times New Roman" w:eastAsia="Times New Roman" w:hAnsi="Times New Roman" w:cs="Times New Roman"/>
          <w:color w:val="000000"/>
          <w:sz w:val="24"/>
          <w:szCs w:val="24"/>
          <w:lang w:val="fr-FR"/>
        </w:rPr>
        <w:t>,</w:t>
      </w:r>
      <w:r w:rsidRPr="002D692F">
        <w:rPr>
          <w:rFonts w:eastAsia="Calibri"/>
          <w:color w:val="000000"/>
          <w:lang w:val="fr-FR"/>
        </w:rPr>
        <w:t xml:space="preserve"> </w:t>
      </w:r>
      <w:r w:rsidRPr="002D692F">
        <w:rPr>
          <w:rFonts w:ascii="Times New Roman" w:eastAsia="Times New Roman" w:hAnsi="Times New Roman" w:cs="Times New Roman"/>
          <w:color w:val="000000"/>
          <w:sz w:val="24"/>
          <w:szCs w:val="24"/>
          <w:lang w:val="fr-FR"/>
        </w:rPr>
        <w:t xml:space="preserve">Akhmetova (2012) a exploré la même relation en se basant sur </w:t>
      </w:r>
      <w:r w:rsidR="00984F38">
        <w:rPr>
          <w:rFonts w:ascii="Times New Roman" w:eastAsia="Times New Roman" w:hAnsi="Times New Roman" w:cs="Times New Roman"/>
          <w:color w:val="000000"/>
          <w:sz w:val="24"/>
          <w:szCs w:val="24"/>
          <w:lang w:val="fr-FR"/>
        </w:rPr>
        <w:t>vingt-sept (</w:t>
      </w:r>
      <w:r w:rsidRPr="002D692F">
        <w:rPr>
          <w:rFonts w:ascii="Times New Roman" w:eastAsia="Times New Roman" w:hAnsi="Times New Roman" w:cs="Times New Roman"/>
          <w:color w:val="000000"/>
          <w:sz w:val="24"/>
          <w:szCs w:val="24"/>
          <w:lang w:val="fr-FR"/>
        </w:rPr>
        <w:t>27</w:t>
      </w:r>
      <w:r w:rsidR="00984F38">
        <w:rPr>
          <w:rFonts w:ascii="Times New Roman" w:eastAsia="Times New Roman" w:hAnsi="Times New Roman" w:cs="Times New Roman"/>
          <w:color w:val="000000"/>
          <w:sz w:val="24"/>
          <w:szCs w:val="24"/>
          <w:lang w:val="fr-FR"/>
        </w:rPr>
        <w:t>)</w:t>
      </w:r>
      <w:r w:rsidRPr="002D692F">
        <w:rPr>
          <w:rFonts w:ascii="Times New Roman" w:eastAsia="Times New Roman" w:hAnsi="Times New Roman" w:cs="Times New Roman"/>
          <w:color w:val="000000"/>
          <w:sz w:val="24"/>
          <w:szCs w:val="24"/>
          <w:lang w:val="fr-FR"/>
        </w:rPr>
        <w:t xml:space="preserve"> pays européens et trouve que la taxe sur la valeur ajoutée a un effet positif sur la consommation des ménages et atteint son taux maximum lorsque le taux effectif est </w:t>
      </w:r>
      <w:r w:rsidR="006A7B0C" w:rsidRPr="002D692F">
        <w:rPr>
          <w:rFonts w:ascii="Times New Roman" w:eastAsia="Times New Roman" w:hAnsi="Times New Roman" w:cs="Times New Roman"/>
          <w:color w:val="000000"/>
          <w:sz w:val="24"/>
          <w:szCs w:val="24"/>
          <w:lang w:val="fr-FR"/>
        </w:rPr>
        <w:t xml:space="preserve">de </w:t>
      </w:r>
      <w:r w:rsidRPr="002D692F">
        <w:rPr>
          <w:rFonts w:ascii="Times New Roman" w:eastAsia="Times New Roman" w:hAnsi="Times New Roman" w:cs="Times New Roman"/>
          <w:color w:val="000000"/>
          <w:sz w:val="24"/>
          <w:szCs w:val="24"/>
          <w:lang w:val="fr-FR"/>
        </w:rPr>
        <w:t>1,38 et dépassé</w:t>
      </w:r>
      <w:r w:rsidR="00984F38">
        <w:rPr>
          <w:rFonts w:ascii="Times New Roman" w:eastAsia="Times New Roman" w:hAnsi="Times New Roman" w:cs="Times New Roman"/>
          <w:color w:val="000000"/>
          <w:sz w:val="24"/>
          <w:szCs w:val="24"/>
          <w:lang w:val="fr-FR"/>
        </w:rPr>
        <w:t>e</w:t>
      </w:r>
      <w:r w:rsidRPr="002D692F">
        <w:rPr>
          <w:rFonts w:ascii="Times New Roman" w:eastAsia="Times New Roman" w:hAnsi="Times New Roman" w:cs="Times New Roman"/>
          <w:color w:val="000000"/>
          <w:sz w:val="24"/>
          <w:szCs w:val="24"/>
          <w:lang w:val="fr-FR"/>
        </w:rPr>
        <w:t xml:space="preserve"> ce taux, la TVA a un effet négatif sur la consommation.</w:t>
      </w:r>
      <w:r w:rsidR="00DB5A06" w:rsidRPr="002D692F">
        <w:rPr>
          <w:rFonts w:ascii="Times New Roman" w:eastAsia="Times New Roman" w:hAnsi="Times New Roman" w:cs="Times New Roman"/>
          <w:color w:val="000000"/>
          <w:sz w:val="24"/>
          <w:szCs w:val="24"/>
          <w:lang w:val="fr-FR"/>
        </w:rPr>
        <w:t xml:space="preserve"> </w:t>
      </w:r>
      <w:r w:rsidR="00DB5A06" w:rsidRPr="00256989">
        <w:rPr>
          <w:rFonts w:ascii="Times New Roman" w:eastAsia="Times New Roman" w:hAnsi="Times New Roman" w:cs="Times New Roman"/>
          <w:color w:val="000000"/>
          <w:sz w:val="24"/>
          <w:szCs w:val="24"/>
          <w:lang w:val="fr-FR"/>
        </w:rPr>
        <w:t>Géographiquement,</w:t>
      </w:r>
      <w:r w:rsidR="005D0008" w:rsidRPr="00256989">
        <w:rPr>
          <w:rFonts w:ascii="Times New Roman" w:eastAsia="Times New Roman" w:hAnsi="Times New Roman" w:cs="Times New Roman"/>
          <w:color w:val="000000"/>
          <w:sz w:val="24"/>
          <w:szCs w:val="24"/>
          <w:lang w:val="fr-FR"/>
        </w:rPr>
        <w:t xml:space="preserve"> </w:t>
      </w:r>
      <w:r w:rsidR="00DB5A06" w:rsidRPr="00256989">
        <w:rPr>
          <w:rFonts w:ascii="Times New Roman" w:eastAsia="Times New Roman" w:hAnsi="Times New Roman" w:cs="Times New Roman"/>
          <w:color w:val="000000"/>
          <w:sz w:val="24"/>
          <w:szCs w:val="24"/>
          <w:lang w:val="fr-FR"/>
        </w:rPr>
        <w:t>c</w:t>
      </w:r>
      <w:r w:rsidR="005D0008" w:rsidRPr="00256989">
        <w:rPr>
          <w:rFonts w:ascii="Times New Roman" w:eastAsia="Times New Roman" w:hAnsi="Times New Roman" w:cs="Times New Roman"/>
          <w:color w:val="000000"/>
          <w:sz w:val="24"/>
          <w:szCs w:val="24"/>
          <w:lang w:val="fr-FR"/>
        </w:rPr>
        <w:t xml:space="preserve">es études se sont </w:t>
      </w:r>
      <w:r w:rsidR="00DB5A06" w:rsidRPr="00256989">
        <w:rPr>
          <w:rFonts w:ascii="Times New Roman" w:eastAsia="Times New Roman" w:hAnsi="Times New Roman" w:cs="Times New Roman"/>
          <w:color w:val="000000"/>
          <w:sz w:val="24"/>
          <w:szCs w:val="24"/>
          <w:lang w:val="fr-FR"/>
        </w:rPr>
        <w:t xml:space="preserve">menées </w:t>
      </w:r>
      <w:r w:rsidR="005D0008" w:rsidRPr="00256989">
        <w:rPr>
          <w:rFonts w:ascii="Times New Roman" w:eastAsia="Times New Roman" w:hAnsi="Times New Roman" w:cs="Times New Roman"/>
          <w:color w:val="000000"/>
          <w:sz w:val="24"/>
          <w:szCs w:val="24"/>
          <w:lang w:val="fr-FR"/>
        </w:rPr>
        <w:t xml:space="preserve">sur les pays développés tandis que cette </w:t>
      </w:r>
      <w:r w:rsidR="00984F38" w:rsidRPr="008B0930">
        <w:rPr>
          <w:rFonts w:ascii="Times New Roman" w:eastAsia="Times New Roman" w:hAnsi="Times New Roman" w:cs="Times New Roman"/>
          <w:color w:val="000000"/>
          <w:sz w:val="24"/>
          <w:szCs w:val="24"/>
          <w:lang w:val="fr-FR"/>
        </w:rPr>
        <w:t>présente</w:t>
      </w:r>
      <w:r w:rsidR="00984F38" w:rsidRPr="00984F38">
        <w:rPr>
          <w:rFonts w:ascii="Times New Roman" w:eastAsia="Times New Roman" w:hAnsi="Times New Roman" w:cs="Times New Roman"/>
          <w:color w:val="000000"/>
          <w:sz w:val="24"/>
          <w:szCs w:val="24"/>
          <w:lang w:val="fr-FR"/>
        </w:rPr>
        <w:t xml:space="preserve"> </w:t>
      </w:r>
      <w:r w:rsidR="005D0008" w:rsidRPr="00256989">
        <w:rPr>
          <w:rFonts w:ascii="Times New Roman" w:eastAsia="Times New Roman" w:hAnsi="Times New Roman" w:cs="Times New Roman"/>
          <w:color w:val="000000"/>
          <w:sz w:val="24"/>
          <w:szCs w:val="24"/>
          <w:lang w:val="fr-FR"/>
        </w:rPr>
        <w:t>recherche se base un pays en développement qui est le Burkina Faso.</w:t>
      </w:r>
      <w:r w:rsidR="005E55D3" w:rsidRPr="00256989">
        <w:rPr>
          <w:rFonts w:ascii="Times New Roman" w:eastAsia="Times New Roman" w:hAnsi="Times New Roman" w:cs="Times New Roman"/>
          <w:color w:val="000000"/>
          <w:sz w:val="24"/>
          <w:szCs w:val="24"/>
          <w:lang w:val="fr-FR"/>
        </w:rPr>
        <w:t xml:space="preserve"> En outre, </w:t>
      </w:r>
      <w:r w:rsidRPr="00256989">
        <w:rPr>
          <w:rFonts w:ascii="Times New Roman" w:eastAsia="Times New Roman" w:hAnsi="Times New Roman" w:cs="Times New Roman"/>
          <w:color w:val="000000"/>
          <w:sz w:val="24"/>
          <w:szCs w:val="24"/>
          <w:lang w:val="fr-FR"/>
        </w:rPr>
        <w:t xml:space="preserve">Idris et Sebastine (2023) ont exploré la </w:t>
      </w:r>
      <w:r w:rsidR="00984F38" w:rsidRPr="00984F38">
        <w:rPr>
          <w:rFonts w:ascii="Times New Roman" w:eastAsia="Times New Roman" w:hAnsi="Times New Roman" w:cs="Times New Roman"/>
          <w:color w:val="000000"/>
          <w:sz w:val="24"/>
          <w:szCs w:val="24"/>
          <w:lang w:val="fr-FR"/>
        </w:rPr>
        <w:t>relation de</w:t>
      </w:r>
      <w:r w:rsidRPr="00256989">
        <w:rPr>
          <w:rFonts w:ascii="Times New Roman" w:eastAsia="Times New Roman" w:hAnsi="Times New Roman" w:cs="Times New Roman"/>
          <w:color w:val="000000"/>
          <w:sz w:val="24"/>
          <w:szCs w:val="24"/>
          <w:lang w:val="fr-FR"/>
        </w:rPr>
        <w:t xml:space="preserve"> court et </w:t>
      </w:r>
      <w:r w:rsidR="00984F38" w:rsidRPr="00984F38">
        <w:rPr>
          <w:rFonts w:ascii="Times New Roman" w:eastAsia="Times New Roman" w:hAnsi="Times New Roman" w:cs="Times New Roman"/>
          <w:color w:val="000000"/>
          <w:sz w:val="24"/>
          <w:szCs w:val="24"/>
          <w:lang w:val="fr-FR"/>
        </w:rPr>
        <w:t>de long</w:t>
      </w:r>
      <w:r w:rsidRPr="00256989">
        <w:rPr>
          <w:rFonts w:ascii="Times New Roman" w:eastAsia="Times New Roman" w:hAnsi="Times New Roman" w:cs="Times New Roman"/>
          <w:color w:val="000000"/>
          <w:sz w:val="24"/>
          <w:szCs w:val="24"/>
          <w:lang w:val="fr-FR"/>
        </w:rPr>
        <w:t xml:space="preserve"> terme entre la fiscalité indirecte et la consommation des ménages au Nigéria sur la période 1985 à 2020.</w:t>
      </w:r>
      <w:r w:rsidR="00984F38">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En se basant sur la méthode des moindres carrés ordinaires et la cointégration comme méthode d’estimation, ces auteurs trouvent que la TVA a une relation positive et non significative sur la consommation des ménages tandis que l’impôt sur le revenu des personnes physiques et l’inflation a un effet négatif sur la consommation des ménages.</w:t>
      </w:r>
      <w:r w:rsidR="00DB5A06" w:rsidRPr="00256989">
        <w:rPr>
          <w:rFonts w:ascii="Times New Roman" w:eastAsia="Times New Roman" w:hAnsi="Times New Roman" w:cs="Times New Roman"/>
          <w:color w:val="000000"/>
          <w:sz w:val="24"/>
          <w:szCs w:val="24"/>
          <w:lang w:val="fr-FR"/>
        </w:rPr>
        <w:t xml:space="preserve"> Ces études examinées se </w:t>
      </w:r>
      <w:r w:rsidR="00984F38">
        <w:rPr>
          <w:rFonts w:ascii="Times New Roman" w:eastAsia="Times New Roman" w:hAnsi="Times New Roman" w:cs="Times New Roman"/>
          <w:color w:val="000000"/>
          <w:sz w:val="24"/>
          <w:szCs w:val="24"/>
          <w:lang w:val="fr-FR"/>
        </w:rPr>
        <w:t xml:space="preserve">sont </w:t>
      </w:r>
      <w:r w:rsidR="00DB5A06" w:rsidRPr="00256989">
        <w:rPr>
          <w:rFonts w:ascii="Times New Roman" w:eastAsia="Times New Roman" w:hAnsi="Times New Roman" w:cs="Times New Roman"/>
          <w:color w:val="000000"/>
          <w:sz w:val="24"/>
          <w:szCs w:val="24"/>
          <w:lang w:val="fr-FR"/>
        </w:rPr>
        <w:t xml:space="preserve">concentrées sur la fiscalité indirecte tandis que la présente recherche prend également </w:t>
      </w:r>
      <w:r w:rsidR="00984F38">
        <w:rPr>
          <w:rFonts w:ascii="Times New Roman" w:eastAsia="Times New Roman" w:hAnsi="Times New Roman" w:cs="Times New Roman"/>
          <w:color w:val="000000"/>
          <w:sz w:val="24"/>
          <w:szCs w:val="24"/>
          <w:lang w:val="fr-FR"/>
        </w:rPr>
        <w:t xml:space="preserve">en compte </w:t>
      </w:r>
      <w:r w:rsidR="00DB5A06" w:rsidRPr="00256989">
        <w:rPr>
          <w:rFonts w:ascii="Times New Roman" w:eastAsia="Times New Roman" w:hAnsi="Times New Roman" w:cs="Times New Roman"/>
          <w:color w:val="000000"/>
          <w:sz w:val="24"/>
          <w:szCs w:val="24"/>
          <w:lang w:val="fr-FR"/>
        </w:rPr>
        <w:t>la fiscalité directe.</w:t>
      </w:r>
    </w:p>
    <w:p w14:paraId="33F8AA06" w14:textId="311D5F9E" w:rsidR="00A94769" w:rsidRPr="00256989" w:rsidRDefault="002823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En ce qui concerne </w:t>
      </w:r>
      <w:r w:rsidR="006D388F" w:rsidRPr="00256989">
        <w:rPr>
          <w:rFonts w:ascii="Times New Roman" w:eastAsia="Times New Roman" w:hAnsi="Times New Roman" w:cs="Times New Roman"/>
          <w:color w:val="000000"/>
          <w:sz w:val="24"/>
          <w:szCs w:val="24"/>
          <w:lang w:val="fr-FR"/>
        </w:rPr>
        <w:t>Adegbite (2023)</w:t>
      </w:r>
      <w:r w:rsidRPr="00256989">
        <w:rPr>
          <w:rFonts w:ascii="Times New Roman" w:eastAsia="Times New Roman" w:hAnsi="Times New Roman" w:cs="Times New Roman"/>
          <w:color w:val="000000"/>
          <w:sz w:val="24"/>
          <w:szCs w:val="24"/>
          <w:lang w:val="fr-FR"/>
        </w:rPr>
        <w:t xml:space="preserve">, </w:t>
      </w:r>
      <w:r w:rsidR="00984F38">
        <w:rPr>
          <w:rFonts w:ascii="Times New Roman" w:eastAsia="Times New Roman" w:hAnsi="Times New Roman" w:cs="Times New Roman"/>
          <w:color w:val="000000"/>
          <w:sz w:val="24"/>
          <w:szCs w:val="24"/>
          <w:lang w:val="fr-FR"/>
        </w:rPr>
        <w:t>il</w:t>
      </w:r>
      <w:r w:rsidR="00984F38" w:rsidRPr="00256989">
        <w:rPr>
          <w:rFonts w:ascii="Times New Roman" w:eastAsia="Times New Roman" w:hAnsi="Times New Roman" w:cs="Times New Roman"/>
          <w:color w:val="000000"/>
          <w:sz w:val="24"/>
          <w:szCs w:val="24"/>
          <w:lang w:val="fr-FR"/>
        </w:rPr>
        <w:t xml:space="preserve"> </w:t>
      </w:r>
      <w:r w:rsidR="006D388F" w:rsidRPr="00256989">
        <w:rPr>
          <w:rFonts w:ascii="Times New Roman" w:eastAsia="Times New Roman" w:hAnsi="Times New Roman" w:cs="Times New Roman"/>
          <w:color w:val="000000"/>
          <w:sz w:val="24"/>
          <w:szCs w:val="24"/>
          <w:lang w:val="fr-FR"/>
        </w:rPr>
        <w:t xml:space="preserve">a étudié l’effet des impôts sur la consommation des ménages au Nigéria couvrant la période 1990 à 2021. Les dépenses de consommations sont consacrées dans cette étude aux dépenses de besoins quotidiens et à l’achat d’autres produits utiles. En utilisant le modèle de décalage autorégressif (ARDL), l’auteur conclut que l’impôt sur les bénéfices pétroliers a une influence significative forte et positive sur la consommation des ménages. En revanche, l’impôt sur le revenu des sociétés, la taxe sur la valeur ajoutée et les droits </w:t>
      </w:r>
      <w:r w:rsidR="006D388F" w:rsidRPr="00256989">
        <w:rPr>
          <w:rFonts w:ascii="Times New Roman" w:eastAsia="Times New Roman" w:hAnsi="Times New Roman" w:cs="Times New Roman"/>
          <w:color w:val="000000"/>
          <w:sz w:val="24"/>
          <w:szCs w:val="24"/>
          <w:lang w:val="fr-FR"/>
        </w:rPr>
        <w:lastRenderedPageBreak/>
        <w:t>de douane et d’accise ont une influence significative négative sur la consommation des ménages.</w:t>
      </w:r>
      <w:r w:rsidR="008942E2" w:rsidRPr="00256989">
        <w:rPr>
          <w:rFonts w:ascii="Times New Roman" w:eastAsia="Times New Roman" w:hAnsi="Times New Roman" w:cs="Times New Roman"/>
          <w:color w:val="000000"/>
          <w:sz w:val="24"/>
          <w:szCs w:val="24"/>
          <w:lang w:val="fr-FR"/>
        </w:rPr>
        <w:t xml:space="preserve"> Cet auteur s’est basé sur les dépenses consacrées aux besoins quotidiens et aux produits utiles alors que la présente recherche </w:t>
      </w:r>
      <w:r w:rsidR="00FD54E6" w:rsidRPr="00256989">
        <w:rPr>
          <w:rFonts w:ascii="Times New Roman" w:eastAsia="Times New Roman" w:hAnsi="Times New Roman" w:cs="Times New Roman"/>
          <w:color w:val="000000"/>
          <w:sz w:val="24"/>
          <w:szCs w:val="24"/>
          <w:lang w:val="fr-FR"/>
        </w:rPr>
        <w:t xml:space="preserve">prend en </w:t>
      </w:r>
      <w:r w:rsidR="00984F38" w:rsidRPr="00984F38">
        <w:rPr>
          <w:rFonts w:ascii="Times New Roman" w:eastAsia="Times New Roman" w:hAnsi="Times New Roman" w:cs="Times New Roman"/>
          <w:color w:val="000000"/>
          <w:sz w:val="24"/>
          <w:szCs w:val="24"/>
          <w:lang w:val="fr-FR"/>
        </w:rPr>
        <w:t>considération</w:t>
      </w:r>
      <w:r w:rsidR="00FD54E6" w:rsidRPr="00256989">
        <w:rPr>
          <w:rFonts w:ascii="Times New Roman" w:eastAsia="Times New Roman" w:hAnsi="Times New Roman" w:cs="Times New Roman"/>
          <w:color w:val="000000"/>
          <w:sz w:val="24"/>
          <w:szCs w:val="24"/>
          <w:lang w:val="fr-FR"/>
        </w:rPr>
        <w:t xml:space="preserve"> d’autres types </w:t>
      </w:r>
      <w:r w:rsidR="00984F38">
        <w:rPr>
          <w:rFonts w:ascii="Times New Roman" w:eastAsia="Times New Roman" w:hAnsi="Times New Roman" w:cs="Times New Roman"/>
          <w:color w:val="000000"/>
          <w:sz w:val="24"/>
          <w:szCs w:val="24"/>
          <w:lang w:val="fr-FR"/>
        </w:rPr>
        <w:t xml:space="preserve">de </w:t>
      </w:r>
      <w:r w:rsidR="00FD54E6" w:rsidRPr="00256989">
        <w:rPr>
          <w:rFonts w:ascii="Times New Roman" w:eastAsia="Times New Roman" w:hAnsi="Times New Roman" w:cs="Times New Roman"/>
          <w:color w:val="000000"/>
          <w:sz w:val="24"/>
          <w:szCs w:val="24"/>
          <w:lang w:val="fr-FR"/>
        </w:rPr>
        <w:t>dépenses.</w:t>
      </w:r>
    </w:p>
    <w:bookmarkEnd w:id="1"/>
    <w:p w14:paraId="43F0B3B5" w14:textId="77777777" w:rsidR="00771103" w:rsidRPr="00256989" w:rsidRDefault="0077110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008EDB39" w14:textId="57B287EC" w:rsidR="00771103" w:rsidRPr="00256989" w:rsidRDefault="0077110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Après avoir mis en évidence les études montrant la relation négative entre impôt et consommation,</w:t>
      </w:r>
      <w:r w:rsidR="00685615" w:rsidRPr="00256989">
        <w:rPr>
          <w:rFonts w:ascii="Times New Roman" w:eastAsia="Times New Roman" w:hAnsi="Times New Roman" w:cs="Times New Roman"/>
          <w:color w:val="000000"/>
          <w:sz w:val="24"/>
          <w:szCs w:val="24"/>
          <w:lang w:val="fr-FR"/>
        </w:rPr>
        <w:t xml:space="preserve"> nous passons en revue les travaux </w:t>
      </w:r>
      <w:r w:rsidR="0048317D" w:rsidRPr="00256989">
        <w:rPr>
          <w:rFonts w:ascii="Times New Roman" w:eastAsia="Times New Roman" w:hAnsi="Times New Roman" w:cs="Times New Roman"/>
          <w:color w:val="000000"/>
          <w:sz w:val="24"/>
          <w:szCs w:val="24"/>
          <w:lang w:val="fr-FR"/>
        </w:rPr>
        <w:t xml:space="preserve">montrant </w:t>
      </w:r>
      <w:r w:rsidRPr="00256989">
        <w:rPr>
          <w:rFonts w:ascii="Times New Roman" w:eastAsia="Times New Roman" w:hAnsi="Times New Roman" w:cs="Times New Roman"/>
          <w:color w:val="000000"/>
          <w:sz w:val="24"/>
          <w:szCs w:val="24"/>
          <w:lang w:val="fr-FR"/>
        </w:rPr>
        <w:t>une relation positive</w:t>
      </w:r>
      <w:r w:rsidR="00685615" w:rsidRPr="00256989">
        <w:rPr>
          <w:rFonts w:ascii="Times New Roman" w:eastAsia="Times New Roman" w:hAnsi="Times New Roman" w:cs="Times New Roman"/>
          <w:color w:val="000000"/>
          <w:sz w:val="24"/>
          <w:szCs w:val="24"/>
          <w:lang w:val="fr-FR"/>
        </w:rPr>
        <w:t>.</w:t>
      </w:r>
    </w:p>
    <w:p w14:paraId="5C6E0D11" w14:textId="77777777" w:rsidR="005E4276" w:rsidRPr="00256989" w:rsidRDefault="005E427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04F81EDF" w14:textId="6C718CEB" w:rsidR="005E4276" w:rsidRPr="00256989" w:rsidRDefault="006D388F">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lang w:val="fr-FR"/>
        </w:rPr>
      </w:pPr>
      <w:r w:rsidRPr="00256989">
        <w:rPr>
          <w:rFonts w:ascii="Times New Roman" w:eastAsia="Times New Roman" w:hAnsi="Times New Roman" w:cs="Times New Roman"/>
          <w:b/>
          <w:color w:val="000000"/>
          <w:sz w:val="24"/>
          <w:szCs w:val="24"/>
          <w:lang w:val="fr-FR"/>
        </w:rPr>
        <w:t xml:space="preserve">La relation positive entre la structure </w:t>
      </w:r>
      <w:r w:rsidR="00B454BB">
        <w:rPr>
          <w:rFonts w:ascii="Times New Roman" w:eastAsia="Times New Roman" w:hAnsi="Times New Roman" w:cs="Times New Roman"/>
          <w:b/>
          <w:color w:val="000000"/>
          <w:sz w:val="24"/>
          <w:szCs w:val="24"/>
          <w:lang w:val="fr-FR"/>
        </w:rPr>
        <w:t>fiscale</w:t>
      </w:r>
      <w:r w:rsidRPr="00256989">
        <w:rPr>
          <w:rFonts w:ascii="Times New Roman" w:eastAsia="Times New Roman" w:hAnsi="Times New Roman" w:cs="Times New Roman"/>
          <w:b/>
          <w:color w:val="000000"/>
          <w:sz w:val="24"/>
          <w:szCs w:val="24"/>
          <w:lang w:val="fr-FR"/>
        </w:rPr>
        <w:t xml:space="preserve"> et les dépenses de consommation des ménages.</w:t>
      </w:r>
    </w:p>
    <w:p w14:paraId="3DC50563" w14:textId="77777777" w:rsidR="005E4276" w:rsidRPr="00256989" w:rsidRDefault="005E427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3F6552B5" w14:textId="0D792350" w:rsidR="005E4276" w:rsidRPr="00256989" w:rsidRDefault="006D388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Ajibola et Olowolaju (2017) ont analysé l’effet de la fiscalité sur la consommation des ménages au Nigéria. En se basant sur la méthode des moindres carrés ordinaires </w:t>
      </w:r>
      <w:r w:rsidR="005D61B6" w:rsidRPr="00256989">
        <w:rPr>
          <w:rFonts w:ascii="Times New Roman" w:eastAsia="Times New Roman" w:hAnsi="Times New Roman" w:cs="Times New Roman"/>
          <w:color w:val="000000"/>
          <w:sz w:val="24"/>
          <w:szCs w:val="24"/>
          <w:lang w:val="fr-FR"/>
        </w:rPr>
        <w:t>sur la période</w:t>
      </w:r>
      <w:r w:rsidRPr="00256989">
        <w:rPr>
          <w:rFonts w:ascii="Times New Roman" w:eastAsia="Times New Roman" w:hAnsi="Times New Roman" w:cs="Times New Roman"/>
          <w:color w:val="000000"/>
          <w:sz w:val="24"/>
          <w:szCs w:val="24"/>
          <w:lang w:val="fr-FR"/>
        </w:rPr>
        <w:t xml:space="preserve"> de 1994 à 2014, les auteurs concluent que l</w:t>
      </w:r>
      <w:r w:rsidR="0014667B" w:rsidRPr="00256989">
        <w:rPr>
          <w:rFonts w:ascii="Times New Roman" w:eastAsia="Times New Roman" w:hAnsi="Times New Roman" w:cs="Times New Roman"/>
          <w:color w:val="000000"/>
          <w:sz w:val="24"/>
          <w:szCs w:val="24"/>
          <w:lang w:val="fr-FR"/>
        </w:rPr>
        <w:t>’augmentation de la</w:t>
      </w:r>
      <w:r w:rsidRPr="00256989">
        <w:rPr>
          <w:rFonts w:ascii="Times New Roman" w:eastAsia="Times New Roman" w:hAnsi="Times New Roman" w:cs="Times New Roman"/>
          <w:color w:val="000000"/>
          <w:sz w:val="24"/>
          <w:szCs w:val="24"/>
          <w:lang w:val="fr-FR"/>
        </w:rPr>
        <w:t xml:space="preserve"> </w:t>
      </w:r>
      <w:r w:rsidR="005D61B6" w:rsidRPr="00256989">
        <w:rPr>
          <w:rFonts w:ascii="Times New Roman" w:eastAsia="Times New Roman" w:hAnsi="Times New Roman" w:cs="Times New Roman"/>
          <w:color w:val="000000"/>
          <w:sz w:val="24"/>
          <w:szCs w:val="24"/>
          <w:lang w:val="fr-FR"/>
        </w:rPr>
        <w:t xml:space="preserve">TVA </w:t>
      </w:r>
      <w:r w:rsidRPr="00256989">
        <w:rPr>
          <w:rFonts w:ascii="Times New Roman" w:eastAsia="Times New Roman" w:hAnsi="Times New Roman" w:cs="Times New Roman"/>
          <w:color w:val="000000"/>
          <w:sz w:val="24"/>
          <w:szCs w:val="24"/>
          <w:lang w:val="fr-FR"/>
        </w:rPr>
        <w:t>ainsi que l</w:t>
      </w:r>
      <w:r w:rsidR="0014667B" w:rsidRPr="00256989">
        <w:rPr>
          <w:rFonts w:ascii="Times New Roman" w:eastAsia="Times New Roman" w:hAnsi="Times New Roman" w:cs="Times New Roman"/>
          <w:color w:val="000000"/>
          <w:sz w:val="24"/>
          <w:szCs w:val="24"/>
          <w:lang w:val="fr-FR"/>
        </w:rPr>
        <w:t>a hausse de l’</w:t>
      </w:r>
      <w:r w:rsidRPr="00256989">
        <w:rPr>
          <w:rFonts w:ascii="Times New Roman" w:eastAsia="Times New Roman" w:hAnsi="Times New Roman" w:cs="Times New Roman"/>
          <w:color w:val="000000"/>
          <w:sz w:val="24"/>
          <w:szCs w:val="24"/>
          <w:lang w:val="fr-FR"/>
        </w:rPr>
        <w:t>impôt sur la société ont un effet positif sur la consommation des ménages. La consommation est influencée par la variable inflation.</w:t>
      </w:r>
      <w:r w:rsidR="0069475C" w:rsidRPr="00256989">
        <w:rPr>
          <w:rFonts w:ascii="Times New Roman" w:eastAsia="Times New Roman" w:hAnsi="Times New Roman" w:cs="Times New Roman"/>
          <w:color w:val="000000"/>
          <w:sz w:val="24"/>
          <w:szCs w:val="24"/>
          <w:lang w:val="fr-FR"/>
        </w:rPr>
        <w:t xml:space="preserve"> L’étude examinée s’est </w:t>
      </w:r>
      <w:r w:rsidR="00984F38" w:rsidRPr="00984F38">
        <w:rPr>
          <w:rFonts w:ascii="Times New Roman" w:eastAsia="Times New Roman" w:hAnsi="Times New Roman" w:cs="Times New Roman"/>
          <w:color w:val="000000"/>
          <w:sz w:val="24"/>
          <w:szCs w:val="24"/>
          <w:lang w:val="fr-FR"/>
        </w:rPr>
        <w:t>concentrée</w:t>
      </w:r>
      <w:r w:rsidR="0069475C" w:rsidRPr="00256989">
        <w:rPr>
          <w:rFonts w:ascii="Times New Roman" w:eastAsia="Times New Roman" w:hAnsi="Times New Roman" w:cs="Times New Roman"/>
          <w:color w:val="000000"/>
          <w:sz w:val="24"/>
          <w:szCs w:val="24"/>
          <w:lang w:val="fr-FR"/>
        </w:rPr>
        <w:t xml:space="preserve"> sur la TVA et l’impôt sur la société alors que </w:t>
      </w:r>
      <w:r w:rsidR="00984F38">
        <w:rPr>
          <w:rFonts w:ascii="Times New Roman" w:eastAsia="Times New Roman" w:hAnsi="Times New Roman" w:cs="Times New Roman"/>
          <w:color w:val="000000"/>
          <w:sz w:val="24"/>
          <w:szCs w:val="24"/>
          <w:lang w:val="fr-FR"/>
        </w:rPr>
        <w:t>notre</w:t>
      </w:r>
      <w:r w:rsidR="00984F38" w:rsidRPr="00256989">
        <w:rPr>
          <w:rFonts w:ascii="Times New Roman" w:eastAsia="Times New Roman" w:hAnsi="Times New Roman" w:cs="Times New Roman"/>
          <w:color w:val="000000"/>
          <w:sz w:val="24"/>
          <w:szCs w:val="24"/>
          <w:lang w:val="fr-FR"/>
        </w:rPr>
        <w:t xml:space="preserve"> </w:t>
      </w:r>
      <w:r w:rsidR="0069475C" w:rsidRPr="00256989">
        <w:rPr>
          <w:rFonts w:ascii="Times New Roman" w:eastAsia="Times New Roman" w:hAnsi="Times New Roman" w:cs="Times New Roman"/>
          <w:color w:val="000000"/>
          <w:sz w:val="24"/>
          <w:szCs w:val="24"/>
          <w:lang w:val="fr-FR"/>
        </w:rPr>
        <w:t>recherche met en exergue l’impôt unique sur les traitements et salaires.</w:t>
      </w:r>
    </w:p>
    <w:p w14:paraId="28A55C2E" w14:textId="0909FB19" w:rsidR="005E4276" w:rsidRPr="00256989" w:rsidRDefault="004E68A0" w:rsidP="009C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Pour </w:t>
      </w:r>
      <w:r w:rsidR="00984F38">
        <w:rPr>
          <w:rFonts w:ascii="Times New Roman" w:eastAsia="Times New Roman" w:hAnsi="Times New Roman" w:cs="Times New Roman"/>
          <w:color w:val="000000"/>
          <w:sz w:val="24"/>
          <w:szCs w:val="24"/>
          <w:lang w:val="fr-FR"/>
        </w:rPr>
        <w:t>leur part</w:t>
      </w:r>
      <w:r w:rsidRPr="00256989">
        <w:rPr>
          <w:rFonts w:ascii="Times New Roman" w:eastAsia="Times New Roman" w:hAnsi="Times New Roman" w:cs="Times New Roman"/>
          <w:color w:val="000000"/>
          <w:sz w:val="24"/>
          <w:szCs w:val="24"/>
          <w:lang w:val="fr-FR"/>
        </w:rPr>
        <w:t xml:space="preserve">, </w:t>
      </w:r>
      <w:r w:rsidR="006D388F" w:rsidRPr="00256989">
        <w:rPr>
          <w:rFonts w:ascii="Times New Roman" w:eastAsia="Times New Roman" w:hAnsi="Times New Roman" w:cs="Times New Roman"/>
          <w:color w:val="000000"/>
          <w:sz w:val="24"/>
          <w:szCs w:val="24"/>
          <w:lang w:val="fr-FR"/>
        </w:rPr>
        <w:t>Sani et Sani (2020) ont analysé l’effet de la taxe sur la valeur ajoutée (TVA) sur la consommation au Nigeria à l’aide de données annuelles de 1994 à 2018. En se basant sur l’approche Auto Régressive, les auteurs concluent que l</w:t>
      </w:r>
      <w:r w:rsidR="009C240B" w:rsidRPr="00256989">
        <w:rPr>
          <w:rFonts w:ascii="Times New Roman" w:eastAsia="Times New Roman" w:hAnsi="Times New Roman" w:cs="Times New Roman"/>
          <w:color w:val="000000"/>
          <w:sz w:val="24"/>
          <w:szCs w:val="24"/>
          <w:lang w:val="fr-FR"/>
        </w:rPr>
        <w:t xml:space="preserve">’augmentation de la </w:t>
      </w:r>
      <w:r w:rsidR="006D388F" w:rsidRPr="00256989">
        <w:rPr>
          <w:rFonts w:ascii="Times New Roman" w:eastAsia="Times New Roman" w:hAnsi="Times New Roman" w:cs="Times New Roman"/>
          <w:color w:val="000000"/>
          <w:sz w:val="24"/>
          <w:szCs w:val="24"/>
          <w:lang w:val="fr-FR"/>
        </w:rPr>
        <w:t>TVA a un effet positif sur la consommation au Nigeria.</w:t>
      </w:r>
      <w:r w:rsidR="009C240B" w:rsidRPr="00256989">
        <w:rPr>
          <w:rFonts w:ascii="Times New Roman" w:eastAsia="Times New Roman" w:hAnsi="Times New Roman" w:cs="Times New Roman"/>
          <w:color w:val="000000"/>
          <w:sz w:val="24"/>
          <w:szCs w:val="24"/>
          <w:lang w:val="fr-FR"/>
        </w:rPr>
        <w:t xml:space="preserve"> Sur le même ordre d’idée, </w:t>
      </w:r>
      <w:r w:rsidR="006D388F" w:rsidRPr="00256989">
        <w:rPr>
          <w:rFonts w:ascii="Times New Roman" w:eastAsia="Times New Roman" w:hAnsi="Times New Roman" w:cs="Times New Roman"/>
          <w:color w:val="000000"/>
          <w:sz w:val="24"/>
          <w:szCs w:val="24"/>
          <w:lang w:val="fr-FR"/>
        </w:rPr>
        <w:t xml:space="preserve">Gidigbi et al (2021) ont examiné l’effet de la taxe sur la valeur ajoutée sur les dépenses de consommation des ménages au Nigéria sur la période 1981 à 2017. En se basant sur le modèle ARDL, </w:t>
      </w:r>
      <w:r w:rsidR="00220585">
        <w:rPr>
          <w:rFonts w:ascii="Times New Roman" w:eastAsia="Times New Roman" w:hAnsi="Times New Roman" w:cs="Times New Roman"/>
          <w:color w:val="000000"/>
          <w:sz w:val="24"/>
          <w:szCs w:val="24"/>
          <w:lang w:val="fr-FR"/>
        </w:rPr>
        <w:t>les auteurs</w:t>
      </w:r>
      <w:r w:rsidR="006D388F" w:rsidRPr="00256989">
        <w:rPr>
          <w:rFonts w:ascii="Times New Roman" w:eastAsia="Times New Roman" w:hAnsi="Times New Roman" w:cs="Times New Roman"/>
          <w:color w:val="000000"/>
          <w:sz w:val="24"/>
          <w:szCs w:val="24"/>
          <w:lang w:val="fr-FR"/>
        </w:rPr>
        <w:t xml:space="preserve"> conclu</w:t>
      </w:r>
      <w:r w:rsidR="00220585">
        <w:rPr>
          <w:rFonts w:ascii="Times New Roman" w:eastAsia="Times New Roman" w:hAnsi="Times New Roman" w:cs="Times New Roman"/>
          <w:color w:val="000000"/>
          <w:sz w:val="24"/>
          <w:szCs w:val="24"/>
          <w:lang w:val="fr-FR"/>
        </w:rPr>
        <w:t>en</w:t>
      </w:r>
      <w:r w:rsidR="006D388F" w:rsidRPr="00256989">
        <w:rPr>
          <w:rFonts w:ascii="Times New Roman" w:eastAsia="Times New Roman" w:hAnsi="Times New Roman" w:cs="Times New Roman"/>
          <w:color w:val="000000"/>
          <w:sz w:val="24"/>
          <w:szCs w:val="24"/>
          <w:lang w:val="fr-FR"/>
        </w:rPr>
        <w:t>t que la</w:t>
      </w:r>
      <w:r w:rsidR="00ED3409" w:rsidRPr="00256989">
        <w:rPr>
          <w:rFonts w:ascii="Times New Roman" w:eastAsia="Times New Roman" w:hAnsi="Times New Roman" w:cs="Times New Roman"/>
          <w:color w:val="000000"/>
          <w:sz w:val="24"/>
          <w:szCs w:val="24"/>
          <w:lang w:val="fr-FR"/>
        </w:rPr>
        <w:t xml:space="preserve"> hausse de la</w:t>
      </w:r>
      <w:r w:rsidR="006D388F" w:rsidRPr="00256989">
        <w:rPr>
          <w:rFonts w:ascii="Times New Roman" w:eastAsia="Times New Roman" w:hAnsi="Times New Roman" w:cs="Times New Roman"/>
          <w:color w:val="000000"/>
          <w:sz w:val="24"/>
          <w:szCs w:val="24"/>
          <w:lang w:val="fr-FR"/>
        </w:rPr>
        <w:t xml:space="preserve"> taxe sur la valeur ajouté</w:t>
      </w:r>
      <w:r w:rsidR="00ED3409" w:rsidRPr="00256989">
        <w:rPr>
          <w:rFonts w:ascii="Times New Roman" w:eastAsia="Times New Roman" w:hAnsi="Times New Roman" w:cs="Times New Roman"/>
          <w:color w:val="000000"/>
          <w:sz w:val="24"/>
          <w:szCs w:val="24"/>
          <w:lang w:val="fr-FR"/>
        </w:rPr>
        <w:t>e et</w:t>
      </w:r>
      <w:r w:rsidR="006D388F" w:rsidRPr="00256989">
        <w:rPr>
          <w:rFonts w:ascii="Times New Roman" w:eastAsia="Times New Roman" w:hAnsi="Times New Roman" w:cs="Times New Roman"/>
          <w:color w:val="000000"/>
          <w:sz w:val="24"/>
          <w:szCs w:val="24"/>
          <w:lang w:val="fr-FR"/>
        </w:rPr>
        <w:t xml:space="preserve"> l</w:t>
      </w:r>
      <w:r w:rsidR="00ED3409" w:rsidRPr="00256989">
        <w:rPr>
          <w:rFonts w:ascii="Times New Roman" w:eastAsia="Times New Roman" w:hAnsi="Times New Roman" w:cs="Times New Roman"/>
          <w:color w:val="000000"/>
          <w:sz w:val="24"/>
          <w:szCs w:val="24"/>
          <w:lang w:val="fr-FR"/>
        </w:rPr>
        <w:t>a hausse du</w:t>
      </w:r>
      <w:r w:rsidR="006D388F" w:rsidRPr="00256989">
        <w:rPr>
          <w:rFonts w:ascii="Times New Roman" w:eastAsia="Times New Roman" w:hAnsi="Times New Roman" w:cs="Times New Roman"/>
          <w:color w:val="000000"/>
          <w:sz w:val="24"/>
          <w:szCs w:val="24"/>
          <w:lang w:val="fr-FR"/>
        </w:rPr>
        <w:t xml:space="preserve"> taux d’</w:t>
      </w:r>
      <w:r w:rsidR="00220585" w:rsidRPr="00220585">
        <w:rPr>
          <w:rFonts w:ascii="Times New Roman" w:eastAsia="Times New Roman" w:hAnsi="Times New Roman" w:cs="Times New Roman"/>
          <w:color w:val="000000"/>
          <w:sz w:val="24"/>
          <w:szCs w:val="24"/>
          <w:lang w:val="fr-FR"/>
        </w:rPr>
        <w:t>intérêt</w:t>
      </w:r>
      <w:r w:rsidR="006D388F" w:rsidRPr="00256989">
        <w:rPr>
          <w:rFonts w:ascii="Times New Roman" w:eastAsia="Times New Roman" w:hAnsi="Times New Roman" w:cs="Times New Roman"/>
          <w:color w:val="000000"/>
          <w:sz w:val="24"/>
          <w:szCs w:val="24"/>
          <w:lang w:val="fr-FR"/>
        </w:rPr>
        <w:t xml:space="preserve"> ont un impact positif et significatif sur la consommation des ménages. En revanche, l</w:t>
      </w:r>
      <w:r w:rsidR="00ED3409" w:rsidRPr="00256989">
        <w:rPr>
          <w:rFonts w:ascii="Times New Roman" w:eastAsia="Times New Roman" w:hAnsi="Times New Roman" w:cs="Times New Roman"/>
          <w:color w:val="000000"/>
          <w:sz w:val="24"/>
          <w:szCs w:val="24"/>
          <w:lang w:val="fr-FR"/>
        </w:rPr>
        <w:t>’augmentation des</w:t>
      </w:r>
      <w:r w:rsidR="006D388F" w:rsidRPr="00256989">
        <w:rPr>
          <w:rFonts w:ascii="Times New Roman" w:eastAsia="Times New Roman" w:hAnsi="Times New Roman" w:cs="Times New Roman"/>
          <w:color w:val="000000"/>
          <w:sz w:val="24"/>
          <w:szCs w:val="24"/>
          <w:lang w:val="fr-FR"/>
        </w:rPr>
        <w:t xml:space="preserve"> droits de douane et accises passés ont un impact positif et significatif sur la consommation réelle des ménages.</w:t>
      </w:r>
      <w:r w:rsidR="00ED3409" w:rsidRPr="00256989">
        <w:rPr>
          <w:rFonts w:ascii="Times New Roman" w:eastAsia="Times New Roman" w:hAnsi="Times New Roman" w:cs="Times New Roman"/>
          <w:color w:val="000000"/>
          <w:sz w:val="24"/>
          <w:szCs w:val="24"/>
          <w:lang w:val="fr-FR"/>
        </w:rPr>
        <w:t xml:space="preserve"> Ces différentes études se son</w:t>
      </w:r>
      <w:r w:rsidR="002B3F8C" w:rsidRPr="00256989">
        <w:rPr>
          <w:rFonts w:ascii="Times New Roman" w:eastAsia="Times New Roman" w:hAnsi="Times New Roman" w:cs="Times New Roman"/>
          <w:color w:val="000000"/>
          <w:sz w:val="24"/>
          <w:szCs w:val="24"/>
          <w:lang w:val="fr-FR"/>
        </w:rPr>
        <w:t>t concentrées sur la consommation finale des ménages globalement par contre la présente recherche prend en compte les composantes de la consommation des ménages.</w:t>
      </w:r>
    </w:p>
    <w:p w14:paraId="29CDEF4E" w14:textId="77777777" w:rsidR="002B3F8C" w:rsidRPr="00256989" w:rsidRDefault="002B3F8C" w:rsidP="009C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5E3FCF8A" w14:textId="4696866F" w:rsidR="002B3F8C" w:rsidRDefault="002B3F8C" w:rsidP="009C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I</w:t>
      </w:r>
      <w:r w:rsidR="00220585">
        <w:rPr>
          <w:rFonts w:ascii="Times New Roman" w:eastAsia="Times New Roman" w:hAnsi="Times New Roman" w:cs="Times New Roman"/>
          <w:color w:val="000000"/>
          <w:sz w:val="24"/>
          <w:szCs w:val="24"/>
          <w:lang w:val="fr-FR"/>
        </w:rPr>
        <w:t>l</w:t>
      </w:r>
      <w:r w:rsidRPr="00256989">
        <w:rPr>
          <w:rFonts w:ascii="Times New Roman" w:eastAsia="Times New Roman" w:hAnsi="Times New Roman" w:cs="Times New Roman"/>
          <w:color w:val="000000"/>
          <w:sz w:val="24"/>
          <w:szCs w:val="24"/>
          <w:lang w:val="fr-FR"/>
        </w:rPr>
        <w:t xml:space="preserve"> est observé que les travaux </w:t>
      </w:r>
      <w:r w:rsidR="00C7527D" w:rsidRPr="00256989">
        <w:rPr>
          <w:rFonts w:ascii="Times New Roman" w:eastAsia="Times New Roman" w:hAnsi="Times New Roman" w:cs="Times New Roman"/>
          <w:color w:val="000000"/>
          <w:sz w:val="24"/>
          <w:szCs w:val="24"/>
          <w:lang w:val="fr-FR"/>
        </w:rPr>
        <w:t xml:space="preserve">existants </w:t>
      </w:r>
      <w:r w:rsidR="00220585" w:rsidRPr="00220585">
        <w:rPr>
          <w:rFonts w:ascii="Times New Roman" w:eastAsia="Times New Roman" w:hAnsi="Times New Roman" w:cs="Times New Roman"/>
          <w:color w:val="000000"/>
          <w:sz w:val="24"/>
          <w:szCs w:val="24"/>
          <w:lang w:val="fr-FR"/>
        </w:rPr>
        <w:t>intégrant</w:t>
      </w:r>
      <w:r w:rsidR="00C7527D" w:rsidRPr="00256989">
        <w:rPr>
          <w:rFonts w:ascii="Times New Roman" w:eastAsia="Times New Roman" w:hAnsi="Times New Roman" w:cs="Times New Roman"/>
          <w:color w:val="000000"/>
          <w:sz w:val="24"/>
          <w:szCs w:val="24"/>
          <w:lang w:val="fr-FR"/>
        </w:rPr>
        <w:t xml:space="preserve"> les taxes tel</w:t>
      </w:r>
      <w:r w:rsidR="00220585">
        <w:rPr>
          <w:rFonts w:ascii="Times New Roman" w:eastAsia="Times New Roman" w:hAnsi="Times New Roman" w:cs="Times New Roman"/>
          <w:color w:val="000000"/>
          <w:sz w:val="24"/>
          <w:szCs w:val="24"/>
          <w:lang w:val="fr-FR"/>
        </w:rPr>
        <w:t>les</w:t>
      </w:r>
      <w:r w:rsidR="00C7527D" w:rsidRPr="00256989">
        <w:rPr>
          <w:rFonts w:ascii="Times New Roman" w:eastAsia="Times New Roman" w:hAnsi="Times New Roman" w:cs="Times New Roman"/>
          <w:color w:val="000000"/>
          <w:sz w:val="24"/>
          <w:szCs w:val="24"/>
          <w:lang w:val="fr-FR"/>
        </w:rPr>
        <w:t xml:space="preserve"> que les impôt</w:t>
      </w:r>
      <w:r w:rsidR="00B2566D">
        <w:rPr>
          <w:rFonts w:ascii="Times New Roman" w:eastAsia="Times New Roman" w:hAnsi="Times New Roman" w:cs="Times New Roman"/>
          <w:color w:val="000000"/>
          <w:sz w:val="24"/>
          <w:szCs w:val="24"/>
          <w:lang w:val="fr-FR"/>
        </w:rPr>
        <w:t>s</w:t>
      </w:r>
      <w:r w:rsidR="00C7527D" w:rsidRPr="00256989">
        <w:rPr>
          <w:rFonts w:ascii="Times New Roman" w:eastAsia="Times New Roman" w:hAnsi="Times New Roman" w:cs="Times New Roman"/>
          <w:color w:val="000000"/>
          <w:sz w:val="24"/>
          <w:szCs w:val="24"/>
          <w:lang w:val="fr-FR"/>
        </w:rPr>
        <w:t xml:space="preserve"> sur les traitements et salaires pour saisir l’effet des taxes sur la consommation finale des ménages sont rares. La plupart des études associaient les impôts à des différentes variables de résultat et limitaient leurs </w:t>
      </w:r>
      <w:r w:rsidR="00C7527D" w:rsidRPr="00256989">
        <w:rPr>
          <w:rFonts w:ascii="Times New Roman" w:eastAsia="Times New Roman" w:hAnsi="Times New Roman" w:cs="Times New Roman"/>
          <w:color w:val="000000"/>
          <w:sz w:val="24"/>
          <w:szCs w:val="24"/>
          <w:lang w:val="fr-FR"/>
        </w:rPr>
        <w:lastRenderedPageBreak/>
        <w:t xml:space="preserve">études sur la consommation de façon globale. En outre, les études sur le Burkina Faso sont rares. Par conséquent, cette recherche analyse l’effet de la structure fiscale sur la consommation finale des ménages </w:t>
      </w:r>
      <w:r w:rsidR="004575AB" w:rsidRPr="00256989">
        <w:rPr>
          <w:rFonts w:ascii="Times New Roman" w:eastAsia="Times New Roman" w:hAnsi="Times New Roman" w:cs="Times New Roman"/>
          <w:color w:val="000000"/>
          <w:sz w:val="24"/>
          <w:szCs w:val="24"/>
          <w:lang w:val="fr-FR"/>
        </w:rPr>
        <w:t>au Burkina Faso en ce qui concerne l’impôt unique sur les traitements et salaires, la taxe sur la valeur ajoutée. Elle tient compte également des différentes composantes de consommation finale des ménages.</w:t>
      </w:r>
    </w:p>
    <w:p w14:paraId="17B01FD4" w14:textId="77777777" w:rsidR="00EB4997" w:rsidRDefault="00EB4997" w:rsidP="009C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3665406A" w14:textId="7769BF8B" w:rsidR="00B526B2" w:rsidRDefault="00EB4997" w:rsidP="009C240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fr-FR"/>
        </w:rPr>
      </w:pPr>
      <w:r w:rsidRPr="00EB4997">
        <w:rPr>
          <w:rFonts w:ascii="Times New Roman" w:eastAsia="Times New Roman" w:hAnsi="Times New Roman" w:cs="Times New Roman"/>
          <w:b/>
          <w:color w:val="000000"/>
          <w:sz w:val="24"/>
          <w:szCs w:val="24"/>
          <w:lang w:val="fr-FR"/>
        </w:rPr>
        <w:t>II. Les faits stylisés</w:t>
      </w:r>
    </w:p>
    <w:p w14:paraId="70AE267D" w14:textId="06FE4B2F" w:rsidR="00B526B2" w:rsidRDefault="00B526B2" w:rsidP="00B526B2">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Nous présentons </w:t>
      </w:r>
      <w:r w:rsidR="000112F3">
        <w:rPr>
          <w:rFonts w:ascii="Times New Roman" w:eastAsia="Times New Roman" w:hAnsi="Times New Roman" w:cs="Times New Roman"/>
          <w:color w:val="000000"/>
          <w:sz w:val="24"/>
          <w:szCs w:val="24"/>
          <w:lang w:val="fr-FR"/>
        </w:rPr>
        <w:t xml:space="preserve">dans cette partie, </w:t>
      </w:r>
      <w:r w:rsidRPr="00256989">
        <w:rPr>
          <w:rFonts w:ascii="Times New Roman" w:eastAsia="Times New Roman" w:hAnsi="Times New Roman" w:cs="Times New Roman"/>
          <w:color w:val="000000"/>
          <w:sz w:val="24"/>
          <w:szCs w:val="24"/>
          <w:lang w:val="fr-FR"/>
        </w:rPr>
        <w:t>l’évolution des</w:t>
      </w:r>
      <w:r w:rsidR="000112F3">
        <w:rPr>
          <w:rFonts w:ascii="Times New Roman" w:eastAsia="Times New Roman" w:hAnsi="Times New Roman" w:cs="Times New Roman"/>
          <w:color w:val="000000"/>
          <w:sz w:val="24"/>
          <w:szCs w:val="24"/>
          <w:lang w:val="fr-FR"/>
        </w:rPr>
        <w:t xml:space="preserve"> différents indicateurs à savoir les</w:t>
      </w:r>
      <w:r w:rsidRPr="00256989">
        <w:rPr>
          <w:rFonts w:ascii="Times New Roman" w:eastAsia="Times New Roman" w:hAnsi="Times New Roman" w:cs="Times New Roman"/>
          <w:color w:val="000000"/>
          <w:sz w:val="24"/>
          <w:szCs w:val="24"/>
          <w:lang w:val="fr-FR"/>
        </w:rPr>
        <w:t xml:space="preserve"> dépenses de consommation </w:t>
      </w:r>
      <w:r w:rsidR="000112F3">
        <w:rPr>
          <w:rFonts w:ascii="Times New Roman" w:eastAsia="Times New Roman" w:hAnsi="Times New Roman" w:cs="Times New Roman"/>
          <w:color w:val="000000"/>
          <w:sz w:val="24"/>
          <w:szCs w:val="24"/>
          <w:lang w:val="fr-FR"/>
        </w:rPr>
        <w:t xml:space="preserve">finale </w:t>
      </w:r>
      <w:r w:rsidRPr="00256989">
        <w:rPr>
          <w:rFonts w:ascii="Times New Roman" w:eastAsia="Times New Roman" w:hAnsi="Times New Roman" w:cs="Times New Roman"/>
          <w:color w:val="000000"/>
          <w:sz w:val="24"/>
          <w:szCs w:val="24"/>
          <w:lang w:val="fr-FR"/>
        </w:rPr>
        <w:t>des ménages ainsi que la structure des dépens</w:t>
      </w:r>
      <w:r w:rsidR="000112F3">
        <w:rPr>
          <w:rFonts w:ascii="Times New Roman" w:eastAsia="Times New Roman" w:hAnsi="Times New Roman" w:cs="Times New Roman"/>
          <w:color w:val="000000"/>
          <w:sz w:val="24"/>
          <w:szCs w:val="24"/>
          <w:lang w:val="fr-FR"/>
        </w:rPr>
        <w:t xml:space="preserve">es de consommations des ménages et les taux effectifs </w:t>
      </w:r>
      <w:r w:rsidR="002D23DB">
        <w:rPr>
          <w:rFonts w:ascii="Times New Roman" w:eastAsia="Times New Roman" w:hAnsi="Times New Roman" w:cs="Times New Roman"/>
          <w:color w:val="000000"/>
          <w:sz w:val="24"/>
          <w:szCs w:val="24"/>
          <w:lang w:val="fr-FR"/>
        </w:rPr>
        <w:t>de la TVA et l’IUTS.</w:t>
      </w:r>
    </w:p>
    <w:p w14:paraId="055AC5D0" w14:textId="197B1473" w:rsidR="00CA6F8B" w:rsidRPr="00256989" w:rsidRDefault="00B939D7" w:rsidP="00B939D7">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t xml:space="preserve">II.1. </w:t>
      </w:r>
      <w:r w:rsidR="00CA6F8B" w:rsidRPr="00256989">
        <w:rPr>
          <w:rFonts w:ascii="Times New Roman" w:eastAsia="Times New Roman" w:hAnsi="Times New Roman" w:cs="Times New Roman"/>
          <w:b/>
          <w:color w:val="000000"/>
          <w:sz w:val="24"/>
          <w:szCs w:val="24"/>
          <w:lang w:val="fr-FR"/>
        </w:rPr>
        <w:t>Evolution des dépenses de consommation finale des ménages par habitant</w:t>
      </w:r>
      <w:r w:rsidR="004856B8">
        <w:rPr>
          <w:rFonts w:ascii="Times New Roman" w:eastAsia="Times New Roman" w:hAnsi="Times New Roman" w:cs="Times New Roman"/>
          <w:b/>
          <w:color w:val="000000"/>
          <w:sz w:val="24"/>
          <w:szCs w:val="24"/>
          <w:lang w:val="fr-FR"/>
        </w:rPr>
        <w:t> ,le taux effectif de la TVA et l’IUTS</w:t>
      </w:r>
      <w:r w:rsidR="00CA6F8B" w:rsidRPr="00256989">
        <w:rPr>
          <w:rFonts w:ascii="Times New Roman" w:eastAsia="Times New Roman" w:hAnsi="Times New Roman" w:cs="Times New Roman"/>
          <w:b/>
          <w:color w:val="000000"/>
          <w:sz w:val="24"/>
          <w:szCs w:val="24"/>
          <w:lang w:val="fr-FR"/>
        </w:rPr>
        <w:t xml:space="preserve"> au Burkina Faso</w:t>
      </w:r>
    </w:p>
    <w:p w14:paraId="06636A93" w14:textId="122E9F23" w:rsidR="00CA6F8B" w:rsidRDefault="00CA6F8B" w:rsidP="00CA6F8B">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La figure 1 retrace l’évolution du niveau des dépenses de consommation finale des ménages</w:t>
      </w:r>
      <w:r w:rsidR="000504C8">
        <w:rPr>
          <w:rFonts w:ascii="Times New Roman" w:eastAsia="Times New Roman" w:hAnsi="Times New Roman" w:cs="Times New Roman"/>
          <w:color w:val="000000"/>
          <w:sz w:val="24"/>
          <w:szCs w:val="24"/>
          <w:lang w:val="fr-FR"/>
        </w:rPr>
        <w:t xml:space="preserve"> transformer en </w:t>
      </w:r>
      <w:r w:rsidR="00417E4E">
        <w:rPr>
          <w:rFonts w:ascii="Times New Roman" w:eastAsia="Times New Roman" w:hAnsi="Times New Roman" w:cs="Times New Roman"/>
          <w:color w:val="000000"/>
          <w:sz w:val="24"/>
          <w:szCs w:val="24"/>
          <w:lang w:val="fr-FR"/>
        </w:rPr>
        <w:t>logarithme</w:t>
      </w:r>
      <w:r w:rsidR="009F03C5">
        <w:rPr>
          <w:rFonts w:ascii="Times New Roman" w:eastAsia="Times New Roman" w:hAnsi="Times New Roman" w:cs="Times New Roman"/>
          <w:color w:val="000000"/>
          <w:sz w:val="24"/>
          <w:szCs w:val="24"/>
          <w:lang w:val="fr-FR"/>
        </w:rPr>
        <w:t xml:space="preserve">, le taux effectif de la taxe sur </w:t>
      </w:r>
      <w:r w:rsidR="003625E7">
        <w:rPr>
          <w:rFonts w:ascii="Times New Roman" w:eastAsia="Times New Roman" w:hAnsi="Times New Roman" w:cs="Times New Roman"/>
          <w:color w:val="000000"/>
          <w:sz w:val="24"/>
          <w:szCs w:val="24"/>
          <w:lang w:val="fr-FR"/>
        </w:rPr>
        <w:t>la valeur ajoutée</w:t>
      </w:r>
      <w:r w:rsidR="0085788E">
        <w:rPr>
          <w:rFonts w:ascii="Times New Roman" w:eastAsia="Times New Roman" w:hAnsi="Times New Roman" w:cs="Times New Roman"/>
          <w:color w:val="000000"/>
          <w:sz w:val="24"/>
          <w:szCs w:val="24"/>
          <w:lang w:val="fr-FR"/>
        </w:rPr>
        <w:t xml:space="preserve"> et le taux effectif de l’impôt unique</w:t>
      </w:r>
      <w:r w:rsidRPr="00256989">
        <w:rPr>
          <w:rFonts w:ascii="Times New Roman" w:eastAsia="Times New Roman" w:hAnsi="Times New Roman" w:cs="Times New Roman"/>
          <w:color w:val="000000"/>
          <w:sz w:val="24"/>
          <w:szCs w:val="24"/>
          <w:lang w:val="fr-FR"/>
        </w:rPr>
        <w:t xml:space="preserve"> </w:t>
      </w:r>
      <w:r w:rsidR="001F6E09">
        <w:rPr>
          <w:rFonts w:ascii="Times New Roman" w:eastAsia="Times New Roman" w:hAnsi="Times New Roman" w:cs="Times New Roman"/>
          <w:color w:val="000000"/>
          <w:sz w:val="24"/>
          <w:szCs w:val="24"/>
          <w:lang w:val="fr-FR"/>
        </w:rPr>
        <w:t xml:space="preserve">et traitement des salaires </w:t>
      </w:r>
      <w:r w:rsidRPr="00256989">
        <w:rPr>
          <w:rFonts w:ascii="Times New Roman" w:eastAsia="Times New Roman" w:hAnsi="Times New Roman" w:cs="Times New Roman"/>
          <w:color w:val="000000"/>
          <w:sz w:val="24"/>
          <w:szCs w:val="24"/>
          <w:lang w:val="fr-FR"/>
        </w:rPr>
        <w:t>au Burkina Faso sur la période</w:t>
      </w:r>
      <w:r w:rsidR="003625E7">
        <w:rPr>
          <w:rFonts w:ascii="Times New Roman" w:eastAsia="Times New Roman" w:hAnsi="Times New Roman" w:cs="Times New Roman"/>
          <w:color w:val="000000"/>
          <w:sz w:val="24"/>
          <w:szCs w:val="24"/>
          <w:lang w:val="fr-FR"/>
        </w:rPr>
        <w:t xml:space="preserve"> allant du quatrième trimestre de </w:t>
      </w:r>
      <w:r w:rsidRPr="00256989">
        <w:rPr>
          <w:rFonts w:ascii="Times New Roman" w:eastAsia="Times New Roman" w:hAnsi="Times New Roman" w:cs="Times New Roman"/>
          <w:color w:val="000000"/>
          <w:sz w:val="24"/>
          <w:szCs w:val="24"/>
          <w:lang w:val="fr-FR"/>
        </w:rPr>
        <w:t>2003</w:t>
      </w:r>
      <w:r w:rsidR="003625E7">
        <w:rPr>
          <w:rFonts w:ascii="Times New Roman" w:eastAsia="Times New Roman" w:hAnsi="Times New Roman" w:cs="Times New Roman"/>
          <w:color w:val="000000"/>
          <w:sz w:val="24"/>
          <w:szCs w:val="24"/>
          <w:lang w:val="fr-FR"/>
        </w:rPr>
        <w:t xml:space="preserve"> au premier trimestre de </w:t>
      </w:r>
      <w:r w:rsidRPr="00256989">
        <w:rPr>
          <w:rFonts w:ascii="Times New Roman" w:eastAsia="Times New Roman" w:hAnsi="Times New Roman" w:cs="Times New Roman"/>
          <w:color w:val="000000"/>
          <w:sz w:val="24"/>
          <w:szCs w:val="24"/>
          <w:lang w:val="fr-FR"/>
        </w:rPr>
        <w:t>2022. Durant la période 2003</w:t>
      </w:r>
      <w:r w:rsidR="000274A7">
        <w:rPr>
          <w:rFonts w:ascii="Times New Roman" w:eastAsia="Times New Roman" w:hAnsi="Times New Roman" w:cs="Times New Roman"/>
          <w:color w:val="000000"/>
          <w:sz w:val="24"/>
          <w:szCs w:val="24"/>
          <w:lang w:val="fr-FR"/>
        </w:rPr>
        <w:t>Q4</w:t>
      </w:r>
      <w:r w:rsidRPr="00256989">
        <w:rPr>
          <w:rFonts w:ascii="Times New Roman" w:eastAsia="Times New Roman" w:hAnsi="Times New Roman" w:cs="Times New Roman"/>
          <w:color w:val="000000"/>
          <w:sz w:val="24"/>
          <w:szCs w:val="24"/>
          <w:lang w:val="fr-FR"/>
        </w:rPr>
        <w:t xml:space="preserve"> à 2013</w:t>
      </w:r>
      <w:r w:rsidR="000274A7">
        <w:rPr>
          <w:rFonts w:ascii="Times New Roman" w:eastAsia="Times New Roman" w:hAnsi="Times New Roman" w:cs="Times New Roman"/>
          <w:color w:val="000000"/>
          <w:sz w:val="24"/>
          <w:szCs w:val="24"/>
          <w:lang w:val="fr-FR"/>
        </w:rPr>
        <w:t>Q</w:t>
      </w:r>
      <w:r w:rsidR="00FA7C51">
        <w:rPr>
          <w:rFonts w:ascii="Times New Roman" w:eastAsia="Times New Roman" w:hAnsi="Times New Roman" w:cs="Times New Roman"/>
          <w:color w:val="000000"/>
          <w:sz w:val="24"/>
          <w:szCs w:val="24"/>
          <w:lang w:val="fr-FR"/>
        </w:rPr>
        <w:t>4</w:t>
      </w:r>
      <w:r w:rsidRPr="00256989">
        <w:rPr>
          <w:rFonts w:ascii="Times New Roman" w:eastAsia="Times New Roman" w:hAnsi="Times New Roman" w:cs="Times New Roman"/>
          <w:color w:val="000000"/>
          <w:sz w:val="24"/>
          <w:szCs w:val="24"/>
          <w:lang w:val="fr-FR"/>
        </w:rPr>
        <w:t xml:space="preserve">, on remarque une augmentation régulière du niveau de dépense de consommation finale des ménages allant de </w:t>
      </w:r>
      <w:r w:rsidR="00417E4E">
        <w:rPr>
          <w:rFonts w:ascii="Times New Roman" w:eastAsia="Times New Roman" w:hAnsi="Times New Roman" w:cs="Times New Roman"/>
          <w:color w:val="000000"/>
          <w:sz w:val="24"/>
          <w:szCs w:val="24"/>
          <w:lang w:val="fr-FR"/>
        </w:rPr>
        <w:t>5,91</w:t>
      </w:r>
      <w:r w:rsidRPr="00256989">
        <w:rPr>
          <w:rFonts w:ascii="Times New Roman" w:eastAsia="Times New Roman" w:hAnsi="Times New Roman" w:cs="Times New Roman"/>
          <w:color w:val="000000"/>
          <w:sz w:val="24"/>
          <w:szCs w:val="24"/>
          <w:lang w:val="fr-FR"/>
        </w:rPr>
        <w:t>%</w:t>
      </w:r>
      <w:r w:rsidR="00C0238C">
        <w:rPr>
          <w:rFonts w:ascii="Times New Roman" w:eastAsia="Times New Roman" w:hAnsi="Times New Roman" w:cs="Times New Roman"/>
          <w:color w:val="000000"/>
          <w:sz w:val="24"/>
          <w:szCs w:val="24"/>
          <w:lang w:val="fr-FR"/>
        </w:rPr>
        <w:t xml:space="preserve"> à 6,</w:t>
      </w:r>
      <w:r w:rsidR="00FA7C51">
        <w:rPr>
          <w:rFonts w:ascii="Times New Roman" w:eastAsia="Times New Roman" w:hAnsi="Times New Roman" w:cs="Times New Roman"/>
          <w:color w:val="000000"/>
          <w:sz w:val="24"/>
          <w:szCs w:val="24"/>
          <w:lang w:val="fr-FR"/>
        </w:rPr>
        <w:t>12</w:t>
      </w:r>
      <w:r w:rsidRPr="00256989">
        <w:rPr>
          <w:rFonts w:ascii="Times New Roman" w:eastAsia="Times New Roman" w:hAnsi="Times New Roman" w:cs="Times New Roman"/>
          <w:color w:val="000000"/>
          <w:sz w:val="24"/>
          <w:szCs w:val="24"/>
          <w:lang w:val="fr-FR"/>
        </w:rPr>
        <w:t>%</w:t>
      </w:r>
      <w:r w:rsidR="00902EFF">
        <w:rPr>
          <w:rFonts w:ascii="Times New Roman" w:eastAsia="Times New Roman" w:hAnsi="Times New Roman" w:cs="Times New Roman"/>
          <w:color w:val="000000"/>
          <w:sz w:val="24"/>
          <w:szCs w:val="24"/>
          <w:lang w:val="fr-FR"/>
        </w:rPr>
        <w:t>.</w:t>
      </w:r>
      <w:r w:rsidR="000A4B35">
        <w:rPr>
          <w:rFonts w:ascii="Times New Roman" w:eastAsia="Times New Roman" w:hAnsi="Times New Roman" w:cs="Times New Roman"/>
          <w:color w:val="000000"/>
          <w:sz w:val="24"/>
          <w:szCs w:val="24"/>
          <w:lang w:val="fr-FR"/>
        </w:rPr>
        <w:t xml:space="preserve">Le pic est atteint en </w:t>
      </w:r>
      <w:r w:rsidR="00C82D43">
        <w:rPr>
          <w:rFonts w:ascii="Times New Roman" w:eastAsia="Times New Roman" w:hAnsi="Times New Roman" w:cs="Times New Roman"/>
          <w:color w:val="000000"/>
          <w:sz w:val="24"/>
          <w:szCs w:val="24"/>
          <w:lang w:val="fr-FR"/>
        </w:rPr>
        <w:t>2013Q4 suivi d’une ph</w:t>
      </w:r>
      <w:r w:rsidR="00B15509">
        <w:rPr>
          <w:rFonts w:ascii="Times New Roman" w:eastAsia="Times New Roman" w:hAnsi="Times New Roman" w:cs="Times New Roman"/>
          <w:color w:val="000000"/>
          <w:sz w:val="24"/>
          <w:szCs w:val="24"/>
          <w:lang w:val="fr-FR"/>
        </w:rPr>
        <w:t>ase de stagnation.</w:t>
      </w:r>
      <w:r w:rsidR="00B15509" w:rsidRPr="00256989">
        <w:rPr>
          <w:rFonts w:ascii="Times New Roman" w:eastAsia="Times New Roman" w:hAnsi="Times New Roman" w:cs="Times New Roman"/>
          <w:color w:val="000000"/>
          <w:sz w:val="24"/>
          <w:szCs w:val="24"/>
          <w:lang w:val="fr-FR"/>
        </w:rPr>
        <w:t xml:space="preserve"> Cela</w:t>
      </w:r>
      <w:r w:rsidRPr="00256989">
        <w:rPr>
          <w:rFonts w:ascii="Times New Roman" w:eastAsia="Times New Roman" w:hAnsi="Times New Roman" w:cs="Times New Roman"/>
          <w:color w:val="000000"/>
          <w:sz w:val="24"/>
          <w:szCs w:val="24"/>
          <w:lang w:val="fr-FR"/>
        </w:rPr>
        <w:t xml:space="preserve"> se justifie par le fait qu’une part importante de la population migre vers les zones urbaines, ce qui peut entraîner une augmentation de la consommation. En effet, les coûts du niveau de vie en milieu urbain peuvent être plus élevés et les ménages peuvent dépenser davantage pour le logement, le transport, la nourriture et d’autres biens et services. De plus, avec l’amélioration de l’accès au </w:t>
      </w:r>
      <w:r w:rsidRPr="00256989">
        <w:rPr>
          <w:rFonts w:ascii="Times New Roman" w:eastAsia="Times New Roman" w:hAnsi="Times New Roman" w:cs="Times New Roman"/>
          <w:sz w:val="24"/>
          <w:szCs w:val="24"/>
          <w:lang w:val="fr-FR"/>
        </w:rPr>
        <w:t>crédit</w:t>
      </w:r>
      <w:r w:rsidRPr="00256989">
        <w:rPr>
          <w:rFonts w:ascii="Times New Roman" w:eastAsia="Times New Roman" w:hAnsi="Times New Roman" w:cs="Times New Roman"/>
          <w:color w:val="000000"/>
          <w:sz w:val="24"/>
          <w:szCs w:val="24"/>
          <w:lang w:val="fr-FR"/>
        </w:rPr>
        <w:t xml:space="preserve">, les ménages peuvent être plus enclins à dépenser, que ce soit pour l’achat de biens durables, l’éducation ou d’autres besoins. </w:t>
      </w:r>
      <w:r w:rsidRPr="00256989">
        <w:rPr>
          <w:rFonts w:ascii="Times New Roman" w:eastAsia="Times New Roman" w:hAnsi="Times New Roman" w:cs="Times New Roman"/>
          <w:sz w:val="24"/>
          <w:szCs w:val="24"/>
          <w:lang w:val="fr-FR"/>
        </w:rPr>
        <w:t>Également</w:t>
      </w:r>
      <w:r w:rsidRPr="00256989">
        <w:rPr>
          <w:rFonts w:ascii="Times New Roman" w:eastAsia="Times New Roman" w:hAnsi="Times New Roman" w:cs="Times New Roman"/>
          <w:color w:val="000000"/>
          <w:sz w:val="24"/>
          <w:szCs w:val="24"/>
          <w:lang w:val="fr-FR"/>
        </w:rPr>
        <w:t>, avec l’augmentation de la taille de la population, celle-ci peut entraîner une hausse des dépenses de consommation finale des ménages au Burkina Faso.</w:t>
      </w:r>
    </w:p>
    <w:p w14:paraId="2C0C163F" w14:textId="718B20F8" w:rsidR="00400A05" w:rsidRPr="00256989" w:rsidRDefault="00DB3160" w:rsidP="00CA6F8B">
      <w:pPr>
        <w:spacing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En ce qui concerne le taux effectif de la TVA </w:t>
      </w:r>
      <w:r w:rsidR="00FC18E1">
        <w:rPr>
          <w:rFonts w:ascii="Times New Roman" w:eastAsia="Times New Roman" w:hAnsi="Times New Roman" w:cs="Times New Roman"/>
          <w:color w:val="000000"/>
          <w:sz w:val="24"/>
          <w:szCs w:val="24"/>
          <w:lang w:val="fr-FR"/>
        </w:rPr>
        <w:t>,</w:t>
      </w:r>
      <w:r w:rsidR="00C01EB6">
        <w:rPr>
          <w:rFonts w:ascii="Times New Roman" w:eastAsia="Times New Roman" w:hAnsi="Times New Roman" w:cs="Times New Roman"/>
          <w:color w:val="000000"/>
          <w:sz w:val="24"/>
          <w:szCs w:val="24"/>
          <w:lang w:val="fr-FR"/>
        </w:rPr>
        <w:t xml:space="preserve">nous remarquons une forte </w:t>
      </w:r>
      <w:r w:rsidR="00353839">
        <w:rPr>
          <w:rFonts w:ascii="Times New Roman" w:eastAsia="Times New Roman" w:hAnsi="Times New Roman" w:cs="Times New Roman"/>
          <w:color w:val="000000"/>
          <w:sz w:val="24"/>
          <w:szCs w:val="24"/>
          <w:lang w:val="fr-FR"/>
        </w:rPr>
        <w:t>hausse entre 2005 à 2006 passant à plus de 3,5%. Par la suite, des variations irrégulières, mais une tendance haussière,</w:t>
      </w:r>
      <w:r w:rsidR="004625E9">
        <w:rPr>
          <w:rFonts w:ascii="Times New Roman" w:eastAsia="Times New Roman" w:hAnsi="Times New Roman" w:cs="Times New Roman"/>
          <w:color w:val="000000"/>
          <w:sz w:val="24"/>
          <w:szCs w:val="24"/>
          <w:lang w:val="fr-FR"/>
        </w:rPr>
        <w:t xml:space="preserve"> </w:t>
      </w:r>
      <w:r w:rsidR="00353839">
        <w:rPr>
          <w:rFonts w:ascii="Times New Roman" w:eastAsia="Times New Roman" w:hAnsi="Times New Roman" w:cs="Times New Roman"/>
          <w:color w:val="000000"/>
          <w:sz w:val="24"/>
          <w:szCs w:val="24"/>
          <w:lang w:val="fr-FR"/>
        </w:rPr>
        <w:t>stabilisée autour de 4,5</w:t>
      </w:r>
      <w:r w:rsidR="004625E9">
        <w:rPr>
          <w:rFonts w:ascii="Times New Roman" w:eastAsia="Times New Roman" w:hAnsi="Times New Roman" w:cs="Times New Roman"/>
          <w:color w:val="000000"/>
          <w:sz w:val="24"/>
          <w:szCs w:val="24"/>
          <w:lang w:val="fr-FR"/>
        </w:rPr>
        <w:t>% à 5% après 2015.</w:t>
      </w:r>
      <w:r w:rsidR="004625E9" w:rsidRPr="004625E9">
        <w:rPr>
          <w:rFonts w:ascii="Times New Roman" w:eastAsia="Times New Roman" w:hAnsi="Times New Roman" w:cs="Times New Roman"/>
          <w:color w:val="000000"/>
          <w:sz w:val="24"/>
          <w:szCs w:val="24"/>
          <w:lang w:val="fr-FR"/>
        </w:rPr>
        <w:t xml:space="preserve"> </w:t>
      </w:r>
      <w:r w:rsidR="004625E9">
        <w:rPr>
          <w:rFonts w:ascii="Times New Roman" w:eastAsia="Times New Roman" w:hAnsi="Times New Roman" w:cs="Times New Roman"/>
          <w:color w:val="000000"/>
          <w:sz w:val="24"/>
          <w:szCs w:val="24"/>
          <w:lang w:val="fr-FR"/>
        </w:rPr>
        <w:t>C</w:t>
      </w:r>
      <w:r w:rsidR="004625E9" w:rsidRPr="00256989">
        <w:rPr>
          <w:rFonts w:ascii="Times New Roman" w:eastAsia="Times New Roman" w:hAnsi="Times New Roman" w:cs="Times New Roman"/>
          <w:color w:val="000000"/>
          <w:sz w:val="24"/>
          <w:szCs w:val="24"/>
          <w:lang w:val="fr-FR"/>
        </w:rPr>
        <w:t xml:space="preserve">ela se justifie par le fait que les recettes provenant de la TVA ont baissé à cette année </w:t>
      </w:r>
      <w:r w:rsidR="004625E9" w:rsidRPr="00256989">
        <w:rPr>
          <w:rFonts w:ascii="Times New Roman" w:eastAsia="Times New Roman" w:hAnsi="Times New Roman" w:cs="Times New Roman"/>
          <w:color w:val="000000" w:themeColor="text1"/>
          <w:sz w:val="24"/>
          <w:szCs w:val="24"/>
          <w:lang w:val="fr-FR"/>
        </w:rPr>
        <w:t xml:space="preserve">de l’application de la TVA sur les importations pour les sociétés minières et sur les entreprises sous-traitantes pour le gouvernement et l’introduction de la </w:t>
      </w:r>
      <w:r w:rsidR="004625E9" w:rsidRPr="00256989">
        <w:rPr>
          <w:rFonts w:ascii="Times New Roman" w:eastAsia="Times New Roman" w:hAnsi="Times New Roman" w:cs="Times New Roman"/>
          <w:color w:val="000000" w:themeColor="text1"/>
          <w:sz w:val="24"/>
          <w:szCs w:val="24"/>
          <w:lang w:val="fr-FR"/>
        </w:rPr>
        <w:lastRenderedPageBreak/>
        <w:t>facturation normalisée de TVA pour lutter contre la fraude.</w:t>
      </w:r>
      <w:r w:rsidR="00054D15">
        <w:rPr>
          <w:rFonts w:ascii="Times New Roman" w:eastAsia="Times New Roman" w:hAnsi="Times New Roman" w:cs="Times New Roman"/>
          <w:color w:val="000000" w:themeColor="text1"/>
          <w:sz w:val="24"/>
          <w:szCs w:val="24"/>
          <w:lang w:val="fr-FR"/>
        </w:rPr>
        <w:t xml:space="preserve"> </w:t>
      </w:r>
      <w:r w:rsidR="005767ED">
        <w:rPr>
          <w:rFonts w:ascii="Times New Roman" w:eastAsia="Times New Roman" w:hAnsi="Times New Roman" w:cs="Times New Roman"/>
          <w:color w:val="000000" w:themeColor="text1"/>
          <w:sz w:val="24"/>
          <w:szCs w:val="24"/>
          <w:lang w:val="fr-FR"/>
        </w:rPr>
        <w:t>Quant</w:t>
      </w:r>
      <w:r w:rsidR="00054D15">
        <w:rPr>
          <w:rFonts w:ascii="Times New Roman" w:eastAsia="Times New Roman" w:hAnsi="Times New Roman" w:cs="Times New Roman"/>
          <w:color w:val="000000" w:themeColor="text1"/>
          <w:sz w:val="24"/>
          <w:szCs w:val="24"/>
          <w:lang w:val="fr-FR"/>
        </w:rPr>
        <w:t xml:space="preserve"> </w:t>
      </w:r>
      <w:r w:rsidR="005767ED">
        <w:rPr>
          <w:rFonts w:ascii="Times New Roman" w:eastAsia="Times New Roman" w:hAnsi="Times New Roman" w:cs="Times New Roman"/>
          <w:color w:val="000000" w:themeColor="text1"/>
          <w:sz w:val="24"/>
          <w:szCs w:val="24"/>
          <w:lang w:val="fr-FR"/>
        </w:rPr>
        <w:t xml:space="preserve">à </w:t>
      </w:r>
      <w:r w:rsidR="00054D15">
        <w:rPr>
          <w:rFonts w:ascii="Times New Roman" w:eastAsia="Times New Roman" w:hAnsi="Times New Roman" w:cs="Times New Roman"/>
          <w:color w:val="000000" w:themeColor="text1"/>
          <w:sz w:val="24"/>
          <w:szCs w:val="24"/>
          <w:lang w:val="fr-FR"/>
        </w:rPr>
        <w:t>l’IUTS, nous remarquons une croiss</w:t>
      </w:r>
      <w:r w:rsidR="00A15303">
        <w:rPr>
          <w:rFonts w:ascii="Times New Roman" w:eastAsia="Times New Roman" w:hAnsi="Times New Roman" w:cs="Times New Roman"/>
          <w:color w:val="000000" w:themeColor="text1"/>
          <w:sz w:val="24"/>
          <w:szCs w:val="24"/>
          <w:lang w:val="fr-FR"/>
        </w:rPr>
        <w:t>an</w:t>
      </w:r>
      <w:r w:rsidR="00054D15">
        <w:rPr>
          <w:rFonts w:ascii="Times New Roman" w:eastAsia="Times New Roman" w:hAnsi="Times New Roman" w:cs="Times New Roman"/>
          <w:color w:val="000000" w:themeColor="text1"/>
          <w:sz w:val="24"/>
          <w:szCs w:val="24"/>
          <w:lang w:val="fr-FR"/>
        </w:rPr>
        <w:t>ce con</w:t>
      </w:r>
      <w:r w:rsidR="00A15303">
        <w:rPr>
          <w:rFonts w:ascii="Times New Roman" w:eastAsia="Times New Roman" w:hAnsi="Times New Roman" w:cs="Times New Roman"/>
          <w:color w:val="000000" w:themeColor="text1"/>
          <w:sz w:val="24"/>
          <w:szCs w:val="24"/>
          <w:lang w:val="fr-FR"/>
        </w:rPr>
        <w:t>tinue</w:t>
      </w:r>
      <w:r w:rsidR="000425DB">
        <w:rPr>
          <w:rFonts w:ascii="Times New Roman" w:eastAsia="Times New Roman" w:hAnsi="Times New Roman" w:cs="Times New Roman"/>
          <w:color w:val="000000" w:themeColor="text1"/>
          <w:sz w:val="24"/>
          <w:szCs w:val="24"/>
          <w:lang w:val="fr-FR"/>
        </w:rPr>
        <w:t xml:space="preserve"> et progressi</w:t>
      </w:r>
      <w:r w:rsidR="00D53564">
        <w:rPr>
          <w:rFonts w:ascii="Times New Roman" w:eastAsia="Times New Roman" w:hAnsi="Times New Roman" w:cs="Times New Roman"/>
          <w:color w:val="000000" w:themeColor="text1"/>
          <w:sz w:val="24"/>
          <w:szCs w:val="24"/>
          <w:lang w:val="fr-FR"/>
        </w:rPr>
        <w:t>ve</w:t>
      </w:r>
      <w:r w:rsidR="00C340FA">
        <w:rPr>
          <w:rFonts w:ascii="Times New Roman" w:eastAsia="Times New Roman" w:hAnsi="Times New Roman" w:cs="Times New Roman"/>
          <w:color w:val="000000" w:themeColor="text1"/>
          <w:sz w:val="24"/>
          <w:szCs w:val="24"/>
          <w:lang w:val="fr-FR"/>
        </w:rPr>
        <w:t xml:space="preserve"> sur </w:t>
      </w:r>
      <w:r w:rsidR="00A41835">
        <w:rPr>
          <w:rFonts w:ascii="Times New Roman" w:eastAsia="Times New Roman" w:hAnsi="Times New Roman" w:cs="Times New Roman"/>
          <w:color w:val="000000"/>
          <w:sz w:val="24"/>
          <w:szCs w:val="24"/>
          <w:lang w:val="fr-FR"/>
        </w:rPr>
        <w:t>l’ensemble de</w:t>
      </w:r>
      <w:r w:rsidR="000425DB">
        <w:rPr>
          <w:rFonts w:ascii="Times New Roman" w:eastAsia="Times New Roman" w:hAnsi="Times New Roman" w:cs="Times New Roman"/>
          <w:color w:val="000000"/>
          <w:sz w:val="24"/>
          <w:szCs w:val="24"/>
          <w:lang w:val="fr-FR"/>
        </w:rPr>
        <w:t xml:space="preserve"> </w:t>
      </w:r>
      <w:r w:rsidR="00C340FA">
        <w:rPr>
          <w:rFonts w:ascii="Times New Roman" w:eastAsia="Times New Roman" w:hAnsi="Times New Roman" w:cs="Times New Roman"/>
          <w:color w:val="000000"/>
          <w:sz w:val="24"/>
          <w:szCs w:val="24"/>
          <w:lang w:val="fr-FR"/>
        </w:rPr>
        <w:t>la période.</w:t>
      </w:r>
      <w:r w:rsidR="00A2713B" w:rsidRPr="00A2713B">
        <w:rPr>
          <w:rFonts w:ascii="Times New Roman" w:eastAsia="Times New Roman" w:hAnsi="Times New Roman" w:cs="Times New Roman"/>
          <w:color w:val="000000"/>
          <w:sz w:val="24"/>
          <w:szCs w:val="24"/>
          <w:lang w:val="fr-FR"/>
        </w:rPr>
        <w:t xml:space="preserve"> </w:t>
      </w:r>
      <w:r w:rsidR="00A2713B" w:rsidRPr="00256989">
        <w:rPr>
          <w:rFonts w:ascii="Times New Roman" w:eastAsia="Times New Roman" w:hAnsi="Times New Roman" w:cs="Times New Roman"/>
          <w:color w:val="000000"/>
          <w:sz w:val="24"/>
          <w:szCs w:val="24"/>
          <w:lang w:val="fr-FR"/>
        </w:rPr>
        <w:t>Cela pourrait s’expliquer par la mise en place des réformes fiscales par le gouvernement dans le but de financer les programmes gouvernementaux</w:t>
      </w:r>
      <w:r w:rsidR="004856B8">
        <w:rPr>
          <w:rFonts w:ascii="Times New Roman" w:eastAsia="Times New Roman" w:hAnsi="Times New Roman" w:cs="Times New Roman"/>
          <w:color w:val="000000"/>
          <w:sz w:val="24"/>
          <w:szCs w:val="24"/>
          <w:lang w:val="fr-FR"/>
        </w:rPr>
        <w:t>.</w:t>
      </w:r>
    </w:p>
    <w:p w14:paraId="6BF962EC" w14:textId="2845E249" w:rsidR="00CA6F8B" w:rsidRPr="00256989" w:rsidRDefault="00CA6F8B" w:rsidP="00CA6F8B">
      <w:pPr>
        <w:spacing w:line="360" w:lineRule="auto"/>
        <w:jc w:val="both"/>
        <w:rPr>
          <w:rFonts w:ascii="Times New Roman" w:eastAsia="Times New Roman" w:hAnsi="Times New Roman" w:cs="Times New Roman"/>
          <w:i/>
          <w:color w:val="000000"/>
          <w:sz w:val="24"/>
          <w:szCs w:val="24"/>
          <w:lang w:val="fr-FR"/>
        </w:rPr>
      </w:pPr>
      <w:r w:rsidRPr="00256989">
        <w:rPr>
          <w:rFonts w:ascii="Times New Roman" w:eastAsia="Times New Roman" w:hAnsi="Times New Roman" w:cs="Times New Roman"/>
          <w:i/>
          <w:sz w:val="24"/>
          <w:szCs w:val="24"/>
          <w:lang w:val="fr-FR"/>
        </w:rPr>
        <w:t xml:space="preserve">Figure </w:t>
      </w:r>
      <w:r w:rsidR="00400A05" w:rsidRPr="00256989">
        <w:rPr>
          <w:rFonts w:ascii="Times New Roman" w:eastAsia="Times New Roman" w:hAnsi="Times New Roman" w:cs="Times New Roman"/>
          <w:i/>
          <w:sz w:val="24"/>
          <w:szCs w:val="24"/>
          <w:lang w:val="fr-FR"/>
        </w:rPr>
        <w:t>1</w:t>
      </w:r>
      <w:r w:rsidR="00400A05" w:rsidRPr="00256989">
        <w:rPr>
          <w:rFonts w:ascii="Times New Roman" w:eastAsia="Times New Roman" w:hAnsi="Times New Roman" w:cs="Times New Roman"/>
          <w:i/>
          <w:color w:val="000000"/>
          <w:sz w:val="24"/>
          <w:szCs w:val="24"/>
          <w:lang w:val="fr-FR"/>
        </w:rPr>
        <w:t xml:space="preserve"> :</w:t>
      </w:r>
      <w:r w:rsidRPr="00256989">
        <w:rPr>
          <w:rFonts w:ascii="Times New Roman" w:eastAsia="Times New Roman" w:hAnsi="Times New Roman" w:cs="Times New Roman"/>
          <w:i/>
          <w:color w:val="000000"/>
          <w:sz w:val="24"/>
          <w:szCs w:val="24"/>
          <w:lang w:val="fr-FR"/>
        </w:rPr>
        <w:t xml:space="preserve"> Evolution des dépenses de consommation finale des ménages</w:t>
      </w:r>
      <w:r w:rsidR="00931187">
        <w:rPr>
          <w:rFonts w:ascii="Times New Roman" w:eastAsia="Times New Roman" w:hAnsi="Times New Roman" w:cs="Times New Roman"/>
          <w:i/>
          <w:color w:val="000000"/>
          <w:sz w:val="24"/>
          <w:szCs w:val="24"/>
          <w:lang w:val="fr-FR"/>
        </w:rPr>
        <w:t>, le taux effectif de la TVA et l’</w:t>
      </w:r>
      <w:r w:rsidR="003D4911">
        <w:rPr>
          <w:rFonts w:ascii="Times New Roman" w:eastAsia="Times New Roman" w:hAnsi="Times New Roman" w:cs="Times New Roman"/>
          <w:i/>
          <w:color w:val="000000"/>
          <w:sz w:val="24"/>
          <w:szCs w:val="24"/>
          <w:lang w:val="fr-FR"/>
        </w:rPr>
        <w:t>IUTS</w:t>
      </w:r>
      <w:r w:rsidRPr="00256989">
        <w:rPr>
          <w:rFonts w:ascii="Times New Roman" w:eastAsia="Times New Roman" w:hAnsi="Times New Roman" w:cs="Times New Roman"/>
          <w:i/>
          <w:color w:val="000000"/>
          <w:sz w:val="24"/>
          <w:szCs w:val="24"/>
          <w:lang w:val="fr-FR"/>
        </w:rPr>
        <w:t xml:space="preserve"> au Burkina Faso</w:t>
      </w:r>
    </w:p>
    <w:p w14:paraId="5954F217" w14:textId="2476C956" w:rsidR="00CA6F8B" w:rsidRDefault="00B74663" w:rsidP="00CA6F8B">
      <w:pPr>
        <w:spacing w:line="360" w:lineRule="auto"/>
        <w:jc w:val="both"/>
        <w:rPr>
          <w:rFonts w:ascii="Times New Roman" w:eastAsia="Times New Roman" w:hAnsi="Times New Roman" w:cs="Times New Roman"/>
          <w:color w:val="000000"/>
          <w:sz w:val="24"/>
          <w:szCs w:val="24"/>
        </w:rPr>
      </w:pPr>
      <w:r>
        <w:rPr>
          <w:noProof/>
        </w:rPr>
        <w:drawing>
          <wp:inline distT="0" distB="0" distL="0" distR="0" wp14:anchorId="7C16AF1F" wp14:editId="0D493206">
            <wp:extent cx="4572000" cy="2743200"/>
            <wp:effectExtent l="0" t="0" r="0" b="0"/>
            <wp:docPr id="1726753786" name="Graphique 1">
              <a:extLst xmlns:a="http://schemas.openxmlformats.org/drawingml/2006/main">
                <a:ext uri="{FF2B5EF4-FFF2-40B4-BE49-F238E27FC236}">
                  <a16:creationId xmlns:a16="http://schemas.microsoft.com/office/drawing/2014/main" id="{04B5B1FE-157A-063F-556D-D266B2AF3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D84E06" w14:textId="77777777" w:rsidR="00CA6F8B" w:rsidRPr="00256989" w:rsidRDefault="00CA6F8B" w:rsidP="00CA6F8B">
      <w:pPr>
        <w:spacing w:line="360" w:lineRule="auto"/>
        <w:jc w:val="both"/>
        <w:rPr>
          <w:rFonts w:ascii="Times New Roman" w:eastAsia="Times New Roman" w:hAnsi="Times New Roman" w:cs="Times New Roman"/>
          <w:color w:val="000000"/>
          <w:sz w:val="20"/>
          <w:szCs w:val="20"/>
          <w:lang w:val="fr-FR"/>
        </w:rPr>
      </w:pPr>
      <w:r w:rsidRPr="00256989">
        <w:rPr>
          <w:rFonts w:ascii="Times New Roman" w:eastAsia="Times New Roman" w:hAnsi="Times New Roman" w:cs="Times New Roman"/>
          <w:b/>
          <w:color w:val="000000"/>
          <w:sz w:val="20"/>
          <w:szCs w:val="20"/>
          <w:lang w:val="fr-FR"/>
        </w:rPr>
        <w:t>Source</w:t>
      </w:r>
      <w:r w:rsidRPr="00256989">
        <w:rPr>
          <w:rFonts w:ascii="Times New Roman" w:eastAsia="Times New Roman" w:hAnsi="Times New Roman" w:cs="Times New Roman"/>
          <w:color w:val="000000"/>
          <w:sz w:val="20"/>
          <w:szCs w:val="20"/>
          <w:lang w:val="fr-FR"/>
        </w:rPr>
        <w:t xml:space="preserve"> : Construit par l’auteur à partir des données de WDI (2023)</w:t>
      </w:r>
    </w:p>
    <w:p w14:paraId="473604B6" w14:textId="037C18AE" w:rsidR="00CA6F8B" w:rsidRPr="00256989" w:rsidRDefault="00B939D7" w:rsidP="00B939D7">
      <w:p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b/>
          <w:bCs/>
          <w:color w:val="000000"/>
          <w:sz w:val="24"/>
          <w:szCs w:val="24"/>
          <w:lang w:val="fr-FR"/>
        </w:rPr>
        <w:t>II.2.</w:t>
      </w:r>
      <w:r w:rsidRPr="00256989">
        <w:rPr>
          <w:rFonts w:ascii="Times New Roman" w:eastAsia="Times New Roman" w:hAnsi="Times New Roman" w:cs="Times New Roman"/>
          <w:b/>
          <w:bCs/>
          <w:color w:val="000000"/>
          <w:sz w:val="24"/>
          <w:szCs w:val="24"/>
          <w:lang w:val="fr-FR"/>
        </w:rPr>
        <w:t xml:space="preserve"> Evolution</w:t>
      </w:r>
      <w:r w:rsidR="00CA6F8B" w:rsidRPr="00256989">
        <w:rPr>
          <w:rFonts w:ascii="Times New Roman" w:eastAsia="Times New Roman" w:hAnsi="Times New Roman" w:cs="Times New Roman"/>
          <w:b/>
          <w:bCs/>
          <w:color w:val="000000"/>
          <w:sz w:val="24"/>
          <w:szCs w:val="24"/>
          <w:lang w:val="fr-FR"/>
        </w:rPr>
        <w:t xml:space="preserve"> de la structure des dépenses de consommation finale des ménages </w:t>
      </w:r>
    </w:p>
    <w:p w14:paraId="7E5F8D5C" w14:textId="77777777" w:rsidR="00CA6F8B" w:rsidRPr="00256989" w:rsidRDefault="00CA6F8B" w:rsidP="00CA6F8B">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La figure 2 montre l’évolution de la structure des dépenses de consommations finale des ménages au Burkina Faso exprimées en termes de monnaie Francs CFA. Nous avons </w:t>
      </w:r>
      <w:r w:rsidRPr="00CD7C7E">
        <w:rPr>
          <w:rFonts w:ascii="Times New Roman" w:eastAsia="Times New Roman" w:hAnsi="Times New Roman" w:cs="Times New Roman"/>
          <w:color w:val="000000"/>
          <w:sz w:val="24"/>
          <w:szCs w:val="24"/>
          <w:lang w:val="fr-FR"/>
        </w:rPr>
        <w:t>subdivisé</w:t>
      </w:r>
      <w:r w:rsidRPr="00256989">
        <w:rPr>
          <w:rFonts w:ascii="Times New Roman" w:eastAsia="Times New Roman" w:hAnsi="Times New Roman" w:cs="Times New Roman"/>
          <w:color w:val="000000"/>
          <w:sz w:val="24"/>
          <w:szCs w:val="24"/>
          <w:lang w:val="fr-FR"/>
        </w:rPr>
        <w:t xml:space="preserve"> la structure des dépenses de consommation finale des ménages en cinq (5) groupes en suivant la </w:t>
      </w:r>
      <w:r w:rsidRPr="00CD7C7E">
        <w:rPr>
          <w:rFonts w:ascii="Times New Roman" w:eastAsia="Times New Roman" w:hAnsi="Times New Roman" w:cs="Times New Roman"/>
          <w:color w:val="000000"/>
          <w:sz w:val="24"/>
          <w:szCs w:val="24"/>
          <w:lang w:val="fr-FR"/>
        </w:rPr>
        <w:t>répartition</w:t>
      </w:r>
      <w:r w:rsidRPr="00256989">
        <w:rPr>
          <w:rFonts w:ascii="Times New Roman" w:eastAsia="Times New Roman" w:hAnsi="Times New Roman" w:cs="Times New Roman"/>
          <w:color w:val="000000"/>
          <w:sz w:val="24"/>
          <w:szCs w:val="24"/>
          <w:lang w:val="fr-FR"/>
        </w:rPr>
        <w:t xml:space="preserve"> de l’INSD. Il s’agit des produits alimentaires et boissons non </w:t>
      </w:r>
      <w:r w:rsidRPr="00CD7C7E">
        <w:rPr>
          <w:rFonts w:ascii="Times New Roman" w:eastAsia="Times New Roman" w:hAnsi="Times New Roman" w:cs="Times New Roman"/>
          <w:color w:val="000000"/>
          <w:sz w:val="24"/>
          <w:szCs w:val="24"/>
          <w:lang w:val="fr-FR"/>
        </w:rPr>
        <w:t>alcoolisées ;</w:t>
      </w:r>
      <w:r w:rsidRPr="00256989">
        <w:rPr>
          <w:rFonts w:ascii="Times New Roman" w:eastAsia="Times New Roman" w:hAnsi="Times New Roman" w:cs="Times New Roman"/>
          <w:color w:val="000000"/>
          <w:sz w:val="24"/>
          <w:szCs w:val="24"/>
          <w:lang w:val="fr-FR"/>
        </w:rPr>
        <w:t xml:space="preserve"> boissons alcoolisées, tabacs et </w:t>
      </w:r>
      <w:r w:rsidRPr="00CD7C7E">
        <w:rPr>
          <w:rFonts w:ascii="Times New Roman" w:eastAsia="Times New Roman" w:hAnsi="Times New Roman" w:cs="Times New Roman"/>
          <w:color w:val="000000"/>
          <w:sz w:val="24"/>
          <w:szCs w:val="24"/>
          <w:lang w:val="fr-FR"/>
        </w:rPr>
        <w:t>stupéfiants ;</w:t>
      </w:r>
      <w:r w:rsidRPr="00256989">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l</w:t>
      </w:r>
      <w:r w:rsidRPr="00256989">
        <w:rPr>
          <w:rFonts w:ascii="Times New Roman" w:eastAsia="Times New Roman" w:hAnsi="Times New Roman" w:cs="Times New Roman"/>
          <w:color w:val="000000"/>
          <w:sz w:val="24"/>
          <w:szCs w:val="24"/>
          <w:lang w:val="fr-FR"/>
        </w:rPr>
        <w:t>ogement, eau, électricité, gaz et autres combustibles</w:t>
      </w:r>
      <w:r>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 xml:space="preserve">; services </w:t>
      </w:r>
      <w:r w:rsidRPr="00256989">
        <w:rPr>
          <w:rFonts w:ascii="Times New Roman" w:eastAsia="Times New Roman" w:hAnsi="Times New Roman" w:cs="Times New Roman"/>
          <w:sz w:val="24"/>
          <w:szCs w:val="24"/>
          <w:lang w:val="fr-FR"/>
        </w:rPr>
        <w:t>d'éducation</w:t>
      </w:r>
      <w:r w:rsidRPr="00256989">
        <w:rPr>
          <w:rFonts w:ascii="Times New Roman" w:eastAsia="Times New Roman" w:hAnsi="Times New Roman" w:cs="Times New Roman"/>
          <w:color w:val="000000"/>
          <w:sz w:val="24"/>
          <w:szCs w:val="24"/>
          <w:lang w:val="fr-FR"/>
        </w:rPr>
        <w:t xml:space="preserve"> et santé</w:t>
      </w:r>
      <w:r>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t</w:t>
      </w:r>
      <w:r w:rsidRPr="00256989">
        <w:rPr>
          <w:rFonts w:ascii="Times New Roman" w:eastAsia="Times New Roman" w:hAnsi="Times New Roman" w:cs="Times New Roman"/>
          <w:color w:val="000000"/>
          <w:sz w:val="24"/>
          <w:szCs w:val="24"/>
          <w:lang w:val="fr-FR"/>
        </w:rPr>
        <w:t>ransport, information et communication. De façon générale, on remarque que les dépenses des produits en aliment et boissons non alcoolisées sont supérieures aux autres produits sur la période 2015 à 2021 et celles-ci sont passées de 2 222 945 FCFA en 2015 à 3 096 660 FCFA en 2021.</w:t>
      </w:r>
      <w:r>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Par contre</w:t>
      </w:r>
      <w:r>
        <w:rPr>
          <w:rFonts w:ascii="Times New Roman" w:eastAsia="Times New Roman" w:hAnsi="Times New Roman" w:cs="Times New Roman"/>
          <w:color w:val="000000"/>
          <w:sz w:val="24"/>
          <w:szCs w:val="24"/>
          <w:lang w:val="fr-FR"/>
        </w:rPr>
        <w:t>,</w:t>
      </w:r>
      <w:r w:rsidRPr="00256989">
        <w:rPr>
          <w:rFonts w:ascii="Times New Roman" w:eastAsia="Times New Roman" w:hAnsi="Times New Roman" w:cs="Times New Roman"/>
          <w:color w:val="000000"/>
          <w:sz w:val="24"/>
          <w:szCs w:val="24"/>
          <w:lang w:val="fr-FR"/>
        </w:rPr>
        <w:t xml:space="preserve"> les dépenses sont moins consacrées aux boissons alcoolisées, le tabac et les stupéfiants passant de 136 661 FCFA en 2015 à 176 664 FCFA en 2021.  Cela pourrait s’expliquer par le fait qu’une part importante du budget des ménages est </w:t>
      </w:r>
      <w:r w:rsidRPr="00256989">
        <w:rPr>
          <w:rFonts w:ascii="Times New Roman" w:eastAsia="Times New Roman" w:hAnsi="Times New Roman" w:cs="Times New Roman"/>
          <w:sz w:val="24"/>
          <w:szCs w:val="24"/>
          <w:lang w:val="fr-FR"/>
        </w:rPr>
        <w:t>consacrée</w:t>
      </w:r>
      <w:r w:rsidRPr="00256989">
        <w:rPr>
          <w:rFonts w:ascii="Times New Roman" w:eastAsia="Times New Roman" w:hAnsi="Times New Roman" w:cs="Times New Roman"/>
          <w:color w:val="000000"/>
          <w:sz w:val="24"/>
          <w:szCs w:val="24"/>
          <w:lang w:val="fr-FR"/>
        </w:rPr>
        <w:t xml:space="preserve"> à </w:t>
      </w:r>
      <w:r w:rsidRPr="00256989">
        <w:rPr>
          <w:rFonts w:ascii="Times New Roman" w:eastAsia="Times New Roman" w:hAnsi="Times New Roman" w:cs="Times New Roman"/>
          <w:sz w:val="24"/>
          <w:szCs w:val="24"/>
          <w:lang w:val="fr-FR"/>
        </w:rPr>
        <w:t>l'achat des aliments</w:t>
      </w:r>
      <w:r w:rsidRPr="00256989">
        <w:rPr>
          <w:rFonts w:ascii="Times New Roman" w:eastAsia="Times New Roman" w:hAnsi="Times New Roman" w:cs="Times New Roman"/>
          <w:color w:val="000000"/>
          <w:sz w:val="24"/>
          <w:szCs w:val="24"/>
          <w:lang w:val="fr-FR"/>
        </w:rPr>
        <w:t xml:space="preserve"> de base tels que </w:t>
      </w:r>
      <w:r w:rsidRPr="00256989">
        <w:rPr>
          <w:rFonts w:ascii="Times New Roman" w:eastAsia="Times New Roman" w:hAnsi="Times New Roman" w:cs="Times New Roman"/>
          <w:color w:val="000000"/>
          <w:sz w:val="24"/>
          <w:szCs w:val="24"/>
          <w:lang w:val="fr-FR"/>
        </w:rPr>
        <w:lastRenderedPageBreak/>
        <w:t xml:space="preserve">les céréales, les légumes, les fruits, la viande, etc. De plus, les familles peuvent consacrer une part significative de leurs revenus pour s’assurer qu’elles ont suffisamment de nourriture pour répondre à leurs besoins nutritionnels de base. </w:t>
      </w:r>
      <w:r w:rsidRPr="00256989">
        <w:rPr>
          <w:rFonts w:ascii="Times New Roman" w:eastAsia="Times New Roman" w:hAnsi="Times New Roman" w:cs="Times New Roman"/>
          <w:sz w:val="24"/>
          <w:szCs w:val="24"/>
          <w:lang w:val="fr-FR"/>
        </w:rPr>
        <w:t>Également</w:t>
      </w:r>
      <w:r w:rsidRPr="00256989">
        <w:rPr>
          <w:rFonts w:ascii="Times New Roman" w:eastAsia="Times New Roman" w:hAnsi="Times New Roman" w:cs="Times New Roman"/>
          <w:color w:val="000000"/>
          <w:sz w:val="24"/>
          <w:szCs w:val="24"/>
          <w:lang w:val="fr-FR"/>
        </w:rPr>
        <w:t>, les ménages peuvent avoir moins de capacité financière pour allouer des fonds à d’autres catégories de dépenses tels que les loisirs ou les biens durables.</w:t>
      </w:r>
      <w:r>
        <w:rPr>
          <w:rFonts w:ascii="Times New Roman" w:eastAsia="Times New Roman" w:hAnsi="Times New Roman" w:cs="Times New Roman"/>
          <w:color w:val="000000"/>
          <w:sz w:val="24"/>
          <w:szCs w:val="24"/>
          <w:lang w:val="fr-FR"/>
        </w:rPr>
        <w:t xml:space="preserve"> Par ailleurs</w:t>
      </w:r>
      <w:r w:rsidRPr="00256989">
        <w:rPr>
          <w:rFonts w:ascii="Times New Roman" w:eastAsia="Times New Roman" w:hAnsi="Times New Roman" w:cs="Times New Roman"/>
          <w:color w:val="000000"/>
          <w:sz w:val="24"/>
          <w:szCs w:val="24"/>
          <w:lang w:val="fr-FR"/>
        </w:rPr>
        <w:t xml:space="preserve">, les dépenses moins accordées aux produits alcoolisés, au tabac et aux stupéfiants se justifient par le fait que la réglementation et les taxes gouvernementales </w:t>
      </w:r>
      <w:r>
        <w:rPr>
          <w:rFonts w:ascii="Times New Roman" w:eastAsia="Times New Roman" w:hAnsi="Times New Roman" w:cs="Times New Roman"/>
          <w:color w:val="000000"/>
          <w:sz w:val="24"/>
          <w:szCs w:val="24"/>
          <w:lang w:val="fr-FR"/>
        </w:rPr>
        <w:t xml:space="preserve">restreignent voire interdisent la consommation de </w:t>
      </w:r>
      <w:r w:rsidRPr="00256989">
        <w:rPr>
          <w:rFonts w:ascii="Times New Roman" w:eastAsia="Times New Roman" w:hAnsi="Times New Roman" w:cs="Times New Roman"/>
          <w:color w:val="000000"/>
          <w:sz w:val="24"/>
          <w:szCs w:val="24"/>
          <w:lang w:val="fr-FR"/>
        </w:rPr>
        <w:t>ces produits</w:t>
      </w:r>
      <w:r>
        <w:rPr>
          <w:rFonts w:ascii="Times New Roman" w:eastAsia="Times New Roman" w:hAnsi="Times New Roman" w:cs="Times New Roman"/>
          <w:color w:val="000000"/>
          <w:sz w:val="24"/>
          <w:szCs w:val="24"/>
          <w:lang w:val="fr-FR"/>
        </w:rPr>
        <w:t>. Ce qui</w:t>
      </w:r>
      <w:r w:rsidRPr="00256989">
        <w:rPr>
          <w:rFonts w:ascii="Times New Roman" w:eastAsia="Times New Roman" w:hAnsi="Times New Roman" w:cs="Times New Roman"/>
          <w:color w:val="000000"/>
          <w:sz w:val="24"/>
          <w:szCs w:val="24"/>
          <w:lang w:val="fr-FR"/>
        </w:rPr>
        <w:t xml:space="preserve"> peuvent influencer</w:t>
      </w:r>
      <w:r>
        <w:rPr>
          <w:rFonts w:ascii="Times New Roman" w:eastAsia="Times New Roman" w:hAnsi="Times New Roman" w:cs="Times New Roman"/>
          <w:color w:val="000000"/>
          <w:sz w:val="24"/>
          <w:szCs w:val="24"/>
          <w:lang w:val="fr-FR"/>
        </w:rPr>
        <w:t xml:space="preserve"> sans doute</w:t>
      </w:r>
      <w:r w:rsidRPr="00256989">
        <w:rPr>
          <w:rFonts w:ascii="Times New Roman" w:eastAsia="Times New Roman" w:hAnsi="Times New Roman" w:cs="Times New Roman"/>
          <w:color w:val="000000"/>
          <w:sz w:val="24"/>
          <w:szCs w:val="24"/>
          <w:lang w:val="fr-FR"/>
        </w:rPr>
        <w:t xml:space="preserve"> les choix de consommation. </w:t>
      </w:r>
      <w:r>
        <w:rPr>
          <w:rFonts w:ascii="Times New Roman" w:eastAsia="Times New Roman" w:hAnsi="Times New Roman" w:cs="Times New Roman"/>
          <w:color w:val="000000"/>
          <w:sz w:val="24"/>
          <w:szCs w:val="24"/>
          <w:lang w:val="fr-FR"/>
        </w:rPr>
        <w:t xml:space="preserve">C’est-à-dire </w:t>
      </w:r>
      <w:r w:rsidRPr="00256989">
        <w:rPr>
          <w:rFonts w:ascii="Times New Roman" w:eastAsia="Times New Roman" w:hAnsi="Times New Roman" w:cs="Times New Roman"/>
          <w:color w:val="000000"/>
          <w:sz w:val="24"/>
          <w:szCs w:val="24"/>
          <w:lang w:val="fr-FR"/>
        </w:rPr>
        <w:t xml:space="preserve">que des réglementations strictes et des taxes peuvent dissuader les </w:t>
      </w:r>
      <w:r>
        <w:rPr>
          <w:rFonts w:ascii="Times New Roman" w:eastAsia="Times New Roman" w:hAnsi="Times New Roman" w:cs="Times New Roman"/>
          <w:color w:val="000000"/>
          <w:sz w:val="24"/>
          <w:szCs w:val="24"/>
          <w:lang w:val="fr-FR"/>
        </w:rPr>
        <w:t>ménages</w:t>
      </w:r>
      <w:r w:rsidRPr="00256989">
        <w:rPr>
          <w:rFonts w:ascii="Times New Roman" w:eastAsia="Times New Roman" w:hAnsi="Times New Roman" w:cs="Times New Roman"/>
          <w:color w:val="000000"/>
          <w:sz w:val="24"/>
          <w:szCs w:val="24"/>
          <w:lang w:val="fr-FR"/>
        </w:rPr>
        <w:t xml:space="preserve"> de dépenser davantage dans ces catégories de produits.</w:t>
      </w:r>
    </w:p>
    <w:p w14:paraId="32BEFB0F" w14:textId="59001DF5" w:rsidR="00CA6F8B" w:rsidRPr="00256989" w:rsidRDefault="00CA6F8B" w:rsidP="00CA6F8B">
      <w:pPr>
        <w:spacing w:line="360" w:lineRule="auto"/>
        <w:jc w:val="both"/>
        <w:rPr>
          <w:rFonts w:ascii="Times New Roman" w:eastAsia="Times New Roman" w:hAnsi="Times New Roman" w:cs="Times New Roman"/>
          <w:i/>
          <w:color w:val="000000"/>
          <w:sz w:val="24"/>
          <w:szCs w:val="24"/>
          <w:lang w:val="fr-FR"/>
        </w:rPr>
      </w:pPr>
      <w:r w:rsidRPr="00256989">
        <w:rPr>
          <w:rFonts w:ascii="Times New Roman" w:eastAsia="Times New Roman" w:hAnsi="Times New Roman" w:cs="Times New Roman"/>
          <w:i/>
          <w:color w:val="000000"/>
          <w:sz w:val="24"/>
          <w:szCs w:val="24"/>
          <w:lang w:val="fr-FR"/>
        </w:rPr>
        <w:t xml:space="preserve">Figure </w:t>
      </w:r>
      <w:r w:rsidR="00400A05" w:rsidRPr="00256989">
        <w:rPr>
          <w:rFonts w:ascii="Times New Roman" w:eastAsia="Times New Roman" w:hAnsi="Times New Roman" w:cs="Times New Roman"/>
          <w:i/>
          <w:color w:val="000000"/>
          <w:sz w:val="24"/>
          <w:szCs w:val="24"/>
          <w:lang w:val="fr-FR"/>
        </w:rPr>
        <w:t>2 :</w:t>
      </w:r>
      <w:r w:rsidRPr="00256989">
        <w:rPr>
          <w:rFonts w:ascii="Times New Roman" w:eastAsia="Times New Roman" w:hAnsi="Times New Roman" w:cs="Times New Roman"/>
          <w:i/>
          <w:color w:val="000000"/>
          <w:sz w:val="24"/>
          <w:szCs w:val="24"/>
          <w:lang w:val="fr-FR"/>
        </w:rPr>
        <w:t xml:space="preserve"> Evolution des différentes composantes des dépenses de consommation finale des ménages au Burkina Faso</w:t>
      </w:r>
    </w:p>
    <w:p w14:paraId="63B23302" w14:textId="77777777" w:rsidR="00CA6F8B" w:rsidRDefault="00CA6F8B" w:rsidP="00CA6F8B">
      <w:pPr>
        <w:spacing w:line="360" w:lineRule="auto"/>
        <w:jc w:val="both"/>
        <w:rPr>
          <w:rFonts w:ascii="Times New Roman" w:eastAsia="Times New Roman" w:hAnsi="Times New Roman" w:cs="Times New Roman"/>
          <w:color w:val="000000"/>
          <w:sz w:val="24"/>
          <w:szCs w:val="24"/>
        </w:rPr>
      </w:pPr>
      <w:r>
        <w:rPr>
          <w:noProof/>
          <w:lang w:val="fr-FR"/>
        </w:rPr>
        <w:drawing>
          <wp:inline distT="0" distB="0" distL="0" distR="0" wp14:anchorId="5ACAC0E8" wp14:editId="2F577D97">
            <wp:extent cx="4572000" cy="2743200"/>
            <wp:effectExtent l="0" t="0" r="0" b="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5BB548" w14:textId="77777777" w:rsidR="00CA6F8B" w:rsidRPr="00256989" w:rsidRDefault="00CA6F8B" w:rsidP="00CA6F8B">
      <w:pPr>
        <w:spacing w:line="360" w:lineRule="auto"/>
        <w:jc w:val="both"/>
        <w:rPr>
          <w:rFonts w:ascii="Times New Roman" w:eastAsia="Times New Roman" w:hAnsi="Times New Roman" w:cs="Times New Roman"/>
          <w:color w:val="000000"/>
          <w:sz w:val="20"/>
          <w:szCs w:val="20"/>
          <w:lang w:val="fr-FR"/>
        </w:rPr>
      </w:pPr>
      <w:r w:rsidRPr="00256989">
        <w:rPr>
          <w:rFonts w:ascii="Times New Roman" w:eastAsia="Times New Roman" w:hAnsi="Times New Roman" w:cs="Times New Roman"/>
          <w:b/>
          <w:color w:val="000000"/>
          <w:sz w:val="20"/>
          <w:szCs w:val="20"/>
          <w:lang w:val="fr-FR"/>
        </w:rPr>
        <w:t>Source</w:t>
      </w:r>
      <w:r w:rsidRPr="00256989">
        <w:rPr>
          <w:rFonts w:ascii="Times New Roman" w:eastAsia="Times New Roman" w:hAnsi="Times New Roman" w:cs="Times New Roman"/>
          <w:color w:val="000000"/>
          <w:sz w:val="20"/>
          <w:szCs w:val="20"/>
          <w:lang w:val="fr-FR"/>
        </w:rPr>
        <w:t xml:space="preserve"> : Construit par l’auteur à partir des données de </w:t>
      </w:r>
      <w:r>
        <w:rPr>
          <w:rFonts w:ascii="Times New Roman" w:eastAsia="Times New Roman" w:hAnsi="Times New Roman" w:cs="Times New Roman"/>
          <w:color w:val="000000"/>
          <w:sz w:val="20"/>
          <w:szCs w:val="20"/>
          <w:lang w:val="fr-FR"/>
        </w:rPr>
        <w:t>l’</w:t>
      </w:r>
      <w:r w:rsidRPr="00256989">
        <w:rPr>
          <w:rFonts w:ascii="Times New Roman" w:eastAsia="Times New Roman" w:hAnsi="Times New Roman" w:cs="Times New Roman"/>
          <w:color w:val="000000"/>
          <w:sz w:val="20"/>
          <w:szCs w:val="20"/>
          <w:lang w:val="fr-FR"/>
        </w:rPr>
        <w:t>INSD (2023)</w:t>
      </w:r>
    </w:p>
    <w:p w14:paraId="47467807" w14:textId="77777777" w:rsidR="00CA6F8B" w:rsidRPr="00256989" w:rsidRDefault="00CA6F8B" w:rsidP="00CA6F8B">
      <w:pPr>
        <w:spacing w:line="360" w:lineRule="auto"/>
        <w:jc w:val="both"/>
        <w:rPr>
          <w:rFonts w:ascii="Times New Roman" w:eastAsia="Times New Roman" w:hAnsi="Times New Roman" w:cs="Times New Roman"/>
          <w:color w:val="000000"/>
          <w:sz w:val="20"/>
          <w:szCs w:val="20"/>
          <w:lang w:val="fr-FR"/>
        </w:rPr>
      </w:pPr>
    </w:p>
    <w:p w14:paraId="31590029" w14:textId="77777777" w:rsidR="00CA6F8B" w:rsidRPr="00256989" w:rsidRDefault="00CA6F8B" w:rsidP="00CA6F8B">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lang w:val="fr-FR"/>
        </w:rPr>
      </w:pPr>
    </w:p>
    <w:p w14:paraId="4E2B565F" w14:textId="32028377" w:rsidR="00C07CBB" w:rsidRPr="00256989" w:rsidRDefault="00D70B8F">
      <w:pPr>
        <w:spacing w:line="360" w:lineRule="auto"/>
        <w:jc w:val="both"/>
        <w:rPr>
          <w:rFonts w:ascii="Times New Roman" w:eastAsia="Times New Roman" w:hAnsi="Times New Roman" w:cs="Times New Roman"/>
          <w:sz w:val="24"/>
          <w:szCs w:val="24"/>
          <w:lang w:val="fr-FR"/>
        </w:rPr>
      </w:pPr>
      <w:r w:rsidRPr="00D70B8F">
        <w:rPr>
          <w:rFonts w:ascii="Times New Roman" w:eastAsia="Times New Roman" w:hAnsi="Times New Roman" w:cs="Times New Roman"/>
          <w:sz w:val="24"/>
          <w:szCs w:val="24"/>
          <w:lang w:val="fr-FR"/>
        </w:rPr>
        <w:t>L’analyse des faits stylisés met en lumière l’influence de la structure fiscale sur les dépenses de consommation des ménages, révélant des tendances économiques significatives. Ces observations permettent de mieux comprendre les dynamiques fiscales et ouvrent la voie à une approche méthodologique adaptée pour approfondir cette relation</w:t>
      </w:r>
      <w:r>
        <w:rPr>
          <w:rFonts w:ascii="Times New Roman" w:eastAsia="Times New Roman" w:hAnsi="Times New Roman" w:cs="Times New Roman"/>
          <w:sz w:val="24"/>
          <w:szCs w:val="24"/>
          <w:lang w:val="fr-FR"/>
        </w:rPr>
        <w:t>.</w:t>
      </w:r>
    </w:p>
    <w:p w14:paraId="39B0B755" w14:textId="7400D222" w:rsidR="005E4276" w:rsidRPr="00256989" w:rsidRDefault="006D388F">
      <w:pPr>
        <w:spacing w:line="360" w:lineRule="auto"/>
        <w:jc w:val="both"/>
        <w:rPr>
          <w:rFonts w:ascii="Times New Roman" w:eastAsia="Times New Roman" w:hAnsi="Times New Roman" w:cs="Times New Roman"/>
          <w:b/>
          <w:sz w:val="24"/>
          <w:szCs w:val="24"/>
          <w:lang w:val="fr-FR"/>
        </w:rPr>
      </w:pPr>
      <w:bookmarkStart w:id="2" w:name="_Hlk188633724"/>
      <w:r w:rsidRPr="00256989">
        <w:rPr>
          <w:rFonts w:ascii="Times New Roman" w:eastAsia="Times New Roman" w:hAnsi="Times New Roman" w:cs="Times New Roman"/>
          <w:b/>
          <w:sz w:val="24"/>
          <w:szCs w:val="24"/>
          <w:lang w:val="fr-FR"/>
        </w:rPr>
        <w:lastRenderedPageBreak/>
        <w:t>II</w:t>
      </w:r>
      <w:r w:rsidR="00CA2297">
        <w:rPr>
          <w:rFonts w:ascii="Times New Roman" w:eastAsia="Times New Roman" w:hAnsi="Times New Roman" w:cs="Times New Roman"/>
          <w:b/>
          <w:sz w:val="24"/>
          <w:szCs w:val="24"/>
          <w:lang w:val="fr-FR"/>
        </w:rPr>
        <w:t>I</w:t>
      </w:r>
      <w:r w:rsidRPr="00256989">
        <w:rPr>
          <w:rFonts w:ascii="Times New Roman" w:eastAsia="Times New Roman" w:hAnsi="Times New Roman" w:cs="Times New Roman"/>
          <w:b/>
          <w:sz w:val="24"/>
          <w:szCs w:val="24"/>
          <w:lang w:val="fr-FR"/>
        </w:rPr>
        <w:t xml:space="preserve">. Méthodologie de recherche </w:t>
      </w:r>
    </w:p>
    <w:p w14:paraId="4B760E59" w14:textId="4B568E29" w:rsidR="005E4276" w:rsidRPr="00256989" w:rsidRDefault="006D388F">
      <w:pPr>
        <w:shd w:val="clear" w:color="auto" w:fill="FFFFFF"/>
        <w:spacing w:after="0"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Cette section expose la méthodologie</w:t>
      </w:r>
      <w:r w:rsidR="00EF7B3F" w:rsidRPr="00256989">
        <w:rPr>
          <w:rFonts w:ascii="Times New Roman" w:eastAsia="Times New Roman" w:hAnsi="Times New Roman" w:cs="Times New Roman"/>
          <w:sz w:val="24"/>
          <w:szCs w:val="24"/>
          <w:lang w:val="fr-FR"/>
        </w:rPr>
        <w:t xml:space="preserve"> que nous utilisons pour l</w:t>
      </w:r>
      <w:r w:rsidRPr="00256989">
        <w:rPr>
          <w:rFonts w:ascii="Times New Roman" w:eastAsia="Times New Roman" w:hAnsi="Times New Roman" w:cs="Times New Roman"/>
          <w:sz w:val="24"/>
          <w:szCs w:val="24"/>
          <w:lang w:val="fr-FR"/>
        </w:rPr>
        <w:t>’analyse de l’effet de la struct</w:t>
      </w:r>
      <w:r w:rsidR="00AE6893">
        <w:rPr>
          <w:rFonts w:ascii="Times New Roman" w:eastAsia="Times New Roman" w:hAnsi="Times New Roman" w:cs="Times New Roman"/>
          <w:sz w:val="24"/>
          <w:szCs w:val="24"/>
          <w:lang w:val="fr-FR"/>
        </w:rPr>
        <w:t>ure fiscale</w:t>
      </w:r>
      <w:r w:rsidRPr="00256989">
        <w:rPr>
          <w:rFonts w:ascii="Times New Roman" w:eastAsia="Times New Roman" w:hAnsi="Times New Roman" w:cs="Times New Roman"/>
          <w:sz w:val="24"/>
          <w:szCs w:val="24"/>
          <w:lang w:val="fr-FR"/>
        </w:rPr>
        <w:t xml:space="preserve"> sur les dépenses de consommation</w:t>
      </w:r>
      <w:r w:rsidR="00AE6893">
        <w:rPr>
          <w:rFonts w:ascii="Times New Roman" w:eastAsia="Times New Roman" w:hAnsi="Times New Roman" w:cs="Times New Roman"/>
          <w:sz w:val="24"/>
          <w:szCs w:val="24"/>
          <w:lang w:val="fr-FR"/>
        </w:rPr>
        <w:t xml:space="preserve"> finale</w:t>
      </w:r>
      <w:r w:rsidRPr="00256989">
        <w:rPr>
          <w:rFonts w:ascii="Times New Roman" w:eastAsia="Times New Roman" w:hAnsi="Times New Roman" w:cs="Times New Roman"/>
          <w:sz w:val="24"/>
          <w:szCs w:val="24"/>
          <w:lang w:val="fr-FR"/>
        </w:rPr>
        <w:t xml:space="preserve"> des ménages. Elle présente le cadre théorique, le modèle à estimer, la description des variables, la méthode d’estimation et les données utilisées.</w:t>
      </w:r>
    </w:p>
    <w:p w14:paraId="0B113757" w14:textId="77777777" w:rsidR="005E4276" w:rsidRPr="00256989" w:rsidRDefault="005E4276">
      <w:pPr>
        <w:spacing w:line="360" w:lineRule="auto"/>
        <w:jc w:val="both"/>
        <w:rPr>
          <w:rFonts w:ascii="Times New Roman" w:eastAsia="Times New Roman" w:hAnsi="Times New Roman" w:cs="Times New Roman"/>
          <w:b/>
          <w:sz w:val="24"/>
          <w:szCs w:val="24"/>
          <w:lang w:val="fr-FR"/>
        </w:rPr>
      </w:pPr>
    </w:p>
    <w:p w14:paraId="2E84B144" w14:textId="4E1B8631" w:rsidR="005E4276"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t>II</w:t>
      </w:r>
      <w:r w:rsidR="00CA2297">
        <w:rPr>
          <w:rFonts w:ascii="Times New Roman" w:eastAsia="Times New Roman" w:hAnsi="Times New Roman" w:cs="Times New Roman"/>
          <w:b/>
          <w:sz w:val="24"/>
          <w:szCs w:val="24"/>
          <w:lang w:val="fr-FR"/>
        </w:rPr>
        <w:t>I</w:t>
      </w:r>
      <w:r w:rsidRPr="00256989">
        <w:rPr>
          <w:rFonts w:ascii="Times New Roman" w:eastAsia="Times New Roman" w:hAnsi="Times New Roman" w:cs="Times New Roman"/>
          <w:b/>
          <w:sz w:val="24"/>
          <w:szCs w:val="24"/>
          <w:lang w:val="fr-FR"/>
        </w:rPr>
        <w:t>.1 Le cadre théorique</w:t>
      </w:r>
    </w:p>
    <w:p w14:paraId="6593F24F" w14:textId="75C5184C"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Dans la revue théorique, plusieurs auteurs ont développé la fonction de consommation. En nous inspirant de ces travaux antérieurs, le modèle théorique que nous adoptons est le modèle keynésien pour analyser l’effet de la structure fiscale sur les dépenses de consommation finale des ménages. Selon </w:t>
      </w:r>
      <w:r w:rsidR="00200480">
        <w:rPr>
          <w:rFonts w:ascii="Times New Roman" w:eastAsia="Times New Roman" w:hAnsi="Times New Roman" w:cs="Times New Roman"/>
          <w:sz w:val="24"/>
          <w:szCs w:val="24"/>
          <w:lang w:val="fr-FR"/>
        </w:rPr>
        <w:t>cette</w:t>
      </w:r>
      <w:r w:rsidR="00200480"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théorie, </w:t>
      </w:r>
      <w:r w:rsidR="00330428" w:rsidRPr="00256989">
        <w:rPr>
          <w:rFonts w:ascii="Times New Roman" w:eastAsia="Times New Roman" w:hAnsi="Times New Roman" w:cs="Times New Roman"/>
          <w:sz w:val="24"/>
          <w:szCs w:val="24"/>
          <w:lang w:val="fr-FR"/>
        </w:rPr>
        <w:t xml:space="preserve">la consommation des ménages est influencée principalement par leur revenu disponible. Le revenu disponible est le revenu après </w:t>
      </w:r>
      <w:r w:rsidR="00200480" w:rsidRPr="00200480">
        <w:rPr>
          <w:rFonts w:ascii="Times New Roman" w:eastAsia="Times New Roman" w:hAnsi="Times New Roman" w:cs="Times New Roman"/>
          <w:sz w:val="24"/>
          <w:szCs w:val="24"/>
          <w:lang w:val="fr-FR"/>
        </w:rPr>
        <w:t>impôts</w:t>
      </w:r>
      <w:r w:rsidR="00330428" w:rsidRPr="00256989">
        <w:rPr>
          <w:rFonts w:ascii="Times New Roman" w:eastAsia="Times New Roman" w:hAnsi="Times New Roman" w:cs="Times New Roman"/>
          <w:sz w:val="24"/>
          <w:szCs w:val="24"/>
          <w:lang w:val="fr-FR"/>
        </w:rPr>
        <w:t>, c’est à dire le revenu brut moins les impôts.</w:t>
      </w:r>
    </w:p>
    <w:p w14:paraId="326FFD27" w14:textId="443E363B" w:rsidR="00566791" w:rsidRPr="00256989" w:rsidRDefault="00566791" w:rsidP="00566791">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La fonction de consommation Keynésienne est souvent </w:t>
      </w:r>
      <w:r w:rsidR="00200480" w:rsidRPr="00200480">
        <w:rPr>
          <w:rFonts w:ascii="Times New Roman" w:eastAsia="Times New Roman" w:hAnsi="Times New Roman" w:cs="Times New Roman"/>
          <w:sz w:val="24"/>
          <w:szCs w:val="24"/>
          <w:lang w:val="fr-FR"/>
        </w:rPr>
        <w:t>exprimée</w:t>
      </w:r>
      <w:r w:rsidRPr="00256989">
        <w:rPr>
          <w:rFonts w:ascii="Times New Roman" w:eastAsia="Times New Roman" w:hAnsi="Times New Roman" w:cs="Times New Roman"/>
          <w:sz w:val="24"/>
          <w:szCs w:val="24"/>
          <w:lang w:val="fr-FR"/>
        </w:rPr>
        <w:t xml:space="preserve"> sous la forme suivante</w:t>
      </w:r>
      <w:r w:rsidR="00200480">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w:t>
      </w:r>
    </w:p>
    <w:p w14:paraId="77C3B98E" w14:textId="71603A0B" w:rsidR="005E4276" w:rsidRPr="00256989" w:rsidRDefault="00566791">
      <w:pPr>
        <w:spacing w:line="360" w:lineRule="auto"/>
        <w:jc w:val="both"/>
        <w:rPr>
          <w:rFonts w:ascii="Times New Roman" w:eastAsia="Times New Roman" w:hAnsi="Times New Roman" w:cs="Times New Roman"/>
          <w:sz w:val="24"/>
          <w:szCs w:val="24"/>
          <w:lang w:val="fr-FR"/>
        </w:rPr>
      </w:pPr>
      <m:oMath>
        <m:r>
          <w:rPr>
            <w:rFonts w:ascii="Cambria Math" w:eastAsia="Cambria Math" w:hAnsi="Cambria Math" w:cs="Cambria Math"/>
            <w:sz w:val="24"/>
            <w:szCs w:val="24"/>
          </w:rPr>
          <m:t>C</m:t>
        </m:r>
        <m:r>
          <w:rPr>
            <w:rFonts w:ascii="Cambria Math" w:eastAsia="Cambria Math" w:hAnsi="Cambria Math" w:cs="Cambria Math"/>
            <w:sz w:val="24"/>
            <w:szCs w:val="24"/>
            <w:lang w:val="fr-FR"/>
          </w:rPr>
          <m:t>=</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lang w:val="fr-FR"/>
              </w:rPr>
              <m:t>0</m:t>
            </m:r>
          </m:sub>
        </m:sSub>
        <m:r>
          <w:rPr>
            <w:rFonts w:ascii="Cambria Math" w:eastAsia="Cambria Math" w:hAnsi="Cambria Math" w:cs="Cambria Math"/>
            <w:sz w:val="24"/>
            <w:szCs w:val="24"/>
            <w:lang w:val="fr-FR"/>
          </w:rPr>
          <m:t>+</m:t>
        </m:r>
        <m:r>
          <w:rPr>
            <w:rFonts w:ascii="Cambria Math" w:eastAsia="Cambria Math" w:hAnsi="Cambria Math" w:cs="Cambria Math"/>
            <w:sz w:val="24"/>
            <w:szCs w:val="24"/>
          </w:rPr>
          <m:t>c</m:t>
        </m:r>
        <m:r>
          <w:rPr>
            <w:rFonts w:ascii="Cambria Math" w:eastAsia="Cambria Math" w:hAnsi="Cambria Math" w:cs="Cambria Math"/>
            <w:sz w:val="24"/>
            <w:szCs w:val="24"/>
            <w:lang w:val="fr-FR"/>
          </w:rPr>
          <m:t>.(</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Y</m:t>
            </m:r>
          </m:e>
          <m:sub>
            <m:r>
              <w:rPr>
                <w:rFonts w:ascii="Cambria Math" w:eastAsia="Cambria Math" w:hAnsi="Cambria Math" w:cs="Cambria Math"/>
                <w:sz w:val="24"/>
                <w:szCs w:val="24"/>
              </w:rPr>
              <m:t>d</m:t>
            </m:r>
          </m:sub>
        </m:sSub>
        <m:r>
          <w:rPr>
            <w:rFonts w:ascii="Cambria Math" w:eastAsia="Cambria Math" w:hAnsi="Cambria Math" w:cs="Cambria Math"/>
            <w:sz w:val="24"/>
            <w:szCs w:val="24"/>
            <w:lang w:val="fr-FR"/>
          </w:rPr>
          <m:t xml:space="preserve">) </m:t>
        </m:r>
      </m:oMath>
      <w:r w:rsidR="006D388F" w:rsidRPr="00256989">
        <w:rPr>
          <w:rFonts w:ascii="Times New Roman" w:eastAsia="Times New Roman" w:hAnsi="Times New Roman" w:cs="Times New Roman"/>
          <w:sz w:val="24"/>
          <w:szCs w:val="24"/>
          <w:lang w:val="fr-FR"/>
        </w:rPr>
        <w:t xml:space="preserve">                                                                                       (1)  </w:t>
      </w:r>
    </w:p>
    <w:p w14:paraId="1375A3B9" w14:textId="38A29F49" w:rsidR="00566791" w:rsidRPr="00256989" w:rsidRDefault="00566791">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Avec </w:t>
      </w:r>
      <m:oMath>
        <m:r>
          <w:rPr>
            <w:rFonts w:ascii="Cambria Math" w:eastAsia="Times New Roman" w:hAnsi="Cambria Math" w:cs="Times New Roman"/>
            <w:sz w:val="24"/>
            <w:szCs w:val="24"/>
          </w:rPr>
          <m:t>C</m:t>
        </m:r>
      </m:oMath>
      <w:r w:rsidRPr="00256989">
        <w:rPr>
          <w:rFonts w:ascii="Times New Roman" w:eastAsia="Times New Roman" w:hAnsi="Times New Roman" w:cs="Times New Roman"/>
          <w:sz w:val="24"/>
          <w:szCs w:val="24"/>
          <w:lang w:val="fr-FR"/>
        </w:rPr>
        <w:t xml:space="preserve"> qui représente la consommation totale,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lang w:val="fr-FR"/>
              </w:rPr>
              <m:t>0</m:t>
            </m:r>
          </m:sub>
        </m:sSub>
      </m:oMath>
      <w:r w:rsidRPr="00256989">
        <w:rPr>
          <w:rFonts w:ascii="Times New Roman" w:eastAsia="Times New Roman" w:hAnsi="Times New Roman" w:cs="Times New Roman"/>
          <w:sz w:val="24"/>
          <w:szCs w:val="24"/>
          <w:lang w:val="fr-FR"/>
        </w:rPr>
        <w:t xml:space="preserve">, la consommation autonome c’est à dire la consommation qui se fait même sans revenu, </w:t>
      </w:r>
      <m:oMath>
        <m:r>
          <w:rPr>
            <w:rFonts w:ascii="Cambria Math" w:eastAsia="Times New Roman" w:hAnsi="Cambria Math" w:cs="Times New Roman"/>
            <w:sz w:val="24"/>
            <w:szCs w:val="24"/>
          </w:rPr>
          <m:t>c</m:t>
        </m:r>
      </m:oMath>
      <w:r w:rsidRPr="00256989">
        <w:rPr>
          <w:rFonts w:ascii="Times New Roman" w:eastAsia="Times New Roman" w:hAnsi="Times New Roman" w:cs="Times New Roman"/>
          <w:sz w:val="24"/>
          <w:szCs w:val="24"/>
          <w:lang w:val="fr-FR"/>
        </w:rPr>
        <w:t>, la propension marginale à consommer,</w:t>
      </w:r>
      <w:r w:rsidR="00660D71"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qui représente la part du revenu supplémentaire que les ménages consomme</w:t>
      </w:r>
      <w:r w:rsidR="00660D71" w:rsidRPr="00256989">
        <w:rPr>
          <w:rFonts w:ascii="Times New Roman" w:eastAsia="Times New Roman" w:hAnsi="Times New Roman" w:cs="Times New Roman"/>
          <w:sz w:val="24"/>
          <w:szCs w:val="24"/>
          <w:lang w:val="fr-FR"/>
        </w:rPr>
        <w:t xml:space="preserve">ront et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d</m:t>
            </m:r>
          </m:sub>
        </m:sSub>
      </m:oMath>
      <w:r w:rsidR="00660D71" w:rsidRPr="00256989">
        <w:rPr>
          <w:rFonts w:ascii="Times New Roman" w:eastAsia="Times New Roman" w:hAnsi="Times New Roman" w:cs="Times New Roman"/>
          <w:sz w:val="24"/>
          <w:szCs w:val="24"/>
          <w:lang w:val="fr-FR"/>
        </w:rPr>
        <w:t xml:space="preserve"> le revenu disponible.</w:t>
      </w:r>
    </w:p>
    <w:p w14:paraId="39BADBE9" w14:textId="60411448" w:rsidR="003022CB" w:rsidRPr="00256989" w:rsidRDefault="00660D71">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Ainsi le revenu dispon</w:t>
      </w:r>
      <w:r w:rsidR="00200480">
        <w:rPr>
          <w:rFonts w:ascii="Times New Roman" w:eastAsia="Times New Roman" w:hAnsi="Times New Roman" w:cs="Times New Roman"/>
          <w:sz w:val="24"/>
          <w:szCs w:val="24"/>
          <w:lang w:val="fr-FR"/>
        </w:rPr>
        <w:t>ibl</w:t>
      </w:r>
      <w:r w:rsidRPr="00256989">
        <w:rPr>
          <w:rFonts w:ascii="Times New Roman" w:eastAsia="Times New Roman" w:hAnsi="Times New Roman" w:cs="Times New Roman"/>
          <w:sz w:val="24"/>
          <w:szCs w:val="24"/>
          <w:lang w:val="fr-FR"/>
        </w:rPr>
        <w:t>e</w:t>
      </w:r>
      <w:r w:rsidR="003022CB" w:rsidRPr="00256989">
        <w:rPr>
          <w:rFonts w:ascii="Times New Roman" w:eastAsia="Times New Roman" w:hAnsi="Times New Roman" w:cs="Times New Roman"/>
          <w:sz w:val="24"/>
          <w:szCs w:val="24"/>
          <w:lang w:val="fr-FR"/>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d</m:t>
            </m:r>
          </m:sub>
        </m:sSub>
      </m:oMath>
      <w:r w:rsidR="003022CB"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 se défini</w:t>
      </w:r>
      <w:r w:rsidR="003022CB" w:rsidRPr="00256989">
        <w:rPr>
          <w:rFonts w:ascii="Times New Roman" w:eastAsia="Times New Roman" w:hAnsi="Times New Roman" w:cs="Times New Roman"/>
          <w:sz w:val="24"/>
          <w:szCs w:val="24"/>
          <w:lang w:val="fr-FR"/>
        </w:rPr>
        <w:t>t comme</w:t>
      </w:r>
      <w:r w:rsidR="00200480">
        <w:rPr>
          <w:rFonts w:ascii="Times New Roman" w:eastAsia="Times New Roman" w:hAnsi="Times New Roman" w:cs="Times New Roman"/>
          <w:sz w:val="24"/>
          <w:szCs w:val="24"/>
          <w:lang w:val="fr-FR"/>
        </w:rPr>
        <w:t xml:space="preserve"> </w:t>
      </w:r>
      <w:r w:rsidR="003022CB" w:rsidRPr="00256989">
        <w:rPr>
          <w:rFonts w:ascii="Times New Roman" w:eastAsia="Times New Roman" w:hAnsi="Times New Roman" w:cs="Times New Roman"/>
          <w:sz w:val="24"/>
          <w:szCs w:val="24"/>
          <w:lang w:val="fr-FR"/>
        </w:rPr>
        <w:t>:</w:t>
      </w:r>
    </w:p>
    <w:p w14:paraId="1312D029" w14:textId="238699EB" w:rsidR="003022CB" w:rsidRPr="00256989" w:rsidRDefault="00685C3E">
      <w:pPr>
        <w:spacing w:line="360" w:lineRule="auto"/>
        <w:jc w:val="both"/>
        <w:rPr>
          <w:rFonts w:ascii="Times New Roman" w:eastAsia="Times New Roman" w:hAnsi="Times New Roman" w:cs="Times New Roman"/>
          <w:sz w:val="24"/>
          <w:szCs w:val="24"/>
          <w:lang w:val="fr-FR"/>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d</m:t>
            </m:r>
          </m:sub>
        </m:sSub>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Y</m:t>
        </m:r>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T</m:t>
        </m:r>
      </m:oMath>
      <w:r w:rsidR="003022CB" w:rsidRPr="00256989">
        <w:rPr>
          <w:rFonts w:ascii="Times New Roman" w:eastAsia="Times New Roman" w:hAnsi="Times New Roman" w:cs="Times New Roman"/>
          <w:sz w:val="24"/>
          <w:szCs w:val="24"/>
          <w:lang w:val="fr-FR"/>
        </w:rPr>
        <w:t xml:space="preserve">                                                                     (2)</w:t>
      </w:r>
    </w:p>
    <w:p w14:paraId="2AE2C43E" w14:textId="3EBB680B" w:rsidR="005E4276" w:rsidRPr="00256989" w:rsidRDefault="003022CB">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Où T représente </w:t>
      </w:r>
      <w:r w:rsidR="006D388F" w:rsidRPr="00256989">
        <w:rPr>
          <w:rFonts w:ascii="Times New Roman" w:eastAsia="Times New Roman" w:hAnsi="Times New Roman" w:cs="Times New Roman"/>
          <w:sz w:val="24"/>
          <w:szCs w:val="24"/>
          <w:lang w:val="fr-FR"/>
        </w:rPr>
        <w:t xml:space="preserve">la taxe, Y </w:t>
      </w:r>
      <w:r w:rsidRPr="00256989">
        <w:rPr>
          <w:rFonts w:ascii="Times New Roman" w:eastAsia="Times New Roman" w:hAnsi="Times New Roman" w:cs="Times New Roman"/>
          <w:sz w:val="24"/>
          <w:szCs w:val="24"/>
          <w:lang w:val="fr-FR"/>
        </w:rPr>
        <w:t xml:space="preserve">est </w:t>
      </w:r>
      <w:r w:rsidR="006D388F" w:rsidRPr="00256989">
        <w:rPr>
          <w:rFonts w:ascii="Times New Roman" w:eastAsia="Times New Roman" w:hAnsi="Times New Roman" w:cs="Times New Roman"/>
          <w:sz w:val="24"/>
          <w:szCs w:val="24"/>
          <w:lang w:val="fr-FR"/>
        </w:rPr>
        <w:t xml:space="preserve">le revenu </w:t>
      </w:r>
      <w:r w:rsidRPr="00256989">
        <w:rPr>
          <w:rFonts w:ascii="Times New Roman" w:eastAsia="Times New Roman" w:hAnsi="Times New Roman" w:cs="Times New Roman"/>
          <w:sz w:val="24"/>
          <w:szCs w:val="24"/>
          <w:lang w:val="fr-FR"/>
        </w:rPr>
        <w:t>brut.</w:t>
      </w:r>
    </w:p>
    <w:p w14:paraId="4CF8D425" w14:textId="3ABA1F20" w:rsidR="003022CB" w:rsidRPr="00256989" w:rsidRDefault="003022CB">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Ainsi, une augmentation des impôts (T) réduit le revenu disponible des ménages et, par conséquent, la consommation (C), car les ménages auront moins d'argent à dépenser.</w:t>
      </w:r>
    </w:p>
    <w:p w14:paraId="588F4A20" w14:textId="21B349CE"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Selon l’approche Keynésienne, les effets des taxes sur la consommation se traduisent par le fait </w:t>
      </w:r>
      <w:r w:rsidR="00200480" w:rsidRPr="00200480">
        <w:rPr>
          <w:rFonts w:ascii="Times New Roman" w:eastAsia="Times New Roman" w:hAnsi="Times New Roman" w:cs="Times New Roman"/>
          <w:sz w:val="24"/>
          <w:szCs w:val="24"/>
          <w:lang w:val="fr-FR"/>
        </w:rPr>
        <w:t>qu’une</w:t>
      </w:r>
      <w:r w:rsidRPr="00256989">
        <w:rPr>
          <w:rFonts w:ascii="Times New Roman" w:eastAsia="Times New Roman" w:hAnsi="Times New Roman" w:cs="Times New Roman"/>
          <w:sz w:val="24"/>
          <w:szCs w:val="24"/>
          <w:lang w:val="fr-FR"/>
        </w:rPr>
        <w:t xml:space="preserve"> </w:t>
      </w:r>
      <w:r w:rsidR="003022CB" w:rsidRPr="00256989">
        <w:rPr>
          <w:rFonts w:ascii="Times New Roman" w:eastAsia="Times New Roman" w:hAnsi="Times New Roman" w:cs="Times New Roman"/>
          <w:sz w:val="24"/>
          <w:szCs w:val="24"/>
          <w:lang w:val="fr-FR"/>
        </w:rPr>
        <w:t xml:space="preserve">augmentation </w:t>
      </w:r>
      <w:r w:rsidRPr="00256989">
        <w:rPr>
          <w:rFonts w:ascii="Times New Roman" w:eastAsia="Times New Roman" w:hAnsi="Times New Roman" w:cs="Times New Roman"/>
          <w:sz w:val="24"/>
          <w:szCs w:val="24"/>
          <w:lang w:val="fr-FR"/>
        </w:rPr>
        <w:t xml:space="preserve">des </w:t>
      </w:r>
      <w:r w:rsidR="00B972F7" w:rsidRPr="00256989">
        <w:rPr>
          <w:rFonts w:ascii="Times New Roman" w:eastAsia="Times New Roman" w:hAnsi="Times New Roman" w:cs="Times New Roman"/>
          <w:sz w:val="24"/>
          <w:szCs w:val="24"/>
          <w:lang w:val="fr-FR"/>
        </w:rPr>
        <w:t>impôts</w:t>
      </w:r>
      <w:r w:rsidRPr="00256989">
        <w:rPr>
          <w:rFonts w:ascii="Times New Roman" w:eastAsia="Times New Roman" w:hAnsi="Times New Roman" w:cs="Times New Roman"/>
          <w:sz w:val="24"/>
          <w:szCs w:val="24"/>
          <w:lang w:val="fr-FR"/>
        </w:rPr>
        <w:t xml:space="preserve"> (T) </w:t>
      </w:r>
      <w:r w:rsidR="00B972F7" w:rsidRPr="00256989">
        <w:rPr>
          <w:rFonts w:ascii="Times New Roman" w:eastAsia="Times New Roman" w:hAnsi="Times New Roman" w:cs="Times New Roman"/>
          <w:sz w:val="24"/>
          <w:szCs w:val="24"/>
          <w:lang w:val="fr-FR"/>
        </w:rPr>
        <w:t>réduit le revenu disponible des ménages et, par conséquent</w:t>
      </w:r>
      <w:r w:rsidRPr="00256989">
        <w:rPr>
          <w:rFonts w:ascii="Times New Roman" w:eastAsia="Times New Roman" w:hAnsi="Times New Roman" w:cs="Times New Roman"/>
          <w:sz w:val="24"/>
          <w:szCs w:val="24"/>
          <w:lang w:val="fr-FR"/>
        </w:rPr>
        <w:t xml:space="preserve">, </w:t>
      </w:r>
      <w:r w:rsidR="00B972F7" w:rsidRPr="00256989">
        <w:rPr>
          <w:rFonts w:ascii="Times New Roman" w:eastAsia="Times New Roman" w:hAnsi="Times New Roman" w:cs="Times New Roman"/>
          <w:sz w:val="24"/>
          <w:szCs w:val="24"/>
          <w:lang w:val="fr-FR"/>
        </w:rPr>
        <w:t>la consommation (C), car les ménages auront moins d’argent à dépenser.</w:t>
      </w:r>
    </w:p>
    <w:p w14:paraId="0C1B9208" w14:textId="15FA8FB4" w:rsidR="005E4276"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lastRenderedPageBreak/>
        <w:t>II</w:t>
      </w:r>
      <w:r w:rsidR="00AE6893">
        <w:rPr>
          <w:rFonts w:ascii="Times New Roman" w:eastAsia="Times New Roman" w:hAnsi="Times New Roman" w:cs="Times New Roman"/>
          <w:b/>
          <w:sz w:val="24"/>
          <w:szCs w:val="24"/>
          <w:lang w:val="fr-FR"/>
        </w:rPr>
        <w:t>I</w:t>
      </w:r>
      <w:r w:rsidRPr="00256989">
        <w:rPr>
          <w:rFonts w:ascii="Times New Roman" w:eastAsia="Times New Roman" w:hAnsi="Times New Roman" w:cs="Times New Roman"/>
          <w:b/>
          <w:sz w:val="24"/>
          <w:szCs w:val="24"/>
          <w:lang w:val="fr-FR"/>
        </w:rPr>
        <w:t>.2 Le modèle empirique</w:t>
      </w:r>
    </w:p>
    <w:p w14:paraId="18BDFFAC" w14:textId="76232B8A"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Les études antérieures </w:t>
      </w:r>
      <w:r w:rsidR="00F65639" w:rsidRPr="00256989">
        <w:rPr>
          <w:rFonts w:ascii="Times New Roman" w:eastAsia="Times New Roman" w:hAnsi="Times New Roman" w:cs="Times New Roman"/>
          <w:sz w:val="24"/>
          <w:szCs w:val="24"/>
          <w:lang w:val="fr-FR"/>
        </w:rPr>
        <w:t xml:space="preserve">comme les travaux de Bodart et al (2008), Alm et El-Ganainy (2012), </w:t>
      </w:r>
      <w:r w:rsidRPr="00256989">
        <w:rPr>
          <w:rFonts w:ascii="Times New Roman" w:eastAsia="Times New Roman" w:hAnsi="Times New Roman" w:cs="Times New Roman"/>
          <w:sz w:val="24"/>
          <w:szCs w:val="24"/>
          <w:lang w:val="fr-FR"/>
        </w:rPr>
        <w:t xml:space="preserve">ont élargi le modèle (2) en tenant compte d’autres facteurs qui peuvent expliquer les dépenses de consommation finale des ménages. Ces auteurs ont mis en évidence la relation entre les dépenses de consommations des ménages et la taxe en se basant sur une fonction de consommation agrégée dans laquelle la consommation dépend du revenu courant, de la richesse accumulée et d’autres variables supplémentaires. D’autres auteurs comme Kaya et Sen (2015), Ajibola et Olowolaju (2017) se sont par la suite basés sur une fonction linéaire dans leurs travaux. Dans </w:t>
      </w:r>
      <w:r w:rsidR="00200480">
        <w:rPr>
          <w:rFonts w:ascii="Times New Roman" w:eastAsia="Times New Roman" w:hAnsi="Times New Roman" w:cs="Times New Roman"/>
          <w:sz w:val="24"/>
          <w:szCs w:val="24"/>
          <w:lang w:val="fr-FR"/>
        </w:rPr>
        <w:t>le cadre de notre</w:t>
      </w:r>
      <w:r w:rsidR="00200480"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recherche, nous nous basons sur les travaux de Bodart et al (2008) tout en incluant d’autres variables qui influencent les dépenses de consommation finale des ménages.</w:t>
      </w:r>
    </w:p>
    <w:p w14:paraId="4C0616E4" w14:textId="107FBCB0"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Le modèle empirique s’écrit comme suit</w:t>
      </w:r>
      <w:r w:rsidR="00200480">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w:t>
      </w:r>
    </w:p>
    <w:p w14:paraId="772DA8F6" w14:textId="08B21CBA" w:rsidR="001967DE" w:rsidRDefault="00685C3E" w:rsidP="004A5AC7">
      <w:pPr>
        <w:tabs>
          <w:tab w:val="right" w:pos="9360"/>
        </w:tabs>
        <w:spacing w:line="360" w:lineRule="auto"/>
        <w:jc w:val="both"/>
        <w:rPr>
          <w:rFonts w:ascii="Times New Roman" w:eastAsia="Times New Roman" w:hAnsi="Times New Roman" w:cs="Times New Roman"/>
          <w:sz w:val="24"/>
          <w:szCs w:val="24"/>
          <w:lang w:val="fr-FR"/>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0</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1</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Tax</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REV</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INF</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5</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TI</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6</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CHM</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7</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Pop</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ε</m:t>
            </m:r>
          </m:e>
          <m:sub>
            <m:r>
              <w:rPr>
                <w:rFonts w:ascii="Cambria Math" w:eastAsia="Cambria Math" w:hAnsi="Cambria Math" w:cs="Cambria Math"/>
                <w:sz w:val="24"/>
                <w:szCs w:val="24"/>
              </w:rPr>
              <m:t>t</m:t>
            </m:r>
          </m:sub>
        </m:sSub>
      </m:oMath>
      <w:r w:rsidR="006D388F" w:rsidRPr="00256989">
        <w:rPr>
          <w:rFonts w:ascii="Times New Roman" w:eastAsia="Times New Roman" w:hAnsi="Times New Roman" w:cs="Times New Roman"/>
          <w:sz w:val="24"/>
          <w:szCs w:val="24"/>
          <w:lang w:val="fr-FR"/>
        </w:rPr>
        <w:t xml:space="preserve">     </w:t>
      </w:r>
      <w:r w:rsidR="009F0B6D">
        <w:rPr>
          <w:rFonts w:ascii="Times New Roman" w:eastAsia="Times New Roman" w:hAnsi="Times New Roman" w:cs="Times New Roman"/>
          <w:sz w:val="24"/>
          <w:szCs w:val="24"/>
          <w:lang w:val="fr-FR"/>
        </w:rPr>
        <w:t>(3)</w:t>
      </w:r>
      <w:r w:rsidR="006D388F" w:rsidRPr="00256989">
        <w:rPr>
          <w:rFonts w:ascii="Times New Roman" w:eastAsia="Times New Roman" w:hAnsi="Times New Roman" w:cs="Times New Roman"/>
          <w:sz w:val="24"/>
          <w:szCs w:val="24"/>
          <w:lang w:val="fr-FR"/>
        </w:rPr>
        <w:t xml:space="preserve">                  </w:t>
      </w:r>
      <w:r w:rsidR="004A5AC7" w:rsidRPr="00256989">
        <w:rPr>
          <w:rFonts w:ascii="Times New Roman" w:eastAsia="Times New Roman" w:hAnsi="Times New Roman" w:cs="Times New Roman"/>
          <w:sz w:val="24"/>
          <w:szCs w:val="24"/>
          <w:lang w:val="fr-FR"/>
        </w:rPr>
        <w:tab/>
      </w:r>
    </w:p>
    <w:p w14:paraId="09B6FA8D" w14:textId="0F9235FB" w:rsidR="004A5AC7" w:rsidRPr="00256989" w:rsidRDefault="004A5AC7" w:rsidP="004A5AC7">
      <w:pPr>
        <w:tabs>
          <w:tab w:val="right" w:pos="9360"/>
        </w:tabs>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La variable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Tax</m:t>
            </m:r>
          </m:e>
          <m:sub>
            <m:r>
              <w:rPr>
                <w:rFonts w:ascii="Cambria Math" w:eastAsia="Cambria Math" w:hAnsi="Cambria Math" w:cs="Cambria Math"/>
                <w:sz w:val="24"/>
                <w:szCs w:val="24"/>
              </w:rPr>
              <m:t>t</m:t>
            </m:r>
          </m:sub>
        </m:sSub>
      </m:oMath>
      <w:r w:rsidRPr="00256989">
        <w:rPr>
          <w:rFonts w:ascii="Times New Roman" w:eastAsia="Times New Roman" w:hAnsi="Times New Roman" w:cs="Times New Roman"/>
          <w:sz w:val="24"/>
          <w:szCs w:val="24"/>
          <w:lang w:val="fr-FR"/>
        </w:rPr>
        <w:t xml:space="preserve"> sera analysée selon deux</w:t>
      </w:r>
      <w:r w:rsidR="00200480">
        <w:rPr>
          <w:rFonts w:ascii="Times New Roman" w:eastAsia="Times New Roman" w:hAnsi="Times New Roman" w:cs="Times New Roman"/>
          <w:sz w:val="24"/>
          <w:szCs w:val="24"/>
          <w:lang w:val="fr-FR"/>
        </w:rPr>
        <w:t xml:space="preserve"> (02)</w:t>
      </w:r>
      <w:r w:rsidRPr="00256989">
        <w:rPr>
          <w:rFonts w:ascii="Times New Roman" w:eastAsia="Times New Roman" w:hAnsi="Times New Roman" w:cs="Times New Roman"/>
          <w:sz w:val="24"/>
          <w:szCs w:val="24"/>
          <w:lang w:val="fr-FR"/>
        </w:rPr>
        <w:t xml:space="preserve"> composantes</w:t>
      </w:r>
      <w:r w:rsidR="00200480">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La taxe sur la valeur ajoutée (TVA) et l’impôt unique sur les traitements et salaires (IUTS)</w:t>
      </w:r>
      <w:r w:rsidR="001967DE">
        <w:rPr>
          <w:rFonts w:ascii="Times New Roman" w:eastAsia="Times New Roman" w:hAnsi="Times New Roman" w:cs="Times New Roman"/>
          <w:sz w:val="24"/>
          <w:szCs w:val="24"/>
          <w:lang w:val="fr-FR"/>
        </w:rPr>
        <w:t xml:space="preserve"> car il y’a une forte corrélation entre les deux variables. L’ajout de ces deux variables dans une même équation posera un problème de multicolinéarité. </w:t>
      </w:r>
    </w:p>
    <w:p w14:paraId="0F4566E2" w14:textId="15B3C87F"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-Pour analyser l’effet de l’IUTS sur les dépenses de consommation finale des ménages, le modèle ARDL se présente comme suit</w:t>
      </w:r>
      <w:r w:rsidR="00200480">
        <w:rPr>
          <w:rFonts w:ascii="Times New Roman" w:eastAsia="Times New Roman" w:hAnsi="Times New Roman" w:cs="Times New Roman"/>
          <w:sz w:val="24"/>
          <w:szCs w:val="24"/>
          <w:lang w:val="fr-FR"/>
        </w:rPr>
        <w:t xml:space="preserve"> </w:t>
      </w:r>
      <w:r w:rsidR="001967DE">
        <w:rPr>
          <w:rFonts w:ascii="Times New Roman" w:eastAsia="Times New Roman" w:hAnsi="Times New Roman" w:cs="Times New Roman"/>
          <w:sz w:val="24"/>
          <w:szCs w:val="24"/>
          <w:lang w:val="fr-FR"/>
        </w:rPr>
        <w:t xml:space="preserve">pour capter les relations de long terme et de court </w:t>
      </w:r>
      <w:r w:rsidR="00490F81">
        <w:rPr>
          <w:rFonts w:ascii="Times New Roman" w:eastAsia="Times New Roman" w:hAnsi="Times New Roman" w:cs="Times New Roman"/>
          <w:sz w:val="24"/>
          <w:szCs w:val="24"/>
          <w:lang w:val="fr-FR"/>
        </w:rPr>
        <w:t>terme</w:t>
      </w:r>
      <w:r w:rsidR="00490F81" w:rsidRPr="00256989">
        <w:rPr>
          <w:rFonts w:ascii="Times New Roman" w:eastAsia="Times New Roman" w:hAnsi="Times New Roman" w:cs="Times New Roman"/>
          <w:sz w:val="24"/>
          <w:szCs w:val="24"/>
          <w:lang w:val="fr-FR"/>
        </w:rPr>
        <w:t xml:space="preserve"> :</w:t>
      </w:r>
    </w:p>
    <w:p w14:paraId="442E715A" w14:textId="00223A05" w:rsidR="00F60684" w:rsidRPr="00256989" w:rsidRDefault="00685C3E">
      <w:pPr>
        <w:spacing w:line="360" w:lineRule="auto"/>
        <w:jc w:val="both"/>
        <w:rPr>
          <w:rFonts w:ascii="Times New Roman" w:eastAsia="Times New Roman" w:hAnsi="Times New Roman" w:cs="Times New Roman"/>
          <w:sz w:val="24"/>
          <w:szCs w:val="24"/>
          <w:lang w:val="fr-FR"/>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LnC</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0</m:t>
            </m:r>
          </m:sub>
        </m:sSub>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=1</m:t>
            </m:r>
          </m:sub>
          <m:sup>
            <m:r>
              <w:rPr>
                <w:rFonts w:ascii="Cambria Math" w:eastAsia="Cambria Math" w:hAnsi="Cambria Math" w:cs="Cambria Math"/>
                <w:sz w:val="24"/>
                <w:szCs w:val="24"/>
              </w:rPr>
              <m:t>p</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1</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q</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2</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IUTS</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m</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3</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LnREV</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n</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4</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INF</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v</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5</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w</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6</m:t>
                </m:r>
                <m:r>
                  <w:rPr>
                    <w:rFonts w:ascii="Cambria Math" w:eastAsia="Cambria Math" w:hAnsi="Cambria Math" w:cs="Cambria Math"/>
                    <w:sz w:val="24"/>
                    <w:szCs w:val="24"/>
                  </w:rPr>
                  <m:t>i</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CHM</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Y</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7</m:t>
                </m:r>
                <m:r>
                  <w:rPr>
                    <w:rFonts w:ascii="Cambria Math" w:eastAsia="Cambria Math" w:hAnsi="Cambria Math" w:cs="Cambria Math"/>
                    <w:sz w:val="24"/>
                    <w:szCs w:val="24"/>
                  </w:rPr>
                  <m:t>i</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LnPop</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1</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IUTS</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LnREV</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INF</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5</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6</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CHM</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6</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LnPop</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ε</m:t>
            </m:r>
          </m:e>
          <m:sub>
            <m:r>
              <w:rPr>
                <w:rFonts w:ascii="Cambria Math" w:eastAsia="Cambria Math" w:hAnsi="Cambria Math" w:cs="Cambria Math"/>
                <w:sz w:val="24"/>
                <w:szCs w:val="24"/>
              </w:rPr>
              <m:t>t</m:t>
            </m:r>
          </m:sub>
        </m:sSub>
      </m:oMath>
      <w:r w:rsidR="00F923BD" w:rsidRPr="00256989">
        <w:rPr>
          <w:rFonts w:ascii="Times New Roman" w:eastAsia="Times New Roman" w:hAnsi="Times New Roman" w:cs="Times New Roman"/>
          <w:sz w:val="24"/>
          <w:szCs w:val="24"/>
          <w:lang w:val="fr-FR"/>
        </w:rPr>
        <w:t xml:space="preserve">            </w:t>
      </w:r>
      <w:r w:rsidR="009F0B6D">
        <w:rPr>
          <w:rFonts w:ascii="Times New Roman" w:eastAsia="Times New Roman" w:hAnsi="Times New Roman" w:cs="Times New Roman"/>
          <w:sz w:val="24"/>
          <w:szCs w:val="24"/>
          <w:lang w:val="fr-FR"/>
        </w:rPr>
        <w:t>(4)</w:t>
      </w:r>
      <w:r w:rsidR="00F923BD" w:rsidRPr="00256989">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 xml:space="preserve"> </w:t>
      </w:r>
    </w:p>
    <w:p w14:paraId="37D4C8A5" w14:textId="69BD3226"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-Pour analyser l’effet de la TVA sur les dépenses de consommation finale des ménages, le modèle ARDL se présente</w:t>
      </w:r>
      <w:r w:rsidR="00200480">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w:t>
      </w:r>
    </w:p>
    <w:p w14:paraId="79224179" w14:textId="7327336E" w:rsidR="005E4276" w:rsidRPr="00256989" w:rsidRDefault="00685C3E">
      <w:pPr>
        <w:spacing w:line="360" w:lineRule="auto"/>
        <w:jc w:val="both"/>
        <w:rPr>
          <w:rFonts w:ascii="Times New Roman" w:eastAsia="Times New Roman" w:hAnsi="Times New Roman" w:cs="Times New Roman"/>
          <w:sz w:val="24"/>
          <w:szCs w:val="24"/>
          <w:lang w:val="fr-FR"/>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LnC</m:t>
            </m:r>
          </m:e>
          <m:sub>
            <m:r>
              <w:rPr>
                <w:rFonts w:ascii="Cambria Math" w:eastAsia="Cambria Math" w:hAnsi="Cambria Math" w:cs="Cambria Math"/>
                <w:sz w:val="24"/>
                <w:szCs w:val="24"/>
              </w:rPr>
              <m:t>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0</m:t>
            </m:r>
          </m:sub>
        </m:sSub>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=1</m:t>
            </m:r>
          </m:sub>
          <m:sup>
            <m:r>
              <w:rPr>
                <w:rFonts w:ascii="Cambria Math" w:eastAsia="Cambria Math" w:hAnsi="Cambria Math" w:cs="Cambria Math"/>
                <w:sz w:val="24"/>
                <w:szCs w:val="24"/>
              </w:rPr>
              <m:t>p</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1</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q</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2</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TVA</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m</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3</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LnREV</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n</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4</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INF</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v</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5</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w</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6</m:t>
                </m:r>
                <m:r>
                  <w:rPr>
                    <w:rFonts w:ascii="Cambria Math" w:eastAsia="Cambria Math" w:hAnsi="Cambria Math" w:cs="Cambria Math"/>
                    <w:sz w:val="24"/>
                    <w:szCs w:val="24"/>
                  </w:rPr>
                  <m:t>i</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CHM</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Y</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7</m:t>
                </m:r>
                <m:r>
                  <w:rPr>
                    <w:rFonts w:ascii="Cambria Math" w:eastAsia="Cambria Math" w:hAnsi="Cambria Math" w:cs="Cambria Math"/>
                    <w:sz w:val="24"/>
                    <w:szCs w:val="24"/>
                  </w:rPr>
                  <m:t>i</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LnPop</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1</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TVA</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LnREV</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INF</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5</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6</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CHM</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6</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LnPop</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ε</m:t>
            </m:r>
          </m:e>
          <m:sub>
            <m:r>
              <w:rPr>
                <w:rFonts w:ascii="Cambria Math" w:eastAsia="Cambria Math" w:hAnsi="Cambria Math" w:cs="Cambria Math"/>
                <w:sz w:val="24"/>
                <w:szCs w:val="24"/>
              </w:rPr>
              <m:t>t</m:t>
            </m:r>
          </m:sub>
        </m:sSub>
      </m:oMath>
      <w:r w:rsidR="006D388F" w:rsidRPr="00256989">
        <w:rPr>
          <w:rFonts w:ascii="Times New Roman" w:eastAsia="Times New Roman" w:hAnsi="Times New Roman" w:cs="Times New Roman"/>
          <w:sz w:val="24"/>
          <w:szCs w:val="24"/>
          <w:lang w:val="fr-FR"/>
        </w:rPr>
        <w:t xml:space="preserve">              </w:t>
      </w:r>
      <w:r w:rsidR="009F0B6D">
        <w:rPr>
          <w:rFonts w:ascii="Times New Roman" w:eastAsia="Times New Roman" w:hAnsi="Times New Roman" w:cs="Times New Roman"/>
          <w:sz w:val="24"/>
          <w:szCs w:val="24"/>
          <w:lang w:val="fr-FR"/>
        </w:rPr>
        <w:t>(5)</w:t>
      </w:r>
      <w:r w:rsidR="006D388F" w:rsidRPr="00256989">
        <w:rPr>
          <w:rFonts w:ascii="Times New Roman" w:eastAsia="Times New Roman" w:hAnsi="Times New Roman" w:cs="Times New Roman"/>
          <w:sz w:val="24"/>
          <w:szCs w:val="24"/>
          <w:lang w:val="fr-FR"/>
        </w:rPr>
        <w:t xml:space="preserve">                                       </w:t>
      </w:r>
    </w:p>
    <w:p w14:paraId="3236AF80" w14:textId="7DCA7852"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-Pour analyser l’effet de la TVA et</w:t>
      </w:r>
      <w:r w:rsidR="00050F1F">
        <w:rPr>
          <w:rFonts w:ascii="Times New Roman" w:eastAsia="Times New Roman" w:hAnsi="Times New Roman" w:cs="Times New Roman"/>
          <w:sz w:val="24"/>
          <w:szCs w:val="24"/>
          <w:lang w:val="fr-FR"/>
        </w:rPr>
        <w:t xml:space="preserve"> de</w:t>
      </w:r>
      <w:r w:rsidRPr="00256989">
        <w:rPr>
          <w:rFonts w:ascii="Times New Roman" w:eastAsia="Times New Roman" w:hAnsi="Times New Roman" w:cs="Times New Roman"/>
          <w:sz w:val="24"/>
          <w:szCs w:val="24"/>
          <w:lang w:val="fr-FR"/>
        </w:rPr>
        <w:t xml:space="preserve"> l’IUTS sur les composantes des dépenses de consommation finales des ménages, nous nous basons sur le modèle suivant</w:t>
      </w:r>
      <w:r w:rsidR="00200480">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w:t>
      </w:r>
    </w:p>
    <w:p w14:paraId="76F794BE" w14:textId="14DDD804" w:rsidR="005E4276" w:rsidRPr="00256989" w:rsidRDefault="00685C3E">
      <w:pPr>
        <w:spacing w:line="360" w:lineRule="auto"/>
        <w:jc w:val="both"/>
        <w:rPr>
          <w:rFonts w:ascii="Times New Roman" w:eastAsia="Times New Roman" w:hAnsi="Times New Roman" w:cs="Times New Roman"/>
          <w:sz w:val="24"/>
          <w:szCs w:val="24"/>
          <w:lang w:val="fr-FR"/>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LnC</m:t>
            </m:r>
          </m:e>
          <m:sub>
            <m:r>
              <w:rPr>
                <w:rFonts w:ascii="Cambria Math" w:eastAsia="Cambria Math" w:hAnsi="Cambria Math" w:cs="Cambria Math"/>
                <w:sz w:val="24"/>
                <w:szCs w:val="24"/>
              </w:rPr>
              <m:t>jt</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0</m:t>
            </m:r>
          </m:sub>
        </m:sSub>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=1</m:t>
            </m:r>
          </m:sub>
          <m:sup>
            <m:r>
              <w:rPr>
                <w:rFonts w:ascii="Cambria Math" w:eastAsia="Cambria Math" w:hAnsi="Cambria Math" w:cs="Cambria Math"/>
                <w:sz w:val="24"/>
                <w:szCs w:val="24"/>
              </w:rPr>
              <m:t>p</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1</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LnC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q</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2</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tax</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n</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3</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INF</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v</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4</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lang w:val="fr-FR"/>
              </w:rPr>
              <m:t>=0</m:t>
            </m:r>
          </m:sub>
          <m:sup>
            <m:r>
              <w:rPr>
                <w:rFonts w:ascii="Cambria Math" w:eastAsia="Cambria Math" w:hAnsi="Cambria Math" w:cs="Cambria Math"/>
                <w:sz w:val="24"/>
                <w:szCs w:val="24"/>
              </w:rPr>
              <m:t>v</m:t>
            </m:r>
          </m:sup>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lang w:val="fr-FR"/>
                  </w:rPr>
                  <m:t>5</m:t>
                </m:r>
                <m:r>
                  <w:rPr>
                    <w:rFonts w:ascii="Cambria Math" w:eastAsia="Cambria Math" w:hAnsi="Cambria Math" w:cs="Cambria Math"/>
                    <w:sz w:val="24"/>
                    <w:szCs w:val="24"/>
                  </w:rPr>
                  <m:t>i</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lang w:val="fr-FR"/>
                  </w:rPr>
                  <m:t>∆</m:t>
                </m:r>
                <m:r>
                  <w:rPr>
                    <w:rFonts w:ascii="Cambria Math" w:eastAsia="Cambria Math" w:hAnsi="Cambria Math" w:cs="Cambria Math"/>
                    <w:sz w:val="24"/>
                    <w:szCs w:val="24"/>
                  </w:rPr>
                  <m:t>CHM</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rPr>
                  <m:t>i</m:t>
                </m:r>
              </m:sub>
            </m:sSub>
          </m:e>
        </m:nary>
        <m:r>
          <w:rPr>
            <w:rFonts w:ascii="Cambria Math" w:eastAsia="Cambria Math" w:hAnsi="Cambria Math" w:cs="Cambria Math"/>
            <w:sz w:val="24"/>
            <w:szCs w:val="24"/>
            <w:lang w:val="fr-FR"/>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1</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LnC</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tax</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3</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INF</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α</m:t>
            </m:r>
          </m:e>
          <m:sub>
            <m:r>
              <w:rPr>
                <w:rFonts w:ascii="Cambria Math" w:eastAsia="Cambria Math" w:hAnsi="Cambria Math" w:cs="Cambria Math"/>
                <w:sz w:val="24"/>
                <w:szCs w:val="24"/>
                <w:lang w:val="fr-FR"/>
              </w:rPr>
              <m:t>5</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TI</m:t>
            </m:r>
          </m:e>
          <m:sub>
            <m:r>
              <w:rPr>
                <w:rFonts w:ascii="Cambria Math" w:eastAsia="Cambria Math" w:hAnsi="Cambria Math" w:cs="Cambria Math"/>
                <w:sz w:val="24"/>
                <w:szCs w:val="24"/>
              </w:rPr>
              <m:t>t</m:t>
            </m:r>
            <m:r>
              <w:rPr>
                <w:rFonts w:ascii="Cambria Math" w:eastAsia="Cambria Math" w:hAnsi="Cambria Math" w:cs="Cambria Math"/>
                <w:sz w:val="24"/>
                <w:szCs w:val="24"/>
                <w:lang w:val="fr-FR"/>
              </w:rPr>
              <m:t>-</m:t>
            </m:r>
            <m:r>
              <w:rPr>
                <w:rFonts w:ascii="Cambria Math" w:eastAsia="Cambria Math" w:hAnsi="Cambria Math" w:cs="Cambria Math"/>
                <w:sz w:val="24"/>
                <w:szCs w:val="24"/>
                <w:lang w:val="fr-FR"/>
              </w:rPr>
              <m:t>1</m:t>
            </m:r>
          </m:sub>
        </m:sSub>
        <m:r>
          <w:rPr>
            <w:rFonts w:ascii="Cambria Math" w:eastAsia="Cambria Math" w:hAnsi="Cambria Math" w:cs="Cambria Math"/>
            <w:sz w:val="24"/>
            <w:szCs w:val="24"/>
            <w:lang w:val="fr-FR"/>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ε</m:t>
            </m:r>
          </m:e>
          <m:sub>
            <m:r>
              <w:rPr>
                <w:rFonts w:ascii="Cambria Math" w:eastAsia="Cambria Math" w:hAnsi="Cambria Math" w:cs="Cambria Math"/>
                <w:sz w:val="24"/>
                <w:szCs w:val="24"/>
              </w:rPr>
              <m:t>t</m:t>
            </m:r>
          </m:sub>
        </m:sSub>
      </m:oMath>
      <w:r w:rsidR="006D388F" w:rsidRPr="00256989">
        <w:rPr>
          <w:rFonts w:ascii="Times New Roman" w:eastAsia="Times New Roman" w:hAnsi="Times New Roman" w:cs="Times New Roman"/>
          <w:sz w:val="24"/>
          <w:szCs w:val="24"/>
          <w:lang w:val="fr-FR"/>
        </w:rPr>
        <w:t xml:space="preserve">          </w:t>
      </w:r>
      <w:r w:rsidR="009F0B6D">
        <w:rPr>
          <w:rFonts w:ascii="Times New Roman" w:eastAsia="Times New Roman" w:hAnsi="Times New Roman" w:cs="Times New Roman"/>
          <w:sz w:val="24"/>
          <w:szCs w:val="24"/>
          <w:lang w:val="fr-FR"/>
        </w:rPr>
        <w:t>(6)</w:t>
      </w:r>
      <w:r w:rsidR="006D388F" w:rsidRPr="00256989">
        <w:rPr>
          <w:rFonts w:ascii="Times New Roman" w:eastAsia="Times New Roman" w:hAnsi="Times New Roman" w:cs="Times New Roman"/>
          <w:sz w:val="24"/>
          <w:szCs w:val="24"/>
          <w:lang w:val="fr-FR"/>
        </w:rPr>
        <w:t xml:space="preserve">                                                    </w:t>
      </w:r>
    </w:p>
    <w:p w14:paraId="131235A9" w14:textId="13D95999" w:rsidR="005E4276" w:rsidRPr="00256989" w:rsidRDefault="006D388F">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sz w:val="24"/>
          <w:szCs w:val="24"/>
          <w:lang w:val="fr-FR"/>
        </w:rPr>
        <w:t xml:space="preserve">Où </w:t>
      </w:r>
      <w:r w:rsidRPr="00256989">
        <w:rPr>
          <w:rFonts w:ascii="Times New Roman" w:eastAsia="Times New Roman" w:hAnsi="Times New Roman" w:cs="Times New Roman"/>
          <w:color w:val="000000"/>
          <w:sz w:val="24"/>
          <w:szCs w:val="24"/>
          <w:lang w:val="fr-FR"/>
        </w:rPr>
        <w:t>t représente le temps.</w:t>
      </w:r>
      <m:oMath>
        <m:r>
          <w:rPr>
            <w:rFonts w:ascii="Cambria Math" w:hAnsi="Cambria Math"/>
          </w:rPr>
          <m:t>ε</m:t>
        </m:r>
      </m:oMath>
      <w:r w:rsidRPr="00256989">
        <w:rPr>
          <w:rFonts w:ascii="Times New Roman" w:eastAsia="Times New Roman" w:hAnsi="Times New Roman" w:cs="Times New Roman"/>
          <w:color w:val="000000"/>
          <w:sz w:val="24"/>
          <w:szCs w:val="24"/>
          <w:lang w:val="fr-FR"/>
        </w:rPr>
        <w:t xml:space="preserve"> </w:t>
      </w:r>
      <w:r w:rsidR="005B13A7" w:rsidRPr="00256989">
        <w:rPr>
          <w:rFonts w:ascii="Times New Roman" w:eastAsia="Times New Roman" w:hAnsi="Times New Roman" w:cs="Times New Roman"/>
          <w:color w:val="000000"/>
          <w:sz w:val="24"/>
          <w:szCs w:val="24"/>
          <w:lang w:val="fr-FR"/>
        </w:rPr>
        <w:t>représente le</w:t>
      </w:r>
      <w:r w:rsidRPr="00256989">
        <w:rPr>
          <w:rFonts w:ascii="Times New Roman" w:eastAsia="Times New Roman" w:hAnsi="Times New Roman" w:cs="Times New Roman"/>
          <w:color w:val="000000"/>
          <w:sz w:val="24"/>
          <w:szCs w:val="24"/>
          <w:lang w:val="fr-FR"/>
        </w:rPr>
        <w:t xml:space="preserve"> terme d’erreur qui est censé être distribué normalement et indépendamment avec une moyenne nulle et une variance constante. </w:t>
      </w:r>
      <w:r w:rsidR="004A5AC7" w:rsidRPr="00256989">
        <w:rPr>
          <w:rFonts w:ascii="Times New Roman" w:eastAsia="Times New Roman" w:hAnsi="Times New Roman" w:cs="Times New Roman"/>
          <w:sz w:val="24"/>
          <w:szCs w:val="24"/>
          <w:lang w:val="fr-FR"/>
        </w:rPr>
        <w:t>j</w:t>
      </w:r>
      <w:r w:rsidRPr="00256989">
        <w:rPr>
          <w:rFonts w:ascii="Times New Roman" w:eastAsia="Times New Roman" w:hAnsi="Times New Roman" w:cs="Times New Roman"/>
          <w:sz w:val="24"/>
          <w:szCs w:val="24"/>
          <w:lang w:val="fr-FR"/>
        </w:rPr>
        <w:t xml:space="preserve"> représente</w:t>
      </w:r>
      <w:r w:rsidRPr="00256989">
        <w:rPr>
          <w:rFonts w:ascii="Times New Roman" w:eastAsia="Times New Roman" w:hAnsi="Times New Roman" w:cs="Times New Roman"/>
          <w:color w:val="000000"/>
          <w:sz w:val="24"/>
          <w:szCs w:val="24"/>
          <w:lang w:val="fr-FR"/>
        </w:rPr>
        <w:t xml:space="preserve"> les différentes composantes des dépenses de consommation finale des ménages. </w:t>
      </w:r>
      <w:r w:rsidRPr="00256989">
        <w:rPr>
          <w:rFonts w:ascii="Times New Roman" w:eastAsia="Times New Roman" w:hAnsi="Times New Roman" w:cs="Times New Roman"/>
          <w:sz w:val="24"/>
          <w:szCs w:val="24"/>
          <w:lang w:val="fr-FR"/>
        </w:rPr>
        <w:t>Les taxes</w:t>
      </w:r>
      <w:r w:rsidRPr="00256989">
        <w:rPr>
          <w:rFonts w:ascii="Times New Roman" w:eastAsia="Times New Roman" w:hAnsi="Times New Roman" w:cs="Times New Roman"/>
          <w:color w:val="000000"/>
          <w:sz w:val="24"/>
          <w:szCs w:val="24"/>
          <w:lang w:val="fr-FR"/>
        </w:rPr>
        <w:t xml:space="preserve"> représentent la TVA ou l’IUTS.</w:t>
      </w:r>
    </w:p>
    <w:p w14:paraId="3CA158F4" w14:textId="25421106" w:rsidR="005E4276" w:rsidRPr="00256989" w:rsidRDefault="00B939D7">
      <w:pPr>
        <w:spacing w:line="36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I</w:t>
      </w:r>
      <w:r w:rsidR="006D388F" w:rsidRPr="00256989">
        <w:rPr>
          <w:rFonts w:ascii="Times New Roman" w:eastAsia="Times New Roman" w:hAnsi="Times New Roman" w:cs="Times New Roman"/>
          <w:b/>
          <w:sz w:val="24"/>
          <w:szCs w:val="24"/>
          <w:lang w:val="fr-FR"/>
        </w:rPr>
        <w:t>II.3 La description des variables</w:t>
      </w:r>
    </w:p>
    <w:p w14:paraId="14DE6A33" w14:textId="77777777" w:rsidR="005E4276" w:rsidRPr="00256989" w:rsidRDefault="006D388F">
      <w:pPr>
        <w:numPr>
          <w:ilvl w:val="0"/>
          <w:numId w:val="4"/>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lang w:val="fr-FR"/>
        </w:rPr>
      </w:pPr>
      <w:r w:rsidRPr="00256989">
        <w:rPr>
          <w:rFonts w:ascii="Times New Roman" w:eastAsia="Times New Roman" w:hAnsi="Times New Roman" w:cs="Times New Roman"/>
          <w:b/>
          <w:color w:val="000000"/>
          <w:sz w:val="24"/>
          <w:szCs w:val="24"/>
          <w:lang w:val="fr-FR"/>
        </w:rPr>
        <w:t>Dépenses de consommation finale des ménages</w:t>
      </w:r>
    </w:p>
    <w:p w14:paraId="339CED09" w14:textId="495ABA3B" w:rsidR="005E4276" w:rsidRDefault="0068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C</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lang w:val="fr-FR"/>
          </w:rPr>
          <m:t xml:space="preserve"> </m:t>
        </m:r>
      </m:oMath>
      <w:r w:rsidR="006D388F" w:rsidRPr="00256989">
        <w:rPr>
          <w:rFonts w:ascii="Times New Roman" w:eastAsia="Times New Roman" w:hAnsi="Times New Roman" w:cs="Times New Roman"/>
          <w:color w:val="000000"/>
          <w:sz w:val="24"/>
          <w:szCs w:val="24"/>
          <w:lang w:val="fr-FR"/>
        </w:rPr>
        <w:t xml:space="preserve"> représente les dépenses de consommation finale des ménages. Cette variable représente notre variable dépendante</w:t>
      </w:r>
      <w:r w:rsidR="00BF5B70" w:rsidRPr="00256989">
        <w:rPr>
          <w:rFonts w:ascii="Times New Roman" w:eastAsia="Times New Roman" w:hAnsi="Times New Roman" w:cs="Times New Roman"/>
          <w:color w:val="000000"/>
          <w:sz w:val="24"/>
          <w:szCs w:val="24"/>
          <w:lang w:val="fr-FR"/>
        </w:rPr>
        <w:t xml:space="preserve"> et est mesurée en pourcentage du produit intérieur brut par habitant</w:t>
      </w:r>
      <w:r w:rsidR="006D388F" w:rsidRPr="00256989">
        <w:rPr>
          <w:rFonts w:ascii="Times New Roman" w:eastAsia="Times New Roman" w:hAnsi="Times New Roman" w:cs="Times New Roman"/>
          <w:color w:val="000000"/>
          <w:sz w:val="24"/>
          <w:szCs w:val="24"/>
          <w:lang w:val="fr-FR"/>
        </w:rPr>
        <w:t xml:space="preserve">. Elle représente les dépenses effectivement réalisées par les ménages résidents pour acquérir des biens et des services destinés à la satisfaction de leurs besoins. Les biens et services correspondants ne sont pas stockés, mais considérés comme consommés au moment de leur achat, même si certains biens sont considérés </w:t>
      </w:r>
      <w:r w:rsidR="006D388F" w:rsidRPr="00256989">
        <w:rPr>
          <w:rFonts w:ascii="Times New Roman" w:eastAsia="Times New Roman" w:hAnsi="Times New Roman" w:cs="Times New Roman"/>
          <w:sz w:val="24"/>
          <w:szCs w:val="24"/>
          <w:lang w:val="fr-FR"/>
        </w:rPr>
        <w:t>comme durables</w:t>
      </w:r>
      <w:r w:rsidR="006D388F" w:rsidRPr="00256989">
        <w:rPr>
          <w:rFonts w:ascii="Times New Roman" w:eastAsia="Times New Roman" w:hAnsi="Times New Roman" w:cs="Times New Roman"/>
          <w:color w:val="000000"/>
          <w:sz w:val="24"/>
          <w:szCs w:val="24"/>
          <w:lang w:val="fr-FR"/>
        </w:rPr>
        <w:t xml:space="preserve"> comme les voitures, meubles etc. Dans la littérature, plusieurs auteurs ont utilisé cet indicateur. En effet, Alexander et Gelardi, (2012) ont montré que la consommation finale des ménages comprend les coûts supportés par les ménages des résidents, sur la consommation individuelle, y compris les biens et services vendus à des prix non rentables. Ajibola et olowolaju (2017) </w:t>
      </w:r>
      <w:r w:rsidR="00200480">
        <w:rPr>
          <w:rFonts w:ascii="Times New Roman" w:eastAsia="Times New Roman" w:hAnsi="Times New Roman" w:cs="Times New Roman"/>
          <w:color w:val="000000"/>
          <w:sz w:val="24"/>
          <w:szCs w:val="24"/>
          <w:lang w:val="fr-FR"/>
        </w:rPr>
        <w:t>soutiennent</w:t>
      </w:r>
      <w:r w:rsidR="00200480" w:rsidRPr="00256989">
        <w:rPr>
          <w:rFonts w:ascii="Times New Roman" w:eastAsia="Times New Roman" w:hAnsi="Times New Roman" w:cs="Times New Roman"/>
          <w:color w:val="000000"/>
          <w:sz w:val="24"/>
          <w:szCs w:val="24"/>
          <w:lang w:val="fr-FR"/>
        </w:rPr>
        <w:t xml:space="preserve"> </w:t>
      </w:r>
      <w:r w:rsidR="006D388F" w:rsidRPr="00256989">
        <w:rPr>
          <w:rFonts w:ascii="Times New Roman" w:eastAsia="Times New Roman" w:hAnsi="Times New Roman" w:cs="Times New Roman"/>
          <w:color w:val="000000"/>
          <w:sz w:val="24"/>
          <w:szCs w:val="24"/>
          <w:lang w:val="fr-FR"/>
        </w:rPr>
        <w:t xml:space="preserve">que la consommation finale des ménages est la composante du revenu des ménages utilisée pour financer l’achat de plusieurs services, biens et autres besoins essentiels </w:t>
      </w:r>
      <w:r w:rsidR="00200480">
        <w:rPr>
          <w:rFonts w:ascii="Times New Roman" w:eastAsia="Times New Roman" w:hAnsi="Times New Roman" w:cs="Times New Roman"/>
          <w:color w:val="000000"/>
          <w:sz w:val="24"/>
          <w:szCs w:val="24"/>
          <w:lang w:val="fr-FR"/>
        </w:rPr>
        <w:t>afin de</w:t>
      </w:r>
      <w:r w:rsidR="00200480" w:rsidRPr="00256989">
        <w:rPr>
          <w:rFonts w:ascii="Times New Roman" w:eastAsia="Times New Roman" w:hAnsi="Times New Roman" w:cs="Times New Roman"/>
          <w:color w:val="000000"/>
          <w:sz w:val="24"/>
          <w:szCs w:val="24"/>
          <w:lang w:val="fr-FR"/>
        </w:rPr>
        <w:t xml:space="preserve"> </w:t>
      </w:r>
      <w:r w:rsidR="006D388F" w:rsidRPr="00256989">
        <w:rPr>
          <w:rFonts w:ascii="Times New Roman" w:eastAsia="Times New Roman" w:hAnsi="Times New Roman" w:cs="Times New Roman"/>
          <w:color w:val="000000"/>
          <w:sz w:val="24"/>
          <w:szCs w:val="24"/>
          <w:lang w:val="fr-FR"/>
        </w:rPr>
        <w:t xml:space="preserve">subvenir aux besoins </w:t>
      </w:r>
      <w:r w:rsidR="00411CF8" w:rsidRPr="00256989">
        <w:rPr>
          <w:rFonts w:ascii="Times New Roman" w:eastAsia="Times New Roman" w:hAnsi="Times New Roman" w:cs="Times New Roman"/>
          <w:color w:val="000000"/>
          <w:sz w:val="24"/>
          <w:szCs w:val="24"/>
          <w:lang w:val="fr-FR"/>
        </w:rPr>
        <w:t>du ménage</w:t>
      </w:r>
      <w:r w:rsidR="006D388F" w:rsidRPr="00256989">
        <w:rPr>
          <w:rFonts w:ascii="Times New Roman" w:eastAsia="Times New Roman" w:hAnsi="Times New Roman" w:cs="Times New Roman"/>
          <w:color w:val="000000"/>
          <w:sz w:val="24"/>
          <w:szCs w:val="24"/>
          <w:lang w:val="fr-FR"/>
        </w:rPr>
        <w:t>.</w:t>
      </w:r>
    </w:p>
    <w:p w14:paraId="74C93049" w14:textId="77777777" w:rsidR="00793286" w:rsidRPr="00256989" w:rsidRDefault="0079328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263E4930" w14:textId="2BBAE1DE" w:rsidR="005E4276" w:rsidRDefault="0068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C</m:t>
            </m:r>
          </m:e>
          <m:sub>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lang w:val="fr-FR"/>
              </w:rPr>
              <m:t>-</m:t>
            </m:r>
            <m:r>
              <w:rPr>
                <w:rFonts w:ascii="Cambria Math" w:eastAsia="Cambria Math" w:hAnsi="Cambria Math" w:cs="Cambria Math"/>
                <w:color w:val="000000"/>
                <w:sz w:val="24"/>
                <w:szCs w:val="24"/>
                <w:lang w:val="fr-FR"/>
              </w:rPr>
              <m:t>1</m:t>
            </m:r>
          </m:sub>
        </m:sSub>
      </m:oMath>
      <w:r w:rsidR="006D388F" w:rsidRPr="00256989">
        <w:rPr>
          <w:rFonts w:ascii="Times New Roman" w:eastAsia="Times New Roman" w:hAnsi="Times New Roman" w:cs="Times New Roman"/>
          <w:color w:val="000000"/>
          <w:sz w:val="24"/>
          <w:szCs w:val="24"/>
          <w:lang w:val="fr-FR"/>
        </w:rPr>
        <w:t xml:space="preserve"> représente les dépenses de consommation finale des ménages </w:t>
      </w:r>
      <w:r w:rsidR="00BF5B70" w:rsidRPr="00256989">
        <w:rPr>
          <w:rFonts w:ascii="Times New Roman" w:eastAsia="Times New Roman" w:hAnsi="Times New Roman" w:cs="Times New Roman"/>
          <w:color w:val="000000"/>
          <w:sz w:val="24"/>
          <w:szCs w:val="24"/>
          <w:lang w:val="fr-FR"/>
        </w:rPr>
        <w:t>à l’année t-1</w:t>
      </w:r>
      <w:r w:rsidR="006D388F" w:rsidRPr="00256989">
        <w:rPr>
          <w:rFonts w:ascii="Times New Roman" w:eastAsia="Times New Roman" w:hAnsi="Times New Roman" w:cs="Times New Roman"/>
          <w:color w:val="000000"/>
          <w:sz w:val="24"/>
          <w:szCs w:val="24"/>
          <w:lang w:val="fr-FR"/>
        </w:rPr>
        <w:t xml:space="preserve">. L’introduction de la variable retardée consiste à montrer l’influence des habitudes acquises dans le passé sur le comportement de consommation actuelle. En effet, les consommateurs peuvent réagir à des changements dans leur environnement économique en ajustant progressivement leurs habitudes de consommation. L'introduction d’une variable retardée permet de modéliser ces ajustements de comportement au fil du temps. Bodart et al (2008) ont utilisé cet indicateur et </w:t>
      </w:r>
      <w:r w:rsidR="006D388F" w:rsidRPr="00256989">
        <w:rPr>
          <w:rFonts w:ascii="Times New Roman" w:eastAsia="Times New Roman" w:hAnsi="Times New Roman" w:cs="Times New Roman"/>
          <w:sz w:val="24"/>
          <w:szCs w:val="24"/>
          <w:lang w:val="fr-FR"/>
        </w:rPr>
        <w:t>trouve</w:t>
      </w:r>
      <w:r w:rsidR="00200480">
        <w:rPr>
          <w:rFonts w:ascii="Times New Roman" w:eastAsia="Times New Roman" w:hAnsi="Times New Roman" w:cs="Times New Roman"/>
          <w:sz w:val="24"/>
          <w:szCs w:val="24"/>
          <w:lang w:val="fr-FR"/>
        </w:rPr>
        <w:t>nt</w:t>
      </w:r>
      <w:r w:rsidR="006D388F" w:rsidRPr="00256989">
        <w:rPr>
          <w:rFonts w:ascii="Times New Roman" w:eastAsia="Times New Roman" w:hAnsi="Times New Roman" w:cs="Times New Roman"/>
          <w:sz w:val="24"/>
          <w:szCs w:val="24"/>
          <w:lang w:val="fr-FR"/>
        </w:rPr>
        <w:t xml:space="preserve"> que</w:t>
      </w:r>
      <w:r w:rsidR="006D388F" w:rsidRPr="00256989">
        <w:rPr>
          <w:rFonts w:ascii="Times New Roman" w:eastAsia="Times New Roman" w:hAnsi="Times New Roman" w:cs="Times New Roman"/>
          <w:color w:val="000000"/>
          <w:sz w:val="24"/>
          <w:szCs w:val="24"/>
          <w:lang w:val="fr-FR"/>
        </w:rPr>
        <w:t xml:space="preserve"> </w:t>
      </w:r>
      <w:r w:rsidR="006D388F" w:rsidRPr="00256989">
        <w:rPr>
          <w:rFonts w:ascii="Times New Roman" w:eastAsia="Times New Roman" w:hAnsi="Times New Roman" w:cs="Times New Roman"/>
          <w:color w:val="000000"/>
          <w:sz w:val="24"/>
          <w:szCs w:val="24"/>
          <w:lang w:val="fr-FR"/>
        </w:rPr>
        <w:lastRenderedPageBreak/>
        <w:t>l’introduction de la variable retardée a un effet positif sur les dépenses de consommations des ménages</w:t>
      </w:r>
      <w:r w:rsidR="00D2704C" w:rsidRPr="00256989">
        <w:rPr>
          <w:rFonts w:ascii="Times New Roman" w:eastAsia="Times New Roman" w:hAnsi="Times New Roman" w:cs="Times New Roman"/>
          <w:color w:val="000000"/>
          <w:sz w:val="24"/>
          <w:szCs w:val="24"/>
          <w:lang w:val="fr-FR"/>
        </w:rPr>
        <w:t xml:space="preserve"> de l’année en cours.</w:t>
      </w:r>
    </w:p>
    <w:p w14:paraId="242A6F8E" w14:textId="77777777" w:rsidR="00C07CBB" w:rsidRPr="00256989" w:rsidRDefault="00C07CB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p>
    <w:p w14:paraId="3E8A84E3" w14:textId="44582A85" w:rsidR="005E4276" w:rsidRPr="00256989" w:rsidRDefault="006D388F">
      <w:pPr>
        <w:numPr>
          <w:ilvl w:val="0"/>
          <w:numId w:val="4"/>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lang w:val="fr-FR"/>
        </w:rPr>
      </w:pPr>
      <w:r w:rsidRPr="00256989">
        <w:rPr>
          <w:rFonts w:ascii="Times New Roman" w:eastAsia="Times New Roman" w:hAnsi="Times New Roman" w:cs="Times New Roman"/>
          <w:b/>
          <w:color w:val="000000"/>
          <w:sz w:val="24"/>
          <w:szCs w:val="24"/>
          <w:lang w:val="fr-FR"/>
        </w:rPr>
        <w:t>La taxe sur la valeur ajoutée (TVA)</w:t>
      </w:r>
    </w:p>
    <w:p w14:paraId="6190C326" w14:textId="77777777" w:rsidR="00885810" w:rsidRDefault="006D388F" w:rsidP="008858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12163">
        <w:rPr>
          <w:rFonts w:ascii="Times New Roman" w:eastAsia="Times New Roman" w:hAnsi="Times New Roman" w:cs="Times New Roman"/>
          <w:color w:val="000000" w:themeColor="text1"/>
          <w:sz w:val="24"/>
          <w:szCs w:val="24"/>
          <w:lang w:val="fr-FR"/>
        </w:rPr>
        <w:t>Cette variable représente une de nos variables d’intérêts et est mesurée par le taux effectif de la TVA</w:t>
      </w:r>
      <w:r w:rsidR="00CB6EAC" w:rsidRPr="00B12163">
        <w:rPr>
          <w:rStyle w:val="Appelnotedebasdep"/>
          <w:rFonts w:ascii="Times New Roman" w:eastAsia="Times New Roman" w:hAnsi="Times New Roman" w:cs="Times New Roman"/>
          <w:color w:val="000000" w:themeColor="text1"/>
          <w:sz w:val="24"/>
          <w:szCs w:val="24"/>
        </w:rPr>
        <w:footnoteReference w:id="6"/>
      </w:r>
      <w:r w:rsidRPr="00B12163">
        <w:rPr>
          <w:rFonts w:ascii="Times New Roman" w:eastAsia="Times New Roman" w:hAnsi="Times New Roman" w:cs="Times New Roman"/>
          <w:color w:val="000000" w:themeColor="text1"/>
          <w:sz w:val="24"/>
          <w:szCs w:val="24"/>
          <w:lang w:val="fr-FR"/>
        </w:rPr>
        <w:t xml:space="preserve">. </w:t>
      </w:r>
      <w:r w:rsidR="00885810">
        <w:rPr>
          <w:rFonts w:ascii="Times New Roman" w:eastAsia="Times New Roman" w:hAnsi="Times New Roman" w:cs="Times New Roman"/>
          <w:color w:val="000000"/>
          <w:sz w:val="24"/>
          <w:szCs w:val="24"/>
        </w:rPr>
        <w:t>C</w:t>
      </w:r>
      <w:r w:rsidR="00885810" w:rsidRPr="0055686B">
        <w:rPr>
          <w:rFonts w:ascii="Times New Roman" w:eastAsia="Times New Roman" w:hAnsi="Times New Roman" w:cs="Times New Roman"/>
          <w:color w:val="000000"/>
          <w:sz w:val="24"/>
          <w:szCs w:val="24"/>
        </w:rPr>
        <w:t>e taux effectif de la TVA est calculé en divisant les recettes de cette taxe par les dépenses de consommation finale des ménages. Il s’agit d’un impôt indirect, payé par les consommateurs mais collecté par les entreprises à chaque étape de la production et de la distribution. La TVA, en tant que taxe sur la consommation, est souvent répercutée sur les prix des biens et services, affectant ainsi le pouvoir d’achat des ménages. Alm et El-Ganainy (2012) soulignent que le taux effectif est un meilleur indicateur de la TVA que le taux légal, car il reflète mieux son impact intertemporel sur la consommation. Une hausse de la TVA tend ainsi à réduire les dépenses des ménages.</w:t>
      </w:r>
      <w:r w:rsidR="00885810">
        <w:rPr>
          <w:rFonts w:ascii="Times New Roman" w:eastAsia="Times New Roman" w:hAnsi="Times New Roman" w:cs="Times New Roman"/>
          <w:color w:val="000000"/>
          <w:sz w:val="24"/>
          <w:szCs w:val="24"/>
        </w:rPr>
        <w:t xml:space="preserve"> Nous nous attendons à un signe négatif.</w:t>
      </w:r>
    </w:p>
    <w:p w14:paraId="2A34AB95" w14:textId="77777777" w:rsidR="00885810" w:rsidRDefault="00885810" w:rsidP="008858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B4E603D" w14:textId="099B84D1" w:rsidR="005E4276" w:rsidRPr="00885810" w:rsidRDefault="006D388F" w:rsidP="00885810">
      <w:pPr>
        <w:pStyle w:val="Paragraphedeliste"/>
        <w:numPr>
          <w:ilvl w:val="0"/>
          <w:numId w:val="1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lang w:val="fr-FR"/>
        </w:rPr>
      </w:pPr>
      <w:r w:rsidRPr="00885810">
        <w:rPr>
          <w:rFonts w:ascii="Times New Roman" w:eastAsia="Times New Roman" w:hAnsi="Times New Roman" w:cs="Times New Roman"/>
          <w:b/>
          <w:color w:val="000000"/>
          <w:sz w:val="24"/>
          <w:szCs w:val="24"/>
          <w:lang w:val="fr-FR"/>
        </w:rPr>
        <w:t xml:space="preserve">L’impôt Unique </w:t>
      </w:r>
      <w:r w:rsidR="007109E0" w:rsidRPr="00885810">
        <w:rPr>
          <w:rFonts w:ascii="Times New Roman" w:eastAsia="Times New Roman" w:hAnsi="Times New Roman" w:cs="Times New Roman"/>
          <w:b/>
          <w:color w:val="000000"/>
          <w:sz w:val="24"/>
          <w:szCs w:val="24"/>
          <w:lang w:val="fr-FR"/>
        </w:rPr>
        <w:t>sur les t</w:t>
      </w:r>
      <w:r w:rsidRPr="00885810">
        <w:rPr>
          <w:rFonts w:ascii="Times New Roman" w:eastAsia="Times New Roman" w:hAnsi="Times New Roman" w:cs="Times New Roman"/>
          <w:b/>
          <w:color w:val="000000"/>
          <w:sz w:val="24"/>
          <w:szCs w:val="24"/>
          <w:lang w:val="fr-FR"/>
        </w:rPr>
        <w:t>raitement</w:t>
      </w:r>
      <w:r w:rsidR="007109E0" w:rsidRPr="00885810">
        <w:rPr>
          <w:rFonts w:ascii="Times New Roman" w:eastAsia="Times New Roman" w:hAnsi="Times New Roman" w:cs="Times New Roman"/>
          <w:b/>
          <w:color w:val="000000"/>
          <w:sz w:val="24"/>
          <w:szCs w:val="24"/>
          <w:lang w:val="fr-FR"/>
        </w:rPr>
        <w:t>s</w:t>
      </w:r>
      <w:r w:rsidRPr="00885810">
        <w:rPr>
          <w:rFonts w:ascii="Times New Roman" w:eastAsia="Times New Roman" w:hAnsi="Times New Roman" w:cs="Times New Roman"/>
          <w:b/>
          <w:color w:val="000000"/>
          <w:sz w:val="24"/>
          <w:szCs w:val="24"/>
          <w:lang w:val="fr-FR"/>
        </w:rPr>
        <w:t xml:space="preserve"> </w:t>
      </w:r>
      <w:r w:rsidR="007109E0" w:rsidRPr="00885810">
        <w:rPr>
          <w:rFonts w:ascii="Times New Roman" w:eastAsia="Times New Roman" w:hAnsi="Times New Roman" w:cs="Times New Roman"/>
          <w:b/>
          <w:color w:val="000000"/>
          <w:sz w:val="24"/>
          <w:szCs w:val="24"/>
          <w:lang w:val="fr-FR"/>
        </w:rPr>
        <w:t>et</w:t>
      </w:r>
      <w:r w:rsidR="00B2566D" w:rsidRPr="00885810">
        <w:rPr>
          <w:rFonts w:ascii="Times New Roman" w:eastAsia="Times New Roman" w:hAnsi="Times New Roman" w:cs="Times New Roman"/>
          <w:b/>
          <w:color w:val="000000"/>
          <w:sz w:val="24"/>
          <w:szCs w:val="24"/>
          <w:lang w:val="fr-FR"/>
        </w:rPr>
        <w:t xml:space="preserve"> </w:t>
      </w:r>
      <w:r w:rsidRPr="00885810">
        <w:rPr>
          <w:rFonts w:ascii="Times New Roman" w:eastAsia="Times New Roman" w:hAnsi="Times New Roman" w:cs="Times New Roman"/>
          <w:b/>
          <w:color w:val="000000"/>
          <w:sz w:val="24"/>
          <w:szCs w:val="24"/>
          <w:lang w:val="fr-FR"/>
        </w:rPr>
        <w:t>salaires (IUTS)</w:t>
      </w:r>
    </w:p>
    <w:p w14:paraId="0D48EEB6" w14:textId="410180D9" w:rsidR="00B454BB" w:rsidRDefault="007109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L’</w:t>
      </w:r>
      <w:r w:rsidR="006D388F" w:rsidRPr="00256989">
        <w:rPr>
          <w:rFonts w:ascii="Times New Roman" w:eastAsia="Times New Roman" w:hAnsi="Times New Roman" w:cs="Times New Roman"/>
          <w:sz w:val="24"/>
          <w:szCs w:val="24"/>
          <w:lang w:val="fr-FR"/>
        </w:rPr>
        <w:t xml:space="preserve">IUTS est un impôt qui fait partie de l’ensemble de l’impôt sur le revenu. Il représente une de nos variables d’intérêts et est mesuré ici par le taux effectif de l’impôt unique </w:t>
      </w:r>
      <w:r w:rsidR="00273106" w:rsidRPr="00256989">
        <w:rPr>
          <w:rFonts w:ascii="Times New Roman" w:eastAsia="Times New Roman" w:hAnsi="Times New Roman" w:cs="Times New Roman"/>
          <w:sz w:val="24"/>
          <w:szCs w:val="24"/>
          <w:lang w:val="fr-FR"/>
        </w:rPr>
        <w:t>sur les</w:t>
      </w:r>
      <w:r w:rsidR="006D388F" w:rsidRPr="00256989">
        <w:rPr>
          <w:rFonts w:ascii="Times New Roman" w:eastAsia="Times New Roman" w:hAnsi="Times New Roman" w:cs="Times New Roman"/>
          <w:sz w:val="24"/>
          <w:szCs w:val="24"/>
          <w:lang w:val="fr-FR"/>
        </w:rPr>
        <w:t xml:space="preserve"> traitement</w:t>
      </w:r>
      <w:r w:rsidR="00273106" w:rsidRPr="00256989">
        <w:rPr>
          <w:rFonts w:ascii="Times New Roman" w:eastAsia="Times New Roman" w:hAnsi="Times New Roman" w:cs="Times New Roman"/>
          <w:sz w:val="24"/>
          <w:szCs w:val="24"/>
          <w:lang w:val="fr-FR"/>
        </w:rPr>
        <w:t>s et</w:t>
      </w:r>
      <w:r w:rsidR="006D388F" w:rsidRPr="00256989">
        <w:rPr>
          <w:rFonts w:ascii="Times New Roman" w:eastAsia="Times New Roman" w:hAnsi="Times New Roman" w:cs="Times New Roman"/>
          <w:sz w:val="24"/>
          <w:szCs w:val="24"/>
          <w:lang w:val="fr-FR"/>
        </w:rPr>
        <w:t xml:space="preserve"> salaires (IUTS).  Ce taux est calculé en faisant le rapport entre les recettes de l’IUTS et les dépenses de consommation finale des ménages. L’IUTS est un prélèvement fiscal opéré au profit du budget de l'Etat sur les traitements et salaires applicables à l'ensemble des traitements publics ou privés, indemnités, émoluments et salaires de toute nature perçus au cours de la même année, y compris les avantages en nature, à l'exception des avantages en nature supportés par l'Etat, les collectivités locales et les établissements publics n'ayant pas un caractère industriel et commercial. La plupart des auteurs utilisent l’impôt sur le revenu des personnes physiques sans distinction des éléments qui le composent. Idris et Sébastine (2023) trouvent dans leur recherche que l’impôt sur </w:t>
      </w:r>
      <w:r w:rsidR="006D388F" w:rsidRPr="00256989">
        <w:rPr>
          <w:rFonts w:ascii="Times New Roman" w:eastAsia="Times New Roman" w:hAnsi="Times New Roman" w:cs="Times New Roman"/>
          <w:sz w:val="24"/>
          <w:szCs w:val="24"/>
          <w:lang w:val="fr-FR"/>
        </w:rPr>
        <w:lastRenderedPageBreak/>
        <w:t>le revenu a un effet négatif sur les dépenses de consommation des ménages.</w:t>
      </w:r>
      <w:r w:rsidR="00273106" w:rsidRPr="00256989">
        <w:rPr>
          <w:rFonts w:ascii="Times New Roman" w:eastAsia="Times New Roman" w:hAnsi="Times New Roman" w:cs="Times New Roman"/>
          <w:sz w:val="24"/>
          <w:szCs w:val="24"/>
          <w:lang w:val="fr-FR"/>
        </w:rPr>
        <w:t xml:space="preserve"> </w:t>
      </w:r>
      <w:r w:rsidR="00273106">
        <w:rPr>
          <w:rFonts w:ascii="Times New Roman" w:eastAsia="Times New Roman" w:hAnsi="Times New Roman" w:cs="Times New Roman"/>
          <w:sz w:val="24"/>
          <w:szCs w:val="24"/>
        </w:rPr>
        <w:t>Le signe attendu est négatif.</w:t>
      </w:r>
    </w:p>
    <w:p w14:paraId="5460C993" w14:textId="77777777" w:rsidR="005E4276" w:rsidRDefault="006D388F">
      <w:pPr>
        <w:numPr>
          <w:ilvl w:val="0"/>
          <w:numId w:val="4"/>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 revenu</w:t>
      </w:r>
    </w:p>
    <w:p w14:paraId="2021F0F5" w14:textId="4DB27BC6" w:rsidR="005E4276" w:rsidRDefault="006D388F">
      <w:pPr>
        <w:spacing w:line="360" w:lineRule="auto"/>
        <w:jc w:val="both"/>
        <w:rPr>
          <w:rFonts w:ascii="Times New Roman" w:eastAsia="Times New Roman" w:hAnsi="Times New Roman" w:cs="Times New Roman"/>
          <w:sz w:val="24"/>
          <w:szCs w:val="24"/>
        </w:rPr>
      </w:pPr>
      <w:r w:rsidRPr="00256989">
        <w:rPr>
          <w:rFonts w:ascii="Times New Roman" w:eastAsia="Times New Roman" w:hAnsi="Times New Roman" w:cs="Times New Roman"/>
          <w:sz w:val="24"/>
          <w:szCs w:val="24"/>
          <w:lang w:val="fr-FR"/>
        </w:rPr>
        <w:t xml:space="preserve">REV </w:t>
      </w:r>
      <w:r w:rsidR="00273106" w:rsidRPr="00256989">
        <w:rPr>
          <w:rFonts w:ascii="Times New Roman" w:eastAsia="Times New Roman" w:hAnsi="Times New Roman" w:cs="Times New Roman"/>
          <w:sz w:val="24"/>
          <w:szCs w:val="24"/>
          <w:lang w:val="fr-FR"/>
        </w:rPr>
        <w:t xml:space="preserve">qui représente le </w:t>
      </w:r>
      <w:r w:rsidRPr="00256989">
        <w:rPr>
          <w:rFonts w:ascii="Times New Roman" w:eastAsia="Times New Roman" w:hAnsi="Times New Roman" w:cs="Times New Roman"/>
          <w:sz w:val="24"/>
          <w:szCs w:val="24"/>
          <w:lang w:val="fr-FR"/>
        </w:rPr>
        <w:t>revenu disponible</w:t>
      </w:r>
      <w:r w:rsidR="00273106" w:rsidRPr="00256989">
        <w:rPr>
          <w:rFonts w:ascii="Times New Roman" w:eastAsia="Times New Roman" w:hAnsi="Times New Roman" w:cs="Times New Roman"/>
          <w:sz w:val="24"/>
          <w:szCs w:val="24"/>
          <w:lang w:val="fr-FR"/>
        </w:rPr>
        <w:t xml:space="preserve">, estime </w:t>
      </w:r>
      <w:r w:rsidRPr="00256989">
        <w:rPr>
          <w:rFonts w:ascii="Times New Roman" w:eastAsia="Times New Roman" w:hAnsi="Times New Roman" w:cs="Times New Roman"/>
          <w:sz w:val="24"/>
          <w:szCs w:val="24"/>
          <w:lang w:val="fr-FR"/>
        </w:rPr>
        <w:t>les revenus des activités, les revenus du patrimoine, les transferts en provenance d’autres ménages, les prestations sociales. Dans la littérature économique, deux</w:t>
      </w:r>
      <w:r w:rsidR="007109E0">
        <w:rPr>
          <w:rFonts w:ascii="Times New Roman" w:eastAsia="Times New Roman" w:hAnsi="Times New Roman" w:cs="Times New Roman"/>
          <w:sz w:val="24"/>
          <w:szCs w:val="24"/>
          <w:lang w:val="fr-FR"/>
        </w:rPr>
        <w:t xml:space="preserve"> (02)</w:t>
      </w:r>
      <w:r w:rsidRPr="00256989">
        <w:rPr>
          <w:rFonts w:ascii="Times New Roman" w:eastAsia="Times New Roman" w:hAnsi="Times New Roman" w:cs="Times New Roman"/>
          <w:sz w:val="24"/>
          <w:szCs w:val="24"/>
          <w:lang w:val="fr-FR"/>
        </w:rPr>
        <w:t xml:space="preserve"> arguments ont été mis en évidence sur la relation entre consommation et revenu. D’une part, la théorie de cycle de vie de Modigliani et Ando (1963) où le ménage n’est plus contraint par le revenu disponible, la consommation ne dépend plus du revenu courant mais des revenus anticipés. D’autre part, si les ménages sont ricardiens, le revenu courant ne suffit donc pas à expliquer la consommation.</w:t>
      </w:r>
      <w:r w:rsidR="00273106" w:rsidRPr="00256989">
        <w:rPr>
          <w:rFonts w:ascii="Times New Roman" w:eastAsia="Times New Roman" w:hAnsi="Times New Roman" w:cs="Times New Roman"/>
          <w:sz w:val="24"/>
          <w:szCs w:val="24"/>
          <w:lang w:val="fr-FR"/>
        </w:rPr>
        <w:t xml:space="preserve"> </w:t>
      </w:r>
      <w:r w:rsidR="00273106">
        <w:rPr>
          <w:rFonts w:ascii="Times New Roman" w:eastAsia="Times New Roman" w:hAnsi="Times New Roman" w:cs="Times New Roman"/>
          <w:sz w:val="24"/>
          <w:szCs w:val="24"/>
        </w:rPr>
        <w:t>Nous</w:t>
      </w:r>
      <w:r w:rsidR="00802194">
        <w:rPr>
          <w:rFonts w:ascii="Times New Roman" w:eastAsia="Times New Roman" w:hAnsi="Times New Roman" w:cs="Times New Roman"/>
          <w:sz w:val="24"/>
          <w:szCs w:val="24"/>
        </w:rPr>
        <w:t xml:space="preserve"> nous</w:t>
      </w:r>
      <w:r w:rsidR="00273106">
        <w:rPr>
          <w:rFonts w:ascii="Times New Roman" w:eastAsia="Times New Roman" w:hAnsi="Times New Roman" w:cs="Times New Roman"/>
          <w:sz w:val="24"/>
          <w:szCs w:val="24"/>
        </w:rPr>
        <w:t xml:space="preserve"> attendons </w:t>
      </w:r>
      <w:r w:rsidR="00802194">
        <w:rPr>
          <w:rFonts w:ascii="Times New Roman" w:eastAsia="Times New Roman" w:hAnsi="Times New Roman" w:cs="Times New Roman"/>
          <w:sz w:val="24"/>
          <w:szCs w:val="24"/>
        </w:rPr>
        <w:t xml:space="preserve">à </w:t>
      </w:r>
      <w:r w:rsidR="00273106">
        <w:rPr>
          <w:rFonts w:ascii="Times New Roman" w:eastAsia="Times New Roman" w:hAnsi="Times New Roman" w:cs="Times New Roman"/>
          <w:sz w:val="24"/>
          <w:szCs w:val="24"/>
        </w:rPr>
        <w:t>un signe positif.</w:t>
      </w:r>
    </w:p>
    <w:p w14:paraId="5125B7B3" w14:textId="77777777" w:rsidR="005E4276" w:rsidRDefault="006D388F">
      <w:pPr>
        <w:numPr>
          <w:ilvl w:val="0"/>
          <w:numId w:val="4"/>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L’inflation</w:t>
      </w:r>
    </w:p>
    <w:p w14:paraId="2F053FEB" w14:textId="3AA7946C" w:rsidR="005E4276" w:rsidRDefault="006D388F">
      <w:pPr>
        <w:spacing w:line="360" w:lineRule="auto"/>
        <w:jc w:val="both"/>
        <w:rPr>
          <w:rFonts w:ascii="Times New Roman" w:eastAsia="Times New Roman" w:hAnsi="Times New Roman" w:cs="Times New Roman"/>
          <w:sz w:val="24"/>
          <w:szCs w:val="24"/>
        </w:rPr>
      </w:pPr>
      <w:r w:rsidRPr="00256989">
        <w:rPr>
          <w:rFonts w:ascii="Times New Roman" w:eastAsia="Times New Roman" w:hAnsi="Times New Roman" w:cs="Times New Roman"/>
          <w:sz w:val="24"/>
          <w:szCs w:val="24"/>
          <w:lang w:val="fr-FR"/>
        </w:rPr>
        <w:t>INF qui représente le taux d’inflation mesure le taux d’augmentation des prix sur une période donnée. L’inflation est mesurée par l’indice d</w:t>
      </w:r>
      <w:r w:rsidR="00F52E90" w:rsidRPr="00256989">
        <w:rPr>
          <w:rFonts w:ascii="Times New Roman" w:eastAsia="Times New Roman" w:hAnsi="Times New Roman" w:cs="Times New Roman"/>
          <w:sz w:val="24"/>
          <w:szCs w:val="24"/>
          <w:lang w:val="fr-FR"/>
        </w:rPr>
        <w:t xml:space="preserve">es </w:t>
      </w:r>
      <w:r w:rsidRPr="00256989">
        <w:rPr>
          <w:rFonts w:ascii="Times New Roman" w:eastAsia="Times New Roman" w:hAnsi="Times New Roman" w:cs="Times New Roman"/>
          <w:sz w:val="24"/>
          <w:szCs w:val="24"/>
          <w:lang w:val="fr-FR"/>
        </w:rPr>
        <w:t>prix à la consommation (IPC). Dans la littérature, l’inflation est une mesure de l’incertitude macroéconomique. Ainsi</w:t>
      </w:r>
      <w:r w:rsidR="007109E0">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les travaux de </w:t>
      </w:r>
      <w:r w:rsidRPr="008B6AE5">
        <w:rPr>
          <w:rFonts w:ascii="Times New Roman" w:eastAsia="Times New Roman" w:hAnsi="Times New Roman" w:cs="Times New Roman"/>
          <w:sz w:val="24"/>
          <w:szCs w:val="24"/>
          <w:lang w:val="fr-FR"/>
        </w:rPr>
        <w:t>Katona (1975)</w:t>
      </w:r>
      <w:r w:rsidRPr="00256989">
        <w:rPr>
          <w:rFonts w:ascii="Times New Roman" w:eastAsia="Times New Roman" w:hAnsi="Times New Roman" w:cs="Times New Roman"/>
          <w:sz w:val="24"/>
          <w:szCs w:val="24"/>
          <w:lang w:val="fr-FR"/>
        </w:rPr>
        <w:t xml:space="preserve"> ont mis en évidence le sentiment d’incertitude et de pessimisme quant aux perspectives futures, provoqué par l’inflation qui entraîne une hausse de l’épargne. Selon Howard (1978), l’inflation a deux </w:t>
      </w:r>
      <w:r w:rsidR="007109E0">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 xml:space="preserve">effets contraires sur la consommation. </w:t>
      </w:r>
      <w:r w:rsidR="007109E0" w:rsidRPr="007109E0">
        <w:rPr>
          <w:rFonts w:ascii="Times New Roman" w:eastAsia="Times New Roman" w:hAnsi="Times New Roman" w:cs="Times New Roman"/>
          <w:sz w:val="24"/>
          <w:szCs w:val="24"/>
          <w:lang w:val="fr-FR"/>
        </w:rPr>
        <w:t>D’une</w:t>
      </w:r>
      <w:r w:rsidRPr="00256989">
        <w:rPr>
          <w:rFonts w:ascii="Times New Roman" w:eastAsia="Times New Roman" w:hAnsi="Times New Roman" w:cs="Times New Roman"/>
          <w:sz w:val="24"/>
          <w:szCs w:val="24"/>
          <w:lang w:val="fr-FR"/>
        </w:rPr>
        <w:t xml:space="preserve"> part, elle encourage la détention d’actifs réels que des actifs ayant une valeur nominale fixe. Cela se traduit par une hausse de la dépense en biens de consommation durables et d’autre part, l’inflation entraîne une augmentation de la variance du revenu réel espéré, ce qui encourage l’épargne au détriment de la consommation. Ajibola et Olowolaju (2017), Sani et Sani (2020) dans leurs études concluent que le taux d'inflation a un effet négatif sur la consommation au Nigéria.</w:t>
      </w:r>
      <w:r w:rsidR="00F52E90" w:rsidRPr="00256989">
        <w:rPr>
          <w:rFonts w:ascii="Times New Roman" w:eastAsia="Times New Roman" w:hAnsi="Times New Roman" w:cs="Times New Roman"/>
          <w:sz w:val="24"/>
          <w:szCs w:val="24"/>
          <w:lang w:val="fr-FR"/>
        </w:rPr>
        <w:t xml:space="preserve"> </w:t>
      </w:r>
      <w:r w:rsidR="00F52E90">
        <w:rPr>
          <w:rFonts w:ascii="Times New Roman" w:eastAsia="Times New Roman" w:hAnsi="Times New Roman" w:cs="Times New Roman"/>
          <w:sz w:val="24"/>
          <w:szCs w:val="24"/>
        </w:rPr>
        <w:t>Le signe attendu est négatif.</w:t>
      </w:r>
    </w:p>
    <w:p w14:paraId="7771F7CE" w14:textId="2ECD8254" w:rsidR="005E4276" w:rsidRDefault="003B2EC8" w:rsidP="00D25E93">
      <w:pPr>
        <w:numPr>
          <w:ilvl w:val="0"/>
          <w:numId w:val="4"/>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 taux de chômage</w:t>
      </w:r>
    </w:p>
    <w:p w14:paraId="5F525832" w14:textId="554081D5" w:rsidR="0068099A" w:rsidRPr="00641E9A" w:rsidRDefault="003B2EC8">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CHM</w:t>
      </w:r>
      <w:r w:rsidR="006D388F" w:rsidRPr="00256989">
        <w:rPr>
          <w:rFonts w:ascii="Times New Roman" w:eastAsia="Times New Roman" w:hAnsi="Times New Roman" w:cs="Times New Roman"/>
          <w:sz w:val="24"/>
          <w:szCs w:val="24"/>
          <w:lang w:val="fr-FR"/>
        </w:rPr>
        <w:t xml:space="preserve"> représente le taux de </w:t>
      </w:r>
      <w:r w:rsidR="000E3F26">
        <w:rPr>
          <w:rFonts w:ascii="Times New Roman" w:eastAsia="Times New Roman" w:hAnsi="Times New Roman" w:cs="Times New Roman"/>
          <w:sz w:val="24"/>
          <w:szCs w:val="24"/>
          <w:lang w:val="fr-FR"/>
        </w:rPr>
        <w:t>chômage. Ce</w:t>
      </w:r>
      <w:r w:rsidR="00EA4132">
        <w:rPr>
          <w:rFonts w:ascii="Times New Roman" w:eastAsia="Times New Roman" w:hAnsi="Times New Roman" w:cs="Times New Roman"/>
          <w:sz w:val="24"/>
          <w:szCs w:val="24"/>
          <w:lang w:val="fr-FR"/>
        </w:rPr>
        <w:t xml:space="preserve"> taux de chômage représente la situation </w:t>
      </w:r>
      <w:r w:rsidR="000E3F26">
        <w:rPr>
          <w:rFonts w:ascii="Times New Roman" w:eastAsia="Times New Roman" w:hAnsi="Times New Roman" w:cs="Times New Roman"/>
          <w:sz w:val="24"/>
          <w:szCs w:val="24"/>
          <w:lang w:val="fr-FR"/>
        </w:rPr>
        <w:t xml:space="preserve">de la main d’œuvre disponible </w:t>
      </w:r>
      <w:r w:rsidR="005559AF">
        <w:rPr>
          <w:rFonts w:ascii="Times New Roman" w:eastAsia="Times New Roman" w:hAnsi="Times New Roman" w:cs="Times New Roman"/>
          <w:sz w:val="24"/>
          <w:szCs w:val="24"/>
          <w:lang w:val="fr-FR"/>
        </w:rPr>
        <w:t>à</w:t>
      </w:r>
      <w:r w:rsidR="000E3F26">
        <w:rPr>
          <w:rFonts w:ascii="Times New Roman" w:eastAsia="Times New Roman" w:hAnsi="Times New Roman" w:cs="Times New Roman"/>
          <w:sz w:val="24"/>
          <w:szCs w:val="24"/>
          <w:lang w:val="fr-FR"/>
        </w:rPr>
        <w:t xml:space="preserve"> travailler qui est à la recherche d’un</w:t>
      </w:r>
      <w:r w:rsidR="005559AF">
        <w:rPr>
          <w:rFonts w:ascii="Times New Roman" w:eastAsia="Times New Roman" w:hAnsi="Times New Roman" w:cs="Times New Roman"/>
          <w:sz w:val="24"/>
          <w:szCs w:val="24"/>
          <w:lang w:val="fr-FR"/>
        </w:rPr>
        <w:t xml:space="preserve"> emploi mais ne réussit pas à en</w:t>
      </w:r>
      <w:r w:rsidR="00435B3B">
        <w:rPr>
          <w:rFonts w:ascii="Times New Roman" w:eastAsia="Times New Roman" w:hAnsi="Times New Roman" w:cs="Times New Roman"/>
          <w:sz w:val="24"/>
          <w:szCs w:val="24"/>
          <w:lang w:val="fr-FR"/>
        </w:rPr>
        <w:t xml:space="preserve"> trouver.</w:t>
      </w:r>
      <w:r w:rsidR="0068099A">
        <w:rPr>
          <w:rFonts w:ascii="Times New Roman" w:eastAsia="Times New Roman" w:hAnsi="Times New Roman" w:cs="Times New Roman"/>
          <w:sz w:val="24"/>
          <w:szCs w:val="24"/>
          <w:lang w:val="fr-FR"/>
        </w:rPr>
        <w:t xml:space="preserve"> L</w:t>
      </w:r>
      <w:r w:rsidR="00957A02">
        <w:rPr>
          <w:rFonts w:ascii="Times New Roman" w:eastAsia="Times New Roman" w:hAnsi="Times New Roman" w:cs="Times New Roman"/>
          <w:sz w:val="24"/>
          <w:szCs w:val="24"/>
          <w:lang w:val="fr-FR"/>
        </w:rPr>
        <w:t>a théorie économique</w:t>
      </w:r>
      <w:r w:rsidR="0068099A">
        <w:rPr>
          <w:rFonts w:ascii="Times New Roman" w:eastAsia="Times New Roman" w:hAnsi="Times New Roman" w:cs="Times New Roman"/>
          <w:sz w:val="24"/>
          <w:szCs w:val="24"/>
          <w:lang w:val="fr-FR"/>
        </w:rPr>
        <w:t xml:space="preserve"> explique que le </w:t>
      </w:r>
      <w:r w:rsidR="00DC56B6">
        <w:rPr>
          <w:rFonts w:ascii="Times New Roman" w:eastAsia="Times New Roman" w:hAnsi="Times New Roman" w:cs="Times New Roman"/>
          <w:sz w:val="24"/>
          <w:szCs w:val="24"/>
          <w:lang w:val="fr-FR"/>
        </w:rPr>
        <w:t>taux de chômage</w:t>
      </w:r>
      <w:r w:rsidR="002B3912">
        <w:rPr>
          <w:rFonts w:ascii="Times New Roman" w:eastAsia="Times New Roman" w:hAnsi="Times New Roman" w:cs="Times New Roman"/>
          <w:sz w:val="24"/>
          <w:szCs w:val="24"/>
          <w:lang w:val="fr-FR"/>
        </w:rPr>
        <w:t xml:space="preserve"> doit être pris en compte pour </w:t>
      </w:r>
      <w:r w:rsidR="00ED5FD2">
        <w:rPr>
          <w:rFonts w:ascii="Times New Roman" w:eastAsia="Times New Roman" w:hAnsi="Times New Roman" w:cs="Times New Roman"/>
          <w:sz w:val="24"/>
          <w:szCs w:val="24"/>
          <w:lang w:val="fr-FR"/>
        </w:rPr>
        <w:t>comprendre le comportement d’épargne des ménages.</w:t>
      </w:r>
      <w:r w:rsidR="003C50B2">
        <w:rPr>
          <w:rFonts w:ascii="Times New Roman" w:eastAsia="Times New Roman" w:hAnsi="Times New Roman" w:cs="Times New Roman"/>
          <w:sz w:val="24"/>
          <w:szCs w:val="24"/>
          <w:lang w:val="fr-FR"/>
        </w:rPr>
        <w:t xml:space="preserve"> </w:t>
      </w:r>
      <w:r w:rsidR="00260C34">
        <w:rPr>
          <w:rFonts w:ascii="Times New Roman" w:eastAsia="Times New Roman" w:hAnsi="Times New Roman" w:cs="Times New Roman"/>
          <w:sz w:val="24"/>
          <w:szCs w:val="24"/>
          <w:lang w:val="fr-FR"/>
        </w:rPr>
        <w:t>En effet, p</w:t>
      </w:r>
      <w:r w:rsidR="00BA169C">
        <w:rPr>
          <w:rFonts w:ascii="Times New Roman" w:eastAsia="Times New Roman" w:hAnsi="Times New Roman" w:cs="Times New Roman"/>
          <w:sz w:val="24"/>
          <w:szCs w:val="24"/>
          <w:lang w:val="fr-FR"/>
        </w:rPr>
        <w:t>l</w:t>
      </w:r>
      <w:r w:rsidR="009E1893">
        <w:rPr>
          <w:rFonts w:ascii="Times New Roman" w:eastAsia="Times New Roman" w:hAnsi="Times New Roman" w:cs="Times New Roman"/>
          <w:sz w:val="24"/>
          <w:szCs w:val="24"/>
          <w:lang w:val="fr-FR"/>
        </w:rPr>
        <w:t xml:space="preserve">us </w:t>
      </w:r>
      <w:r w:rsidR="00BA169C">
        <w:rPr>
          <w:rFonts w:ascii="Times New Roman" w:eastAsia="Times New Roman" w:hAnsi="Times New Roman" w:cs="Times New Roman"/>
          <w:sz w:val="24"/>
          <w:szCs w:val="24"/>
          <w:lang w:val="fr-FR"/>
        </w:rPr>
        <w:t xml:space="preserve">le taux de chômage </w:t>
      </w:r>
      <w:r w:rsidR="00260C34">
        <w:rPr>
          <w:rFonts w:ascii="Times New Roman" w:eastAsia="Times New Roman" w:hAnsi="Times New Roman" w:cs="Times New Roman"/>
          <w:sz w:val="24"/>
          <w:szCs w:val="24"/>
          <w:lang w:val="fr-FR"/>
        </w:rPr>
        <w:t>augmente</w:t>
      </w:r>
      <w:r w:rsidR="003C50B2">
        <w:rPr>
          <w:rFonts w:ascii="Times New Roman" w:eastAsia="Times New Roman" w:hAnsi="Times New Roman" w:cs="Times New Roman"/>
          <w:sz w:val="24"/>
          <w:szCs w:val="24"/>
          <w:lang w:val="fr-FR"/>
        </w:rPr>
        <w:t>, plus la probabilité des indiv</w:t>
      </w:r>
      <w:r w:rsidR="009E1893">
        <w:rPr>
          <w:rFonts w:ascii="Times New Roman" w:eastAsia="Times New Roman" w:hAnsi="Times New Roman" w:cs="Times New Roman"/>
          <w:sz w:val="24"/>
          <w:szCs w:val="24"/>
          <w:lang w:val="fr-FR"/>
        </w:rPr>
        <w:t>i</w:t>
      </w:r>
      <w:r w:rsidR="003C50B2">
        <w:rPr>
          <w:rFonts w:ascii="Times New Roman" w:eastAsia="Times New Roman" w:hAnsi="Times New Roman" w:cs="Times New Roman"/>
          <w:sz w:val="24"/>
          <w:szCs w:val="24"/>
          <w:lang w:val="fr-FR"/>
        </w:rPr>
        <w:t>dus</w:t>
      </w:r>
      <w:r w:rsidR="009E1893">
        <w:rPr>
          <w:rFonts w:ascii="Times New Roman" w:eastAsia="Times New Roman" w:hAnsi="Times New Roman" w:cs="Times New Roman"/>
          <w:sz w:val="24"/>
          <w:szCs w:val="24"/>
          <w:lang w:val="fr-FR"/>
        </w:rPr>
        <w:t xml:space="preserve"> d’être au chômage s’accroît et, conditionnellement au revenu courant,</w:t>
      </w:r>
      <w:r w:rsidR="00E776F9">
        <w:rPr>
          <w:rFonts w:ascii="Times New Roman" w:eastAsia="Times New Roman" w:hAnsi="Times New Roman" w:cs="Times New Roman"/>
          <w:sz w:val="24"/>
          <w:szCs w:val="24"/>
          <w:lang w:val="fr-FR"/>
        </w:rPr>
        <w:t xml:space="preserve"> augmente la variance</w:t>
      </w:r>
      <w:r w:rsidR="005677D2">
        <w:rPr>
          <w:rFonts w:ascii="Times New Roman" w:eastAsia="Times New Roman" w:hAnsi="Times New Roman" w:cs="Times New Roman"/>
          <w:sz w:val="24"/>
          <w:szCs w:val="24"/>
          <w:lang w:val="fr-FR"/>
        </w:rPr>
        <w:t xml:space="preserve"> des revenus au niveau individue</w:t>
      </w:r>
      <w:r w:rsidR="00E776F9">
        <w:rPr>
          <w:rFonts w:ascii="Times New Roman" w:eastAsia="Times New Roman" w:hAnsi="Times New Roman" w:cs="Times New Roman"/>
          <w:sz w:val="24"/>
          <w:szCs w:val="24"/>
          <w:lang w:val="fr-FR"/>
        </w:rPr>
        <w:t>l.</w:t>
      </w:r>
      <w:r w:rsidR="006C0DE2">
        <w:rPr>
          <w:rFonts w:ascii="Times New Roman" w:eastAsia="Times New Roman" w:hAnsi="Times New Roman" w:cs="Times New Roman"/>
          <w:sz w:val="24"/>
          <w:szCs w:val="24"/>
          <w:lang w:val="fr-FR"/>
        </w:rPr>
        <w:t xml:space="preserve"> De ce fait, Catte et al (2004)</w:t>
      </w:r>
      <w:r w:rsidR="00F543DA">
        <w:rPr>
          <w:rFonts w:ascii="Times New Roman" w:eastAsia="Times New Roman" w:hAnsi="Times New Roman" w:cs="Times New Roman"/>
          <w:sz w:val="24"/>
          <w:szCs w:val="24"/>
          <w:lang w:val="fr-FR"/>
        </w:rPr>
        <w:t xml:space="preserve"> a utilisé cet </w:t>
      </w:r>
      <w:r w:rsidR="00F543DA">
        <w:rPr>
          <w:rFonts w:ascii="Times New Roman" w:eastAsia="Times New Roman" w:hAnsi="Times New Roman" w:cs="Times New Roman"/>
          <w:sz w:val="24"/>
          <w:szCs w:val="24"/>
          <w:lang w:val="fr-FR"/>
        </w:rPr>
        <w:lastRenderedPageBreak/>
        <w:t>indicateur en Espagne et trouve que le taux de chômage a un effet négatif sur la consommation.</w:t>
      </w:r>
      <w:r w:rsidR="007A6BDB">
        <w:rPr>
          <w:rFonts w:ascii="Times New Roman" w:eastAsia="Times New Roman" w:hAnsi="Times New Roman" w:cs="Times New Roman"/>
          <w:sz w:val="24"/>
          <w:szCs w:val="24"/>
          <w:lang w:val="fr-FR"/>
        </w:rPr>
        <w:t xml:space="preserve"> L’effet négatif est attendu.</w:t>
      </w:r>
    </w:p>
    <w:p w14:paraId="2F17042D" w14:textId="77777777" w:rsidR="005E4276" w:rsidRDefault="006D388F">
      <w:pPr>
        <w:numPr>
          <w:ilvl w:val="0"/>
          <w:numId w:val="4"/>
        </w:num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 taux </w:t>
      </w:r>
      <w:r>
        <w:rPr>
          <w:rFonts w:ascii="Times New Roman" w:eastAsia="Times New Roman" w:hAnsi="Times New Roman" w:cs="Times New Roman"/>
          <w:b/>
          <w:sz w:val="24"/>
          <w:szCs w:val="24"/>
        </w:rPr>
        <w:t>d'intérêt</w:t>
      </w:r>
    </w:p>
    <w:p w14:paraId="2107FA22" w14:textId="715BC76F" w:rsidR="005E4276" w:rsidRDefault="006D388F">
      <w:pPr>
        <w:spacing w:line="360" w:lineRule="auto"/>
        <w:jc w:val="both"/>
        <w:rPr>
          <w:rFonts w:ascii="Times New Roman" w:eastAsia="Times New Roman" w:hAnsi="Times New Roman" w:cs="Times New Roman"/>
          <w:sz w:val="24"/>
          <w:szCs w:val="24"/>
        </w:rPr>
      </w:pPr>
      <w:r w:rsidRPr="00256989">
        <w:rPr>
          <w:rFonts w:ascii="Times New Roman" w:eastAsia="Times New Roman" w:hAnsi="Times New Roman" w:cs="Times New Roman"/>
          <w:sz w:val="24"/>
          <w:szCs w:val="24"/>
          <w:lang w:val="fr-FR"/>
        </w:rPr>
        <w:t>TI représente le taux d’intérêt</w:t>
      </w:r>
      <w:r w:rsidR="00E16FD3" w:rsidRPr="00256989">
        <w:rPr>
          <w:rFonts w:ascii="Times New Roman" w:eastAsia="Times New Roman" w:hAnsi="Times New Roman" w:cs="Times New Roman"/>
          <w:sz w:val="24"/>
          <w:szCs w:val="24"/>
          <w:lang w:val="fr-FR"/>
        </w:rPr>
        <w:t xml:space="preserve"> créditeur</w:t>
      </w:r>
      <w:r w:rsidRPr="00256989">
        <w:rPr>
          <w:rFonts w:ascii="Times New Roman" w:eastAsia="Times New Roman" w:hAnsi="Times New Roman" w:cs="Times New Roman"/>
          <w:sz w:val="24"/>
          <w:szCs w:val="24"/>
          <w:lang w:val="fr-FR"/>
        </w:rPr>
        <w:t xml:space="preserve">. </w:t>
      </w:r>
      <w:r w:rsidR="00E16FD3" w:rsidRPr="00256989">
        <w:rPr>
          <w:rFonts w:ascii="Times New Roman" w:eastAsia="Times New Roman" w:hAnsi="Times New Roman" w:cs="Times New Roman"/>
          <w:sz w:val="24"/>
          <w:szCs w:val="24"/>
          <w:lang w:val="fr-FR"/>
        </w:rPr>
        <w:t>C</w:t>
      </w:r>
      <w:r w:rsidRPr="00256989">
        <w:rPr>
          <w:rFonts w:ascii="Times New Roman" w:eastAsia="Times New Roman" w:hAnsi="Times New Roman" w:cs="Times New Roman"/>
          <w:sz w:val="24"/>
          <w:szCs w:val="24"/>
          <w:lang w:val="fr-FR"/>
        </w:rPr>
        <w:t xml:space="preserve">e taux d’intérêt </w:t>
      </w:r>
      <w:r w:rsidR="00E16FD3" w:rsidRPr="00256989">
        <w:rPr>
          <w:rFonts w:ascii="Times New Roman" w:eastAsia="Times New Roman" w:hAnsi="Times New Roman" w:cs="Times New Roman"/>
          <w:sz w:val="24"/>
          <w:szCs w:val="24"/>
          <w:lang w:val="fr-FR"/>
        </w:rPr>
        <w:t xml:space="preserve">réel </w:t>
      </w:r>
      <w:r w:rsidRPr="00256989">
        <w:rPr>
          <w:rFonts w:ascii="Times New Roman" w:eastAsia="Times New Roman" w:hAnsi="Times New Roman" w:cs="Times New Roman"/>
          <w:sz w:val="24"/>
          <w:szCs w:val="24"/>
          <w:lang w:val="fr-FR"/>
        </w:rPr>
        <w:t>correspond au coût de l’emprunt ou encore au rendement des placements dans un pays pour une année. Dans la théorie,</w:t>
      </w:r>
      <w:r w:rsidR="00843517" w:rsidRPr="00256989">
        <w:rPr>
          <w:rFonts w:ascii="Times New Roman" w:eastAsia="Times New Roman" w:hAnsi="Times New Roman" w:cs="Times New Roman"/>
          <w:sz w:val="24"/>
          <w:szCs w:val="24"/>
          <w:lang w:val="fr-FR"/>
        </w:rPr>
        <w:t xml:space="preserve"> Selon Fisher (1930)</w:t>
      </w:r>
      <w:r w:rsidRPr="00256989">
        <w:rPr>
          <w:rFonts w:ascii="Times New Roman" w:eastAsia="Times New Roman" w:hAnsi="Times New Roman" w:cs="Times New Roman"/>
          <w:sz w:val="24"/>
          <w:szCs w:val="24"/>
          <w:lang w:val="fr-FR"/>
        </w:rPr>
        <w:t xml:space="preserve"> l’effet du taux d’intérêt sur la consommation des ménages est ambigu. </w:t>
      </w:r>
      <w:r w:rsidR="006747F3" w:rsidRPr="00256989">
        <w:rPr>
          <w:rFonts w:ascii="Times New Roman" w:eastAsia="Times New Roman" w:hAnsi="Times New Roman" w:cs="Times New Roman"/>
          <w:sz w:val="24"/>
          <w:szCs w:val="24"/>
          <w:lang w:val="fr-FR"/>
        </w:rPr>
        <w:t xml:space="preserve">En </w:t>
      </w:r>
      <w:r w:rsidR="00E34DBB" w:rsidRPr="00256989">
        <w:rPr>
          <w:rFonts w:ascii="Times New Roman" w:eastAsia="Times New Roman" w:hAnsi="Times New Roman" w:cs="Times New Roman"/>
          <w:sz w:val="24"/>
          <w:szCs w:val="24"/>
          <w:lang w:val="fr-FR"/>
        </w:rPr>
        <w:t>supposant que les décisions</w:t>
      </w:r>
      <w:r w:rsidR="006747F3" w:rsidRPr="00256989">
        <w:rPr>
          <w:rFonts w:ascii="Times New Roman" w:eastAsia="Times New Roman" w:hAnsi="Times New Roman" w:cs="Times New Roman"/>
          <w:sz w:val="24"/>
          <w:szCs w:val="24"/>
          <w:lang w:val="fr-FR"/>
        </w:rPr>
        <w:t xml:space="preserve"> d’épargne et de consommation </w:t>
      </w:r>
      <w:r w:rsidR="00E34DBB" w:rsidRPr="00256989">
        <w:rPr>
          <w:rFonts w:ascii="Times New Roman" w:eastAsia="Times New Roman" w:hAnsi="Times New Roman" w:cs="Times New Roman"/>
          <w:sz w:val="24"/>
          <w:szCs w:val="24"/>
          <w:lang w:val="fr-FR"/>
        </w:rPr>
        <w:t>résultent d’une</w:t>
      </w:r>
      <w:r w:rsidR="006747F3" w:rsidRPr="00256989">
        <w:rPr>
          <w:rFonts w:ascii="Times New Roman" w:eastAsia="Times New Roman" w:hAnsi="Times New Roman" w:cs="Times New Roman"/>
          <w:sz w:val="24"/>
          <w:szCs w:val="24"/>
          <w:lang w:val="fr-FR"/>
        </w:rPr>
        <w:t xml:space="preserve"> maximisation intertemporelle</w:t>
      </w:r>
      <w:r w:rsidR="00E34DBB" w:rsidRPr="00256989">
        <w:rPr>
          <w:rFonts w:ascii="Times New Roman" w:eastAsia="Times New Roman" w:hAnsi="Times New Roman" w:cs="Times New Roman"/>
          <w:sz w:val="24"/>
          <w:szCs w:val="24"/>
          <w:lang w:val="fr-FR"/>
        </w:rPr>
        <w:t xml:space="preserve"> de l’utilité des agents, qui peut être simplifiée comme leur niveau de consommation, une hausse des taux d’intérêt réels produit deux</w:t>
      </w:r>
      <w:r w:rsidR="00AA2F97">
        <w:rPr>
          <w:rFonts w:ascii="Times New Roman" w:eastAsia="Times New Roman" w:hAnsi="Times New Roman" w:cs="Times New Roman"/>
          <w:sz w:val="24"/>
          <w:szCs w:val="24"/>
          <w:lang w:val="fr-FR"/>
        </w:rPr>
        <w:t xml:space="preserve"> (02)</w:t>
      </w:r>
      <w:r w:rsidR="00E34DBB" w:rsidRPr="00256989">
        <w:rPr>
          <w:rFonts w:ascii="Times New Roman" w:eastAsia="Times New Roman" w:hAnsi="Times New Roman" w:cs="Times New Roman"/>
          <w:sz w:val="24"/>
          <w:szCs w:val="24"/>
          <w:lang w:val="fr-FR"/>
        </w:rPr>
        <w:t xml:space="preserve"> effets opposés</w:t>
      </w:r>
      <w:r w:rsidR="005C52A2"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D’une part, </w:t>
      </w:r>
      <w:r w:rsidR="00AA2F97" w:rsidRPr="00AA2F97">
        <w:rPr>
          <w:rFonts w:ascii="Times New Roman" w:eastAsia="Times New Roman" w:hAnsi="Times New Roman" w:cs="Times New Roman"/>
          <w:sz w:val="24"/>
          <w:szCs w:val="24"/>
          <w:lang w:val="fr-FR"/>
        </w:rPr>
        <w:t>l’effet</w:t>
      </w:r>
      <w:r w:rsidR="005C52A2" w:rsidRPr="00256989">
        <w:rPr>
          <w:rFonts w:ascii="Times New Roman" w:eastAsia="Times New Roman" w:hAnsi="Times New Roman" w:cs="Times New Roman"/>
          <w:sz w:val="24"/>
          <w:szCs w:val="24"/>
          <w:lang w:val="fr-FR"/>
        </w:rPr>
        <w:t xml:space="preserve"> de substitution </w:t>
      </w:r>
      <w:r w:rsidR="00E34DBB" w:rsidRPr="00256989">
        <w:rPr>
          <w:rFonts w:ascii="Times New Roman" w:eastAsia="Times New Roman" w:hAnsi="Times New Roman" w:cs="Times New Roman"/>
          <w:sz w:val="24"/>
          <w:szCs w:val="24"/>
          <w:lang w:val="fr-FR"/>
        </w:rPr>
        <w:t>intertemporelle tend</w:t>
      </w:r>
      <w:r w:rsidR="005C52A2" w:rsidRPr="00256989">
        <w:rPr>
          <w:rFonts w:ascii="Times New Roman" w:eastAsia="Times New Roman" w:hAnsi="Times New Roman" w:cs="Times New Roman"/>
          <w:sz w:val="24"/>
          <w:szCs w:val="24"/>
          <w:lang w:val="fr-FR"/>
        </w:rPr>
        <w:t xml:space="preserve"> à encourager l'épargne au détriment de la consommation présente en accroissant le volume de consommation future associée à chaque unité de production du revenu non consommé dans le présent.</w:t>
      </w:r>
      <w:r w:rsidR="007A1B5D" w:rsidRPr="00256989">
        <w:rPr>
          <w:rFonts w:ascii="Times New Roman" w:eastAsia="Times New Roman" w:hAnsi="Times New Roman" w:cs="Times New Roman"/>
          <w:sz w:val="24"/>
          <w:szCs w:val="24"/>
          <w:lang w:val="fr-FR"/>
        </w:rPr>
        <w:t xml:space="preserve"> De plus, </w:t>
      </w:r>
      <w:r w:rsidR="00B77A90" w:rsidRPr="00256989">
        <w:rPr>
          <w:rFonts w:ascii="Times New Roman" w:eastAsia="Times New Roman" w:hAnsi="Times New Roman" w:cs="Times New Roman"/>
          <w:sz w:val="24"/>
          <w:szCs w:val="24"/>
          <w:lang w:val="fr-FR"/>
        </w:rPr>
        <w:t xml:space="preserve">la </w:t>
      </w:r>
      <w:r w:rsidR="00AA2F97" w:rsidRPr="00AA2F97">
        <w:rPr>
          <w:rFonts w:ascii="Times New Roman" w:eastAsia="Times New Roman" w:hAnsi="Times New Roman" w:cs="Times New Roman"/>
          <w:sz w:val="24"/>
          <w:szCs w:val="24"/>
          <w:lang w:val="fr-FR"/>
        </w:rPr>
        <w:t>réduction</w:t>
      </w:r>
      <w:r w:rsidR="007A1B5D" w:rsidRPr="00256989">
        <w:rPr>
          <w:rFonts w:ascii="Times New Roman" w:eastAsia="Times New Roman" w:hAnsi="Times New Roman" w:cs="Times New Roman"/>
          <w:sz w:val="24"/>
          <w:szCs w:val="24"/>
          <w:lang w:val="fr-FR"/>
        </w:rPr>
        <w:t xml:space="preserve"> de la valeur actualisée des revenus futurs, autres que les intérêts, tels que les revenus du capital humain tend</w:t>
      </w:r>
      <w:r w:rsidR="00DA4D22">
        <w:rPr>
          <w:rFonts w:ascii="Times New Roman" w:eastAsia="Times New Roman" w:hAnsi="Times New Roman" w:cs="Times New Roman"/>
          <w:sz w:val="24"/>
          <w:szCs w:val="24"/>
          <w:lang w:val="fr-FR"/>
        </w:rPr>
        <w:t>ent</w:t>
      </w:r>
      <w:r w:rsidR="007A1B5D" w:rsidRPr="00256989">
        <w:rPr>
          <w:rFonts w:ascii="Times New Roman" w:eastAsia="Times New Roman" w:hAnsi="Times New Roman" w:cs="Times New Roman"/>
          <w:sz w:val="24"/>
          <w:szCs w:val="24"/>
          <w:lang w:val="fr-FR"/>
        </w:rPr>
        <w:t xml:space="preserve"> à freiner la consommation présente</w:t>
      </w:r>
      <w:r w:rsidR="00B21DD6" w:rsidRPr="00256989">
        <w:rPr>
          <w:rFonts w:ascii="Times New Roman" w:eastAsia="Times New Roman" w:hAnsi="Times New Roman" w:cs="Times New Roman"/>
          <w:sz w:val="24"/>
          <w:szCs w:val="24"/>
          <w:lang w:val="fr-FR"/>
        </w:rPr>
        <w:t>. A l’inverse,</w:t>
      </w:r>
      <w:r w:rsidR="005C52A2" w:rsidRPr="00256989">
        <w:rPr>
          <w:rFonts w:ascii="Times New Roman" w:eastAsia="Times New Roman" w:hAnsi="Times New Roman" w:cs="Times New Roman"/>
          <w:sz w:val="24"/>
          <w:szCs w:val="24"/>
          <w:lang w:val="fr-FR"/>
        </w:rPr>
        <w:t xml:space="preserve"> </w:t>
      </w:r>
      <w:r w:rsidR="00B21DD6" w:rsidRPr="00256989">
        <w:rPr>
          <w:rFonts w:ascii="Times New Roman" w:eastAsia="Times New Roman" w:hAnsi="Times New Roman" w:cs="Times New Roman"/>
          <w:sz w:val="24"/>
          <w:szCs w:val="24"/>
          <w:lang w:val="fr-FR"/>
        </w:rPr>
        <w:t>un taux d’intérêt</w:t>
      </w:r>
      <w:r w:rsidR="007A1B5D" w:rsidRPr="00256989">
        <w:rPr>
          <w:rFonts w:ascii="Times New Roman" w:eastAsia="Times New Roman" w:hAnsi="Times New Roman" w:cs="Times New Roman"/>
          <w:sz w:val="24"/>
          <w:szCs w:val="24"/>
          <w:lang w:val="fr-FR"/>
        </w:rPr>
        <w:t xml:space="preserve"> élevé </w:t>
      </w:r>
      <w:r w:rsidR="00B21DD6" w:rsidRPr="00256989">
        <w:rPr>
          <w:rFonts w:ascii="Times New Roman" w:eastAsia="Times New Roman" w:hAnsi="Times New Roman" w:cs="Times New Roman"/>
          <w:sz w:val="24"/>
          <w:szCs w:val="24"/>
          <w:lang w:val="fr-FR"/>
        </w:rPr>
        <w:t>permet d’assurer le flux de revenu et de consommation futurs élevés à partir d’un montant plus faible de richesse accumulée.</w:t>
      </w:r>
      <w:r w:rsidR="007A1B5D" w:rsidRPr="00256989">
        <w:rPr>
          <w:rFonts w:ascii="Times New Roman" w:eastAsia="Times New Roman" w:hAnsi="Times New Roman" w:cs="Times New Roman"/>
          <w:sz w:val="24"/>
          <w:szCs w:val="24"/>
          <w:lang w:val="fr-FR"/>
        </w:rPr>
        <w:t xml:space="preserve"> Ainsi, dans l’optique de maintenir leur consommation future, les ménages pr</w:t>
      </w:r>
      <w:r w:rsidR="00843517" w:rsidRPr="00256989">
        <w:rPr>
          <w:rFonts w:ascii="Times New Roman" w:eastAsia="Times New Roman" w:hAnsi="Times New Roman" w:cs="Times New Roman"/>
          <w:sz w:val="24"/>
          <w:szCs w:val="24"/>
          <w:lang w:val="fr-FR"/>
        </w:rPr>
        <w:t>ivilégient</w:t>
      </w:r>
      <w:r w:rsidR="00CC771A" w:rsidRPr="00256989">
        <w:rPr>
          <w:rFonts w:ascii="Times New Roman" w:eastAsia="Times New Roman" w:hAnsi="Times New Roman" w:cs="Times New Roman"/>
          <w:sz w:val="24"/>
          <w:szCs w:val="24"/>
          <w:lang w:val="fr-FR"/>
        </w:rPr>
        <w:t xml:space="preserve"> la consommation actuelle au détriment de l’épargne.</w:t>
      </w:r>
      <w:r w:rsidR="00843517"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Sani et Sani (2020) concluent dans leur étude que le taux d’intérêt a un effet négatif sur la consommation au Nigéria</w:t>
      </w:r>
      <w:r w:rsidR="00E16FD3" w:rsidRPr="00256989">
        <w:rPr>
          <w:rFonts w:ascii="Times New Roman" w:eastAsia="Times New Roman" w:hAnsi="Times New Roman" w:cs="Times New Roman"/>
          <w:sz w:val="24"/>
          <w:szCs w:val="24"/>
          <w:lang w:val="fr-FR"/>
        </w:rPr>
        <w:t xml:space="preserve">. </w:t>
      </w:r>
      <w:r w:rsidR="00E16FD3">
        <w:rPr>
          <w:rFonts w:ascii="Times New Roman" w:eastAsia="Times New Roman" w:hAnsi="Times New Roman" w:cs="Times New Roman"/>
          <w:sz w:val="24"/>
          <w:szCs w:val="24"/>
        </w:rPr>
        <w:t>L’effet attendu est négatif.</w:t>
      </w:r>
    </w:p>
    <w:p w14:paraId="68FEDE9D" w14:textId="10A98CF0" w:rsidR="004C7002" w:rsidRDefault="004C7002" w:rsidP="004C7002">
      <w:pPr>
        <w:pStyle w:val="Paragraphedeliste"/>
        <w:numPr>
          <w:ilvl w:val="0"/>
          <w:numId w:val="15"/>
        </w:numPr>
        <w:spacing w:line="360" w:lineRule="auto"/>
        <w:ind w:left="360"/>
        <w:jc w:val="both"/>
        <w:rPr>
          <w:rFonts w:ascii="Times New Roman" w:eastAsia="Times New Roman" w:hAnsi="Times New Roman" w:cs="Times New Roman"/>
          <w:b/>
          <w:sz w:val="24"/>
          <w:szCs w:val="24"/>
        </w:rPr>
      </w:pPr>
      <w:r w:rsidRPr="004C7002">
        <w:rPr>
          <w:rFonts w:ascii="Times New Roman" w:eastAsia="Times New Roman" w:hAnsi="Times New Roman" w:cs="Times New Roman"/>
          <w:b/>
          <w:sz w:val="24"/>
          <w:szCs w:val="24"/>
        </w:rPr>
        <w:t>L</w:t>
      </w:r>
      <w:r w:rsidR="003F67E6">
        <w:rPr>
          <w:rFonts w:ascii="Times New Roman" w:eastAsia="Times New Roman" w:hAnsi="Times New Roman" w:cs="Times New Roman"/>
          <w:b/>
          <w:sz w:val="24"/>
          <w:szCs w:val="24"/>
        </w:rPr>
        <w:t>a</w:t>
      </w:r>
      <w:r w:rsidR="0007747A">
        <w:rPr>
          <w:rFonts w:ascii="Times New Roman" w:eastAsia="Times New Roman" w:hAnsi="Times New Roman" w:cs="Times New Roman"/>
          <w:b/>
          <w:sz w:val="24"/>
          <w:szCs w:val="24"/>
        </w:rPr>
        <w:t xml:space="preserve"> population</w:t>
      </w:r>
      <w:r w:rsidR="003F67E6">
        <w:rPr>
          <w:rFonts w:ascii="Times New Roman" w:eastAsia="Times New Roman" w:hAnsi="Times New Roman" w:cs="Times New Roman"/>
          <w:b/>
          <w:sz w:val="24"/>
          <w:szCs w:val="24"/>
        </w:rPr>
        <w:t xml:space="preserve"> totale</w:t>
      </w:r>
    </w:p>
    <w:p w14:paraId="3C5E1EBA" w14:textId="6E556869" w:rsidR="0007747A" w:rsidRDefault="008C7B1B" w:rsidP="001A4E9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00536798">
        <w:rPr>
          <w:rFonts w:ascii="Times New Roman" w:eastAsia="Times New Roman" w:hAnsi="Times New Roman" w:cs="Times New Roman"/>
          <w:sz w:val="24"/>
          <w:szCs w:val="24"/>
        </w:rPr>
        <w:t>op représente la population</w:t>
      </w:r>
      <w:r w:rsidR="004248FF">
        <w:rPr>
          <w:rFonts w:ascii="Times New Roman" w:eastAsia="Times New Roman" w:hAnsi="Times New Roman" w:cs="Times New Roman"/>
          <w:sz w:val="24"/>
          <w:szCs w:val="24"/>
        </w:rPr>
        <w:t>.</w:t>
      </w:r>
      <w:r w:rsidR="000E4188">
        <w:rPr>
          <w:rFonts w:ascii="Times New Roman" w:eastAsia="Times New Roman" w:hAnsi="Times New Roman" w:cs="Times New Roman"/>
          <w:sz w:val="24"/>
          <w:szCs w:val="24"/>
        </w:rPr>
        <w:t xml:space="preserve"> Une augmentation de la population signifie davantage de consommateurs, ce qui accroît la demande pour divers biens et services. Dans</w:t>
      </w:r>
      <w:r w:rsidR="003A6F43">
        <w:rPr>
          <w:rFonts w:ascii="Times New Roman" w:eastAsia="Times New Roman" w:hAnsi="Times New Roman" w:cs="Times New Roman"/>
          <w:sz w:val="24"/>
          <w:szCs w:val="24"/>
        </w:rPr>
        <w:t xml:space="preserve"> la littérature</w:t>
      </w:r>
      <w:r w:rsidR="00E74C66">
        <w:rPr>
          <w:rFonts w:ascii="Times New Roman" w:eastAsia="Times New Roman" w:hAnsi="Times New Roman" w:cs="Times New Roman"/>
          <w:sz w:val="24"/>
          <w:szCs w:val="24"/>
        </w:rPr>
        <w:t>.</w:t>
      </w:r>
      <w:r w:rsidR="00E74C66" w:rsidRPr="00E74C66">
        <w:rPr>
          <w:rFonts w:ascii="Times New Roman" w:eastAsia="Times New Roman" w:hAnsi="Times New Roman" w:cs="Times New Roman"/>
          <w:color w:val="000000"/>
          <w:sz w:val="24"/>
          <w:szCs w:val="24"/>
        </w:rPr>
        <w:t xml:space="preserve"> </w:t>
      </w:r>
      <w:r w:rsidR="00E74C66" w:rsidRPr="0055686B">
        <w:rPr>
          <w:rFonts w:ascii="Times New Roman" w:eastAsia="Times New Roman" w:hAnsi="Times New Roman" w:cs="Times New Roman"/>
          <w:color w:val="000000"/>
          <w:sz w:val="24"/>
          <w:szCs w:val="24"/>
        </w:rPr>
        <w:t>Alm et El-Ganainy (2012)</w:t>
      </w:r>
      <w:r w:rsidR="00E74C66">
        <w:rPr>
          <w:rFonts w:ascii="Times New Roman" w:eastAsia="Times New Roman" w:hAnsi="Times New Roman" w:cs="Times New Roman"/>
          <w:color w:val="000000"/>
          <w:sz w:val="24"/>
          <w:szCs w:val="24"/>
        </w:rPr>
        <w:t xml:space="preserve"> trouvent dans leur étude que </w:t>
      </w:r>
      <w:r w:rsidR="005F4ECC">
        <w:rPr>
          <w:rFonts w:ascii="Times New Roman" w:eastAsia="Times New Roman" w:hAnsi="Times New Roman" w:cs="Times New Roman"/>
          <w:color w:val="000000"/>
          <w:sz w:val="24"/>
          <w:szCs w:val="24"/>
        </w:rPr>
        <w:t>l</w:t>
      </w:r>
      <w:r w:rsidR="004248FF">
        <w:rPr>
          <w:rFonts w:ascii="Times New Roman" w:eastAsia="Times New Roman" w:hAnsi="Times New Roman" w:cs="Times New Roman"/>
          <w:color w:val="000000"/>
          <w:sz w:val="24"/>
          <w:szCs w:val="24"/>
        </w:rPr>
        <w:t xml:space="preserve">a population </w:t>
      </w:r>
      <w:r w:rsidR="003F67E6">
        <w:rPr>
          <w:rFonts w:ascii="Times New Roman" w:eastAsia="Times New Roman" w:hAnsi="Times New Roman" w:cs="Times New Roman"/>
          <w:color w:val="000000"/>
          <w:sz w:val="24"/>
          <w:szCs w:val="24"/>
        </w:rPr>
        <w:t>totale</w:t>
      </w:r>
      <w:r w:rsidR="004248FF">
        <w:rPr>
          <w:rFonts w:ascii="Times New Roman" w:eastAsia="Times New Roman" w:hAnsi="Times New Roman" w:cs="Times New Roman"/>
          <w:color w:val="000000"/>
          <w:sz w:val="24"/>
          <w:szCs w:val="24"/>
        </w:rPr>
        <w:t xml:space="preserve"> </w:t>
      </w:r>
      <w:r w:rsidR="005F4ECC">
        <w:rPr>
          <w:rFonts w:ascii="Times New Roman" w:eastAsia="Times New Roman" w:hAnsi="Times New Roman" w:cs="Times New Roman"/>
          <w:color w:val="000000"/>
          <w:sz w:val="24"/>
          <w:szCs w:val="24"/>
        </w:rPr>
        <w:t>ont un effet positif sur la consommation. L’effet positif est attendu.</w:t>
      </w:r>
    </w:p>
    <w:p w14:paraId="215E46E3" w14:textId="77777777" w:rsidR="004248FF" w:rsidRDefault="004248FF" w:rsidP="001A4E9C">
      <w:pPr>
        <w:spacing w:line="360" w:lineRule="auto"/>
        <w:jc w:val="both"/>
        <w:rPr>
          <w:rFonts w:ascii="Times New Roman" w:eastAsia="Times New Roman" w:hAnsi="Times New Roman" w:cs="Times New Roman"/>
          <w:color w:val="000000"/>
          <w:sz w:val="24"/>
          <w:szCs w:val="24"/>
        </w:rPr>
      </w:pPr>
    </w:p>
    <w:p w14:paraId="6E5D4CDE" w14:textId="77777777" w:rsidR="00C9707D" w:rsidRDefault="00C9707D" w:rsidP="001A4E9C">
      <w:pPr>
        <w:spacing w:line="360" w:lineRule="auto"/>
        <w:jc w:val="both"/>
        <w:rPr>
          <w:rFonts w:ascii="Times New Roman" w:eastAsia="Times New Roman" w:hAnsi="Times New Roman" w:cs="Times New Roman"/>
          <w:sz w:val="24"/>
          <w:szCs w:val="24"/>
        </w:rPr>
      </w:pPr>
    </w:p>
    <w:p w14:paraId="7AAD672E" w14:textId="77777777" w:rsidR="004248FF" w:rsidRDefault="004248FF" w:rsidP="001A4E9C">
      <w:pPr>
        <w:spacing w:line="360" w:lineRule="auto"/>
        <w:jc w:val="both"/>
        <w:rPr>
          <w:rFonts w:ascii="Times New Roman" w:eastAsia="Times New Roman" w:hAnsi="Times New Roman" w:cs="Times New Roman"/>
          <w:sz w:val="24"/>
          <w:szCs w:val="24"/>
        </w:rPr>
      </w:pPr>
    </w:p>
    <w:p w14:paraId="17108322" w14:textId="77777777" w:rsidR="004248FF" w:rsidRDefault="004248FF" w:rsidP="001A4E9C">
      <w:pPr>
        <w:spacing w:line="360" w:lineRule="auto"/>
        <w:jc w:val="both"/>
        <w:rPr>
          <w:rFonts w:ascii="Times New Roman" w:eastAsia="Times New Roman" w:hAnsi="Times New Roman" w:cs="Times New Roman"/>
          <w:sz w:val="24"/>
          <w:szCs w:val="24"/>
        </w:rPr>
      </w:pPr>
    </w:p>
    <w:p w14:paraId="227B2243" w14:textId="77777777" w:rsidR="004248FF" w:rsidRDefault="004248FF" w:rsidP="001A4E9C">
      <w:pPr>
        <w:spacing w:line="360" w:lineRule="auto"/>
        <w:jc w:val="both"/>
        <w:rPr>
          <w:rFonts w:ascii="Times New Roman" w:eastAsia="Times New Roman" w:hAnsi="Times New Roman" w:cs="Times New Roman"/>
          <w:sz w:val="24"/>
          <w:szCs w:val="24"/>
        </w:rPr>
      </w:pPr>
    </w:p>
    <w:p w14:paraId="2DB72268" w14:textId="77777777" w:rsidR="004248FF" w:rsidRPr="00F923BD" w:rsidRDefault="004248FF" w:rsidP="001A4E9C">
      <w:pPr>
        <w:spacing w:line="360" w:lineRule="auto"/>
        <w:jc w:val="both"/>
        <w:rPr>
          <w:rFonts w:ascii="Times New Roman" w:eastAsia="Times New Roman" w:hAnsi="Times New Roman" w:cs="Times New Roman"/>
          <w:sz w:val="24"/>
          <w:szCs w:val="24"/>
        </w:rPr>
      </w:pPr>
    </w:p>
    <w:p w14:paraId="3305A2A6" w14:textId="4B750328" w:rsidR="00066A59" w:rsidRDefault="006467B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Tableau 1: </w:t>
      </w:r>
      <w:r w:rsidR="00F527F7">
        <w:rPr>
          <w:rFonts w:ascii="Times New Roman" w:eastAsia="Times New Roman" w:hAnsi="Times New Roman" w:cs="Times New Roman"/>
          <w:sz w:val="24"/>
          <w:szCs w:val="24"/>
        </w:rPr>
        <w:t>Récap</w:t>
      </w:r>
      <w:r w:rsidR="00CD5E26">
        <w:rPr>
          <w:rFonts w:ascii="Times New Roman" w:eastAsia="Times New Roman" w:hAnsi="Times New Roman" w:cs="Times New Roman"/>
          <w:sz w:val="24"/>
          <w:szCs w:val="24"/>
        </w:rPr>
        <w:t>i</w:t>
      </w:r>
      <w:r w:rsidR="00F527F7">
        <w:rPr>
          <w:rFonts w:ascii="Times New Roman" w:eastAsia="Times New Roman" w:hAnsi="Times New Roman" w:cs="Times New Roman"/>
          <w:sz w:val="24"/>
          <w:szCs w:val="24"/>
        </w:rPr>
        <w:t>t</w:t>
      </w:r>
      <w:r w:rsidR="00CD5E26">
        <w:rPr>
          <w:rFonts w:ascii="Times New Roman" w:eastAsia="Times New Roman" w:hAnsi="Times New Roman" w:cs="Times New Roman"/>
          <w:sz w:val="24"/>
          <w:szCs w:val="24"/>
        </w:rPr>
        <w:t>u</w:t>
      </w:r>
      <w:r w:rsidR="00F527F7">
        <w:rPr>
          <w:rFonts w:ascii="Times New Roman" w:eastAsia="Times New Roman" w:hAnsi="Times New Roman" w:cs="Times New Roman"/>
          <w:sz w:val="24"/>
          <w:szCs w:val="24"/>
        </w:rPr>
        <w:t>latif d</w:t>
      </w:r>
      <w:r w:rsidR="00860714">
        <w:rPr>
          <w:rFonts w:ascii="Times New Roman" w:eastAsia="Times New Roman" w:hAnsi="Times New Roman" w:cs="Times New Roman"/>
          <w:sz w:val="24"/>
          <w:szCs w:val="24"/>
        </w:rPr>
        <w:t xml:space="preserve">es variables, </w:t>
      </w:r>
      <w:r w:rsidR="00F527F7">
        <w:rPr>
          <w:rFonts w:ascii="Times New Roman" w:eastAsia="Times New Roman" w:hAnsi="Times New Roman" w:cs="Times New Roman"/>
          <w:sz w:val="24"/>
          <w:szCs w:val="24"/>
        </w:rPr>
        <w:t xml:space="preserve">signe attendu </w:t>
      </w:r>
      <w:r w:rsidR="00860714">
        <w:rPr>
          <w:rFonts w:ascii="Times New Roman" w:eastAsia="Times New Roman" w:hAnsi="Times New Roman" w:cs="Times New Roman"/>
          <w:sz w:val="24"/>
          <w:szCs w:val="24"/>
        </w:rPr>
        <w:t>et la source</w:t>
      </w:r>
    </w:p>
    <w:tbl>
      <w:tblPr>
        <w:tblStyle w:val="TableauListe6Couleur"/>
        <w:tblW w:w="0" w:type="auto"/>
        <w:tblLook w:val="04A0" w:firstRow="1" w:lastRow="0" w:firstColumn="1" w:lastColumn="0" w:noHBand="0" w:noVBand="1"/>
      </w:tblPr>
      <w:tblGrid>
        <w:gridCol w:w="2337"/>
        <w:gridCol w:w="2337"/>
        <w:gridCol w:w="1700"/>
        <w:gridCol w:w="2976"/>
      </w:tblGrid>
      <w:tr w:rsidR="00066A59" w14:paraId="15668627" w14:textId="77777777" w:rsidTr="006E0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bottom w:val="single" w:sz="12" w:space="0" w:color="auto"/>
            </w:tcBorders>
            <w:shd w:val="clear" w:color="auto" w:fill="auto"/>
          </w:tcPr>
          <w:p w14:paraId="2EF3E100" w14:textId="220FC6FC" w:rsidR="00066A59" w:rsidRPr="00C8713B" w:rsidRDefault="00066A59">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Variables</w:t>
            </w:r>
          </w:p>
        </w:tc>
        <w:tc>
          <w:tcPr>
            <w:tcW w:w="2337" w:type="dxa"/>
            <w:tcBorders>
              <w:bottom w:val="single" w:sz="12" w:space="0" w:color="auto"/>
            </w:tcBorders>
            <w:shd w:val="clear" w:color="auto" w:fill="auto"/>
          </w:tcPr>
          <w:p w14:paraId="5D0B853B" w14:textId="6CF0E0B1" w:rsidR="00066A59" w:rsidRPr="00C8713B" w:rsidRDefault="00066A5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Indicateur</w:t>
            </w:r>
          </w:p>
        </w:tc>
        <w:tc>
          <w:tcPr>
            <w:tcW w:w="1700" w:type="dxa"/>
            <w:tcBorders>
              <w:bottom w:val="single" w:sz="12" w:space="0" w:color="auto"/>
            </w:tcBorders>
            <w:shd w:val="clear" w:color="auto" w:fill="auto"/>
          </w:tcPr>
          <w:p w14:paraId="1E03062C" w14:textId="4B8200C3" w:rsidR="00066A59" w:rsidRPr="00C8713B" w:rsidRDefault="00066A5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Signe attendu</w:t>
            </w:r>
          </w:p>
        </w:tc>
        <w:tc>
          <w:tcPr>
            <w:tcW w:w="2976" w:type="dxa"/>
            <w:tcBorders>
              <w:bottom w:val="single" w:sz="12" w:space="0" w:color="auto"/>
            </w:tcBorders>
            <w:shd w:val="clear" w:color="auto" w:fill="auto"/>
          </w:tcPr>
          <w:p w14:paraId="75108260" w14:textId="4B738C91" w:rsidR="00066A59" w:rsidRPr="00C8713B" w:rsidRDefault="00490F8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               </w:t>
            </w:r>
            <w:r w:rsidR="00066A59" w:rsidRPr="00C8713B">
              <w:rPr>
                <w:rFonts w:ascii="Times New Roman" w:eastAsia="Times New Roman" w:hAnsi="Times New Roman" w:cs="Times New Roman"/>
                <w:b w:val="0"/>
                <w:bCs w:val="0"/>
                <w:sz w:val="24"/>
                <w:szCs w:val="24"/>
              </w:rPr>
              <w:t>source</w:t>
            </w:r>
          </w:p>
        </w:tc>
      </w:tr>
      <w:tr w:rsidR="00066A59" w14:paraId="5CB2EE84" w14:textId="77777777" w:rsidTr="006E0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12" w:space="0" w:color="auto"/>
            </w:tcBorders>
            <w:shd w:val="clear" w:color="auto" w:fill="auto"/>
          </w:tcPr>
          <w:p w14:paraId="19354197" w14:textId="0B90A418" w:rsidR="00066A59" w:rsidRPr="00C8713B" w:rsidRDefault="00066A59">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lang w:val="fr-FR"/>
              </w:rPr>
              <w:t>Taxe sur la valeur ajoutée</w:t>
            </w:r>
          </w:p>
        </w:tc>
        <w:tc>
          <w:tcPr>
            <w:tcW w:w="2337" w:type="dxa"/>
            <w:tcBorders>
              <w:top w:val="single" w:sz="12" w:space="0" w:color="auto"/>
            </w:tcBorders>
            <w:shd w:val="clear" w:color="auto" w:fill="auto"/>
          </w:tcPr>
          <w:p w14:paraId="2B21F2E8" w14:textId="29D4231B" w:rsidR="00066A59" w:rsidRDefault="0071524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Taux effectif de</w:t>
            </w:r>
            <w:r w:rsidR="00B12163">
              <w:rPr>
                <w:rFonts w:ascii="Times New Roman" w:eastAsia="Times New Roman" w:hAnsi="Times New Roman" w:cs="Times New Roman"/>
                <w:sz w:val="24"/>
                <w:szCs w:val="24"/>
              </w:rPr>
              <w:t xml:space="preserve"> la taxe sur la valeur ajoutée</w:t>
            </w:r>
          </w:p>
        </w:tc>
        <w:tc>
          <w:tcPr>
            <w:tcW w:w="1700" w:type="dxa"/>
            <w:tcBorders>
              <w:top w:val="single" w:sz="12" w:space="0" w:color="auto"/>
            </w:tcBorders>
            <w:shd w:val="clear" w:color="auto" w:fill="auto"/>
          </w:tcPr>
          <w:p w14:paraId="507078D6" w14:textId="6346FA3B" w:rsidR="00066A59" w:rsidRDefault="0088581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Négatif (-)</w:t>
            </w:r>
          </w:p>
        </w:tc>
        <w:tc>
          <w:tcPr>
            <w:tcW w:w="2976" w:type="dxa"/>
            <w:tcBorders>
              <w:top w:val="single" w:sz="12" w:space="0" w:color="auto"/>
            </w:tcBorders>
            <w:shd w:val="clear" w:color="auto" w:fill="auto"/>
          </w:tcPr>
          <w:p w14:paraId="05D87952" w14:textId="463B9ED5" w:rsidR="00066A59" w:rsidRDefault="00490F8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FF1">
              <w:rPr>
                <w:rFonts w:ascii="Times New Roman" w:eastAsia="Times New Roman" w:hAnsi="Times New Roman" w:cs="Times New Roman"/>
                <w:sz w:val="24"/>
                <w:szCs w:val="24"/>
              </w:rPr>
              <w:t>Calcul par l’auteur</w:t>
            </w:r>
          </w:p>
        </w:tc>
      </w:tr>
      <w:tr w:rsidR="00066A59" w14:paraId="632F1CA2" w14:textId="77777777" w:rsidTr="006E0306">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77532D7" w14:textId="7E9FE100" w:rsidR="00066A59" w:rsidRPr="00C8713B" w:rsidRDefault="00066A59">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lang w:val="fr-FR"/>
              </w:rPr>
              <w:t>Impôt unique sur les traitements et salaires</w:t>
            </w:r>
          </w:p>
        </w:tc>
        <w:tc>
          <w:tcPr>
            <w:tcW w:w="2337" w:type="dxa"/>
            <w:shd w:val="clear" w:color="auto" w:fill="auto"/>
          </w:tcPr>
          <w:p w14:paraId="462C49BB" w14:textId="7EA11336" w:rsidR="00066A59" w:rsidRDefault="00B121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Taux effectif de l’impôt unique sur les traitements et salaires</w:t>
            </w:r>
          </w:p>
        </w:tc>
        <w:tc>
          <w:tcPr>
            <w:tcW w:w="1700" w:type="dxa"/>
            <w:shd w:val="clear" w:color="auto" w:fill="auto"/>
          </w:tcPr>
          <w:p w14:paraId="2C156CCB" w14:textId="12A45191" w:rsidR="00066A59" w:rsidRDefault="00B40CE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Négatif (-)</w:t>
            </w:r>
          </w:p>
        </w:tc>
        <w:tc>
          <w:tcPr>
            <w:tcW w:w="2976" w:type="dxa"/>
            <w:shd w:val="clear" w:color="auto" w:fill="auto"/>
          </w:tcPr>
          <w:p w14:paraId="4CFB63C3" w14:textId="4394FEDD" w:rsidR="00066A59" w:rsidRDefault="00490F8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FF1">
              <w:rPr>
                <w:rFonts w:ascii="Times New Roman" w:eastAsia="Times New Roman" w:hAnsi="Times New Roman" w:cs="Times New Roman"/>
                <w:sz w:val="24"/>
                <w:szCs w:val="24"/>
              </w:rPr>
              <w:t>Calcul par l’auteur</w:t>
            </w:r>
          </w:p>
        </w:tc>
      </w:tr>
      <w:tr w:rsidR="00066A59" w14:paraId="0A57D26C" w14:textId="77777777" w:rsidTr="006E0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16A692A" w14:textId="7217191B" w:rsidR="00066A59" w:rsidRPr="00C8713B" w:rsidRDefault="00492680">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Revenu</w:t>
            </w:r>
          </w:p>
        </w:tc>
        <w:tc>
          <w:tcPr>
            <w:tcW w:w="2337" w:type="dxa"/>
            <w:shd w:val="clear" w:color="auto" w:fill="auto"/>
          </w:tcPr>
          <w:p w14:paraId="0A5142D5" w14:textId="5DAC8B2E" w:rsidR="00066A59" w:rsidRDefault="00B121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LogRevenu par tête</w:t>
            </w:r>
          </w:p>
        </w:tc>
        <w:tc>
          <w:tcPr>
            <w:tcW w:w="1700" w:type="dxa"/>
            <w:shd w:val="clear" w:color="auto" w:fill="auto"/>
          </w:tcPr>
          <w:p w14:paraId="6A7D9F4C" w14:textId="6A72D97E" w:rsidR="00066A59" w:rsidRDefault="00B40CE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Positif (+)</w:t>
            </w:r>
          </w:p>
        </w:tc>
        <w:tc>
          <w:tcPr>
            <w:tcW w:w="2976" w:type="dxa"/>
            <w:shd w:val="clear" w:color="auto" w:fill="auto"/>
          </w:tcPr>
          <w:p w14:paraId="7055101B" w14:textId="0302044B" w:rsidR="00066A59" w:rsidRDefault="00490F8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FF1">
              <w:rPr>
                <w:rFonts w:ascii="Times New Roman" w:eastAsia="Times New Roman" w:hAnsi="Times New Roman" w:cs="Times New Roman"/>
                <w:sz w:val="24"/>
                <w:szCs w:val="24"/>
              </w:rPr>
              <w:t>Calcul par l’auteur</w:t>
            </w:r>
          </w:p>
        </w:tc>
      </w:tr>
      <w:tr w:rsidR="00066A59" w14:paraId="16CE3B21" w14:textId="77777777" w:rsidTr="006E0306">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6304163" w14:textId="794A48AE" w:rsidR="00066A59" w:rsidRPr="00C8713B" w:rsidRDefault="00492680">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Inflation</w:t>
            </w:r>
          </w:p>
        </w:tc>
        <w:tc>
          <w:tcPr>
            <w:tcW w:w="2337" w:type="dxa"/>
            <w:shd w:val="clear" w:color="auto" w:fill="auto"/>
          </w:tcPr>
          <w:p w14:paraId="64497018" w14:textId="4711EB76" w:rsidR="00066A59" w:rsidRDefault="00B121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Taux d’inflation</w:t>
            </w:r>
          </w:p>
        </w:tc>
        <w:tc>
          <w:tcPr>
            <w:tcW w:w="1700" w:type="dxa"/>
            <w:shd w:val="clear" w:color="auto" w:fill="auto"/>
          </w:tcPr>
          <w:p w14:paraId="705E2F98" w14:textId="33C2F8F3" w:rsidR="00066A59" w:rsidRDefault="00B40CE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Négatif (-)</w:t>
            </w:r>
          </w:p>
        </w:tc>
        <w:tc>
          <w:tcPr>
            <w:tcW w:w="2976" w:type="dxa"/>
            <w:shd w:val="clear" w:color="auto" w:fill="auto"/>
          </w:tcPr>
          <w:p w14:paraId="6854C31E" w14:textId="263BBEC0" w:rsidR="00066A59" w:rsidRDefault="000965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Banque Mondiale (2022)</w:t>
            </w:r>
          </w:p>
        </w:tc>
      </w:tr>
      <w:tr w:rsidR="00066A59" w14:paraId="533278F8" w14:textId="77777777" w:rsidTr="006E0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00BF23AE" w14:textId="1B438F1E" w:rsidR="00066A59" w:rsidRPr="00C8713B" w:rsidRDefault="00492680">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Taux d’intérêt</w:t>
            </w:r>
          </w:p>
        </w:tc>
        <w:tc>
          <w:tcPr>
            <w:tcW w:w="2337" w:type="dxa"/>
            <w:shd w:val="clear" w:color="auto" w:fill="auto"/>
          </w:tcPr>
          <w:p w14:paraId="3FC870A6" w14:textId="39147039" w:rsidR="00066A59" w:rsidRDefault="00B121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Taux d’intérêt</w:t>
            </w:r>
          </w:p>
        </w:tc>
        <w:tc>
          <w:tcPr>
            <w:tcW w:w="1700" w:type="dxa"/>
            <w:shd w:val="clear" w:color="auto" w:fill="auto"/>
          </w:tcPr>
          <w:p w14:paraId="0796711E" w14:textId="26AE35B7" w:rsidR="00066A59" w:rsidRDefault="00B40CE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Négatif (-)</w:t>
            </w:r>
          </w:p>
        </w:tc>
        <w:tc>
          <w:tcPr>
            <w:tcW w:w="2976" w:type="dxa"/>
            <w:shd w:val="clear" w:color="auto" w:fill="auto"/>
          </w:tcPr>
          <w:p w14:paraId="317E3E8D" w14:textId="710AFACA" w:rsidR="00066A59" w:rsidRDefault="00490F8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 xml:space="preserve">            </w:t>
            </w:r>
            <w:r w:rsidR="00096559" w:rsidRPr="00256989">
              <w:rPr>
                <w:rFonts w:ascii="Times New Roman" w:eastAsia="Times New Roman" w:hAnsi="Times New Roman" w:cs="Times New Roman"/>
                <w:sz w:val="24"/>
                <w:szCs w:val="24"/>
                <w:lang w:val="fr-FR"/>
              </w:rPr>
              <w:t>OCDE</w:t>
            </w:r>
            <w:r w:rsidR="00096559">
              <w:rPr>
                <w:rFonts w:ascii="Times New Roman" w:eastAsia="Times New Roman" w:hAnsi="Times New Roman" w:cs="Times New Roman"/>
                <w:sz w:val="24"/>
                <w:szCs w:val="24"/>
                <w:lang w:val="fr-FR"/>
              </w:rPr>
              <w:t xml:space="preserve"> (</w:t>
            </w:r>
            <w:r w:rsidR="00793286">
              <w:rPr>
                <w:rFonts w:ascii="Times New Roman" w:eastAsia="Times New Roman" w:hAnsi="Times New Roman" w:cs="Times New Roman"/>
                <w:sz w:val="24"/>
                <w:szCs w:val="24"/>
                <w:lang w:val="fr-FR"/>
              </w:rPr>
              <w:t>2021)</w:t>
            </w:r>
          </w:p>
        </w:tc>
      </w:tr>
      <w:tr w:rsidR="00066A59" w14:paraId="37A0F6EC" w14:textId="77777777" w:rsidTr="006E0306">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257A273" w14:textId="01254B59" w:rsidR="00066A59" w:rsidRPr="00C8713B" w:rsidRDefault="00492680">
            <w:pPr>
              <w:spacing w:line="36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 </w:t>
            </w:r>
            <w:r w:rsidR="00B12163" w:rsidRPr="00C8713B">
              <w:rPr>
                <w:rFonts w:ascii="Times New Roman" w:eastAsia="Times New Roman" w:hAnsi="Times New Roman" w:cs="Times New Roman"/>
                <w:b w:val="0"/>
                <w:bCs w:val="0"/>
                <w:sz w:val="24"/>
                <w:szCs w:val="24"/>
              </w:rPr>
              <w:t>C</w:t>
            </w:r>
            <w:r w:rsidRPr="00C8713B">
              <w:rPr>
                <w:rFonts w:ascii="Times New Roman" w:eastAsia="Times New Roman" w:hAnsi="Times New Roman" w:cs="Times New Roman"/>
                <w:b w:val="0"/>
                <w:bCs w:val="0"/>
                <w:sz w:val="24"/>
                <w:szCs w:val="24"/>
              </w:rPr>
              <w:t>hômage</w:t>
            </w:r>
          </w:p>
        </w:tc>
        <w:tc>
          <w:tcPr>
            <w:tcW w:w="2337" w:type="dxa"/>
            <w:shd w:val="clear" w:color="auto" w:fill="auto"/>
          </w:tcPr>
          <w:p w14:paraId="07000640" w14:textId="080BDBE2" w:rsidR="00066A59" w:rsidRDefault="00B121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Taux de chômage</w:t>
            </w:r>
          </w:p>
        </w:tc>
        <w:tc>
          <w:tcPr>
            <w:tcW w:w="1700" w:type="dxa"/>
            <w:shd w:val="clear" w:color="auto" w:fill="auto"/>
          </w:tcPr>
          <w:p w14:paraId="26FC6B04" w14:textId="320A7274" w:rsidR="00066A59" w:rsidRDefault="00B40CE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Négatif (-)</w:t>
            </w:r>
          </w:p>
        </w:tc>
        <w:tc>
          <w:tcPr>
            <w:tcW w:w="2976" w:type="dxa"/>
            <w:shd w:val="clear" w:color="auto" w:fill="auto"/>
          </w:tcPr>
          <w:p w14:paraId="3CA240E9" w14:textId="6CF682DB" w:rsidR="00066A59" w:rsidRDefault="000965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Banque</w:t>
            </w:r>
            <w:r w:rsidR="00333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Mondiale (2022)</w:t>
            </w:r>
          </w:p>
        </w:tc>
      </w:tr>
      <w:tr w:rsidR="00066A59" w14:paraId="74B2DDBC" w14:textId="77777777" w:rsidTr="006E0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352D9221" w14:textId="7E2C1FA4" w:rsidR="00066A59" w:rsidRPr="00C8713B" w:rsidRDefault="00492680">
            <w:pPr>
              <w:spacing w:line="360" w:lineRule="auto"/>
              <w:jc w:val="both"/>
              <w:rPr>
                <w:rFonts w:ascii="Times New Roman" w:eastAsia="Times New Roman" w:hAnsi="Times New Roman" w:cs="Times New Roman"/>
                <w:b w:val="0"/>
                <w:bCs w:val="0"/>
                <w:sz w:val="24"/>
                <w:szCs w:val="24"/>
              </w:rPr>
            </w:pPr>
            <w:r w:rsidRPr="00C8713B">
              <w:rPr>
                <w:rFonts w:ascii="Times New Roman" w:eastAsia="Times New Roman" w:hAnsi="Times New Roman" w:cs="Times New Roman"/>
                <w:b w:val="0"/>
                <w:bCs w:val="0"/>
                <w:sz w:val="24"/>
                <w:szCs w:val="24"/>
              </w:rPr>
              <w:t>P</w:t>
            </w:r>
            <w:r w:rsidR="00245C28" w:rsidRPr="00C8713B">
              <w:rPr>
                <w:rFonts w:ascii="Times New Roman" w:eastAsia="Times New Roman" w:hAnsi="Times New Roman" w:cs="Times New Roman"/>
                <w:b w:val="0"/>
                <w:bCs w:val="0"/>
                <w:sz w:val="24"/>
                <w:szCs w:val="24"/>
              </w:rPr>
              <w:t xml:space="preserve">opulation </w:t>
            </w:r>
          </w:p>
        </w:tc>
        <w:tc>
          <w:tcPr>
            <w:tcW w:w="2337" w:type="dxa"/>
            <w:shd w:val="clear" w:color="auto" w:fill="auto"/>
          </w:tcPr>
          <w:p w14:paraId="304BC006" w14:textId="4AF0DC04" w:rsidR="00C9707D" w:rsidRDefault="002F0784" w:rsidP="002F078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 </w:t>
            </w:r>
            <w:r w:rsidR="00793286" w:rsidRPr="00793286">
              <w:rPr>
                <w:rFonts w:ascii="Times New Roman" w:eastAsia="Times New Roman" w:hAnsi="Times New Roman" w:cs="Times New Roman"/>
                <w:sz w:val="24"/>
                <w:szCs w:val="24"/>
              </w:rPr>
              <w:t xml:space="preserve">Population </w:t>
            </w:r>
          </w:p>
        </w:tc>
        <w:tc>
          <w:tcPr>
            <w:tcW w:w="1700" w:type="dxa"/>
            <w:shd w:val="clear" w:color="auto" w:fill="auto"/>
          </w:tcPr>
          <w:p w14:paraId="65127D52" w14:textId="34AB0C58" w:rsidR="00066A59" w:rsidRDefault="0079328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Négatif (</w:t>
            </w:r>
            <w:r w:rsidR="002606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2976" w:type="dxa"/>
            <w:shd w:val="clear" w:color="auto" w:fill="auto"/>
          </w:tcPr>
          <w:p w14:paraId="115E9626" w14:textId="656703A8" w:rsidR="00066A59" w:rsidRDefault="002F078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Calcul par l’auteur (à partir des données la Banque Mondiale (2022)</w:t>
            </w:r>
          </w:p>
        </w:tc>
      </w:tr>
    </w:tbl>
    <w:p w14:paraId="3118F525" w14:textId="5E1CD423" w:rsidR="00F527F7" w:rsidRPr="00256989" w:rsidRDefault="00C07CBB">
      <w:pPr>
        <w:spacing w:line="360" w:lineRule="auto"/>
        <w:jc w:val="both"/>
        <w:rPr>
          <w:rFonts w:ascii="Times New Roman" w:eastAsia="Times New Roman" w:hAnsi="Times New Roman" w:cs="Times New Roman"/>
          <w:sz w:val="24"/>
          <w:szCs w:val="24"/>
          <w:lang w:val="fr-FR"/>
        </w:rPr>
      </w:pPr>
      <w:r w:rsidRPr="00C07CBB">
        <w:rPr>
          <w:rFonts w:ascii="Times New Roman" w:eastAsia="Times New Roman" w:hAnsi="Times New Roman" w:cs="Times New Roman"/>
          <w:b/>
          <w:bCs/>
          <w:sz w:val="24"/>
          <w:szCs w:val="24"/>
          <w:lang w:val="fr-FR"/>
        </w:rPr>
        <w:t>Source</w:t>
      </w:r>
      <w:r w:rsidRPr="00256989">
        <w:rPr>
          <w:rFonts w:ascii="Times New Roman" w:eastAsia="Times New Roman" w:hAnsi="Times New Roman" w:cs="Times New Roman"/>
          <w:sz w:val="24"/>
          <w:szCs w:val="24"/>
          <w:lang w:val="fr-FR"/>
        </w:rPr>
        <w:t xml:space="preserve"> :</w:t>
      </w:r>
      <w:r w:rsidR="006467B1" w:rsidRPr="00256989">
        <w:rPr>
          <w:rFonts w:ascii="Times New Roman" w:eastAsia="Times New Roman" w:hAnsi="Times New Roman" w:cs="Times New Roman"/>
          <w:sz w:val="24"/>
          <w:szCs w:val="24"/>
          <w:lang w:val="fr-FR"/>
        </w:rPr>
        <w:t xml:space="preserve"> Construit par l’auteur à partir de la revue théorique et empirique</w:t>
      </w:r>
    </w:p>
    <w:p w14:paraId="4A139E47" w14:textId="75FB9380" w:rsidR="005E4276" w:rsidRPr="00256989" w:rsidRDefault="00B939D7">
      <w:pPr>
        <w:spacing w:line="36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I</w:t>
      </w:r>
      <w:r w:rsidR="006D388F" w:rsidRPr="00256989">
        <w:rPr>
          <w:rFonts w:ascii="Times New Roman" w:eastAsia="Times New Roman" w:hAnsi="Times New Roman" w:cs="Times New Roman"/>
          <w:b/>
          <w:sz w:val="24"/>
          <w:szCs w:val="24"/>
          <w:lang w:val="fr-FR"/>
        </w:rPr>
        <w:t>II.4 Méthode d’estimation</w:t>
      </w:r>
    </w:p>
    <w:p w14:paraId="6DABDEE9" w14:textId="50205964"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Les méthodes existantes pour analyser l’effet de la structure fiscale sur les dépenses de consommation finale des ménages sont multiples. Cependant, pour avoir les effets sur le long terme, la technique de cointégration peut être utilisée pour détecter les relations de long terme entre la série. Parmi ces méthodes, nous avons la méthode basée sur </w:t>
      </w:r>
      <w:r w:rsidR="00411CF8" w:rsidRPr="00256989">
        <w:rPr>
          <w:rFonts w:ascii="Times New Roman" w:eastAsia="Times New Roman" w:hAnsi="Times New Roman" w:cs="Times New Roman"/>
          <w:sz w:val="24"/>
          <w:szCs w:val="24"/>
          <w:lang w:val="fr-FR"/>
        </w:rPr>
        <w:t>les résidus développés</w:t>
      </w:r>
      <w:r w:rsidRPr="00256989">
        <w:rPr>
          <w:rFonts w:ascii="Times New Roman" w:eastAsia="Times New Roman" w:hAnsi="Times New Roman" w:cs="Times New Roman"/>
          <w:sz w:val="24"/>
          <w:szCs w:val="24"/>
          <w:lang w:val="fr-FR"/>
        </w:rPr>
        <w:t xml:space="preserve"> par Engle et Granger (1987) et celle basée sur les procédures des moindres carrés ordinaires modifiées par Philip</w:t>
      </w:r>
      <w:r w:rsidRPr="00256989">
        <w:rPr>
          <w:rFonts w:ascii="Times New Roman" w:eastAsia="Times New Roman" w:hAnsi="Times New Roman" w:cs="Times New Roman"/>
          <w:iCs/>
          <w:sz w:val="24"/>
          <w:szCs w:val="24"/>
          <w:lang w:val="fr-FR"/>
        </w:rPr>
        <w:t xml:space="preserve"> et</w:t>
      </w:r>
      <w:r w:rsidRPr="00256989">
        <w:rPr>
          <w:rFonts w:ascii="Times New Roman" w:eastAsia="Times New Roman" w:hAnsi="Times New Roman" w:cs="Times New Roman"/>
          <w:i/>
          <w:sz w:val="24"/>
          <w:szCs w:val="24"/>
          <w:lang w:val="fr-FR"/>
        </w:rPr>
        <w:t xml:space="preserve"> </w:t>
      </w:r>
      <w:r w:rsidRPr="00256989">
        <w:rPr>
          <w:rFonts w:ascii="Times New Roman" w:eastAsia="Times New Roman" w:hAnsi="Times New Roman" w:cs="Times New Roman"/>
          <w:sz w:val="24"/>
          <w:szCs w:val="24"/>
          <w:lang w:val="fr-FR"/>
        </w:rPr>
        <w:t>Hansen</w:t>
      </w:r>
      <w:r w:rsidRPr="00256989">
        <w:rPr>
          <w:rFonts w:ascii="Times New Roman" w:eastAsia="Times New Roman" w:hAnsi="Times New Roman" w:cs="Times New Roman"/>
          <w:i/>
          <w:sz w:val="24"/>
          <w:szCs w:val="24"/>
          <w:lang w:val="fr-FR"/>
        </w:rPr>
        <w:t xml:space="preserve"> (</w:t>
      </w:r>
      <w:r w:rsidRPr="00256989">
        <w:rPr>
          <w:rFonts w:ascii="Times New Roman" w:eastAsia="Times New Roman" w:hAnsi="Times New Roman" w:cs="Times New Roman"/>
          <w:iCs/>
          <w:sz w:val="24"/>
          <w:szCs w:val="24"/>
          <w:lang w:val="fr-FR"/>
        </w:rPr>
        <w:t>1990</w:t>
      </w:r>
      <w:r w:rsidRPr="00256989">
        <w:rPr>
          <w:rFonts w:ascii="Times New Roman" w:eastAsia="Times New Roman" w:hAnsi="Times New Roman" w:cs="Times New Roman"/>
          <w:sz w:val="24"/>
          <w:szCs w:val="24"/>
          <w:lang w:val="fr-FR"/>
        </w:rPr>
        <w:t xml:space="preserve">). La principale limite avec cette méthode est que toutes les séries ont le même ordre d’intégration. Il est donc adapté au cas bivarié et s’avère ainsi moins efficace pour des cas multivariés (Pesaran et al 1987). Un autre test de cointégration est le test de Johansen et Juselius (1990), qui permet de vérifier plutôt la cointégration sur plus de deux </w:t>
      </w:r>
      <w:r w:rsidR="00AA2F97">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séries et est plus adapté pour les cas multivariés. En revanche, la méthode de Pesaran et al</w:t>
      </w:r>
      <w:r w:rsidR="00CB6EAC"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2001) nommée ARDL (le modèle autorégressif à retards échelonnés) est une méthode qui permet de tester la cointégration. </w:t>
      </w:r>
      <w:r w:rsidRPr="00256989">
        <w:rPr>
          <w:rFonts w:ascii="Times New Roman" w:eastAsia="Times New Roman" w:hAnsi="Times New Roman" w:cs="Times New Roman"/>
          <w:sz w:val="24"/>
          <w:szCs w:val="24"/>
          <w:lang w:val="fr-FR"/>
        </w:rPr>
        <w:lastRenderedPageBreak/>
        <w:t xml:space="preserve">En effet, c’est une méthode qui permet de tester l’existence des relations de long terme dans des échantillons de petite taille. Contrairement à l’approche de Johansen et Juselius (1990), elle permet de les tester entre des variables intégrées d’ordre différent. Les modèles vectoriels à correction d’erreur (VECM) sont aussi une </w:t>
      </w:r>
      <w:r w:rsidR="00AA2F97" w:rsidRPr="00AA2F97">
        <w:rPr>
          <w:rFonts w:ascii="Times New Roman" w:eastAsia="Times New Roman" w:hAnsi="Times New Roman" w:cs="Times New Roman"/>
          <w:sz w:val="24"/>
          <w:szCs w:val="24"/>
          <w:lang w:val="fr-FR"/>
        </w:rPr>
        <w:t>des méthodes</w:t>
      </w:r>
      <w:r w:rsidRPr="00256989">
        <w:rPr>
          <w:rFonts w:ascii="Times New Roman" w:eastAsia="Times New Roman" w:hAnsi="Times New Roman" w:cs="Times New Roman"/>
          <w:sz w:val="24"/>
          <w:szCs w:val="24"/>
          <w:lang w:val="fr-FR"/>
        </w:rPr>
        <w:t xml:space="preserve"> mais la limite est que toutes les variables doivent être intégrées d’ordre I (1)</w:t>
      </w:r>
      <w:r w:rsidRPr="00256989">
        <w:rPr>
          <w:b/>
          <w:lang w:val="fr-FR"/>
        </w:rPr>
        <w:t xml:space="preserve">. </w:t>
      </w:r>
      <w:r w:rsidRPr="00256989">
        <w:rPr>
          <w:rFonts w:ascii="Times New Roman" w:eastAsia="Times New Roman" w:hAnsi="Times New Roman" w:cs="Times New Roman"/>
          <w:sz w:val="24"/>
          <w:szCs w:val="24"/>
          <w:lang w:val="fr-FR"/>
        </w:rPr>
        <w:t>En</w:t>
      </w:r>
      <w:r w:rsidRPr="00256989">
        <w:rPr>
          <w:b/>
          <w:lang w:val="fr-FR"/>
        </w:rPr>
        <w:t xml:space="preserve"> </w:t>
      </w:r>
      <w:r w:rsidRPr="00256989">
        <w:rPr>
          <w:rFonts w:ascii="Times New Roman" w:eastAsia="Times New Roman" w:hAnsi="Times New Roman" w:cs="Times New Roman"/>
          <w:sz w:val="24"/>
          <w:szCs w:val="24"/>
          <w:lang w:val="fr-FR"/>
        </w:rPr>
        <w:t>conséquence, le modèle autorégressif à retards échelonné (ARDL) est la méthode la plus appropriée dans cette recherche</w:t>
      </w:r>
      <w:r w:rsidR="000818FC">
        <w:rPr>
          <w:rFonts w:ascii="Times New Roman" w:eastAsia="Times New Roman" w:hAnsi="Times New Roman" w:cs="Times New Roman"/>
          <w:sz w:val="24"/>
          <w:szCs w:val="24"/>
          <w:lang w:val="fr-FR"/>
        </w:rPr>
        <w:t xml:space="preserve"> car nos variables ne sont pas intégrées de même ordre et notre échantillon est de petite taille</w:t>
      </w:r>
      <w:r w:rsidRPr="00256989">
        <w:rPr>
          <w:rFonts w:ascii="Times New Roman" w:eastAsia="Times New Roman" w:hAnsi="Times New Roman" w:cs="Times New Roman"/>
          <w:sz w:val="24"/>
          <w:szCs w:val="24"/>
          <w:lang w:val="fr-FR"/>
        </w:rPr>
        <w:t xml:space="preserve">. C’est une méthode qui combine à la fois les modèles autorégressifs (AR) et des modèles à correction d’erreur (ECM), </w:t>
      </w:r>
      <w:r w:rsidR="00AA2F97">
        <w:rPr>
          <w:rFonts w:ascii="Times New Roman" w:eastAsia="Times New Roman" w:hAnsi="Times New Roman" w:cs="Times New Roman"/>
          <w:sz w:val="24"/>
          <w:szCs w:val="24"/>
          <w:lang w:val="fr-FR"/>
        </w:rPr>
        <w:t xml:space="preserve">c’est-à-dire </w:t>
      </w:r>
      <w:r w:rsidRPr="00256989">
        <w:rPr>
          <w:rFonts w:ascii="Times New Roman" w:eastAsia="Times New Roman" w:hAnsi="Times New Roman" w:cs="Times New Roman"/>
          <w:sz w:val="24"/>
          <w:szCs w:val="24"/>
          <w:lang w:val="fr-FR"/>
        </w:rPr>
        <w:t>parmi les variables explicatives, on trouve les valeurs passées de la variable à expliquer. Cette méthode est pertinente parce qu’elle permet de modéliser avec des variables indépendantes qui ne sont pas intégrées de même ordre (qui sont à la fois stationnaire et non stationnaire).</w:t>
      </w:r>
      <w:r w:rsidR="00A87256" w:rsidRPr="00256989">
        <w:rPr>
          <w:rFonts w:ascii="Times New Roman" w:eastAsia="Times New Roman" w:hAnsi="Times New Roman" w:cs="Times New Roman"/>
          <w:sz w:val="24"/>
          <w:szCs w:val="24"/>
          <w:lang w:val="fr-FR"/>
        </w:rPr>
        <w:t xml:space="preserve"> Ainsi, </w:t>
      </w:r>
      <w:r w:rsidR="00382332" w:rsidRPr="00256989">
        <w:rPr>
          <w:rFonts w:ascii="Times New Roman" w:eastAsia="Times New Roman" w:hAnsi="Times New Roman" w:cs="Times New Roman"/>
          <w:sz w:val="24"/>
          <w:szCs w:val="24"/>
          <w:lang w:val="fr-FR"/>
        </w:rPr>
        <w:t>elle a</w:t>
      </w:r>
      <w:r w:rsidR="00A804A2" w:rsidRPr="00256989">
        <w:rPr>
          <w:rFonts w:ascii="Times New Roman" w:eastAsia="Times New Roman" w:hAnsi="Times New Roman" w:cs="Times New Roman"/>
          <w:sz w:val="24"/>
          <w:szCs w:val="24"/>
          <w:lang w:val="fr-FR"/>
        </w:rPr>
        <w:t xml:space="preserve"> été utilisée par plusieurs auteurs comme Gidigbi et al (2021) et </w:t>
      </w:r>
      <w:r w:rsidR="00382332" w:rsidRPr="00256989">
        <w:rPr>
          <w:rFonts w:ascii="Times New Roman" w:eastAsia="Times New Roman" w:hAnsi="Times New Roman" w:cs="Times New Roman"/>
          <w:sz w:val="24"/>
          <w:szCs w:val="24"/>
          <w:lang w:val="fr-FR"/>
        </w:rPr>
        <w:t>Adegbite (</w:t>
      </w:r>
      <w:r w:rsidR="00A804A2" w:rsidRPr="00256989">
        <w:rPr>
          <w:rFonts w:ascii="Times New Roman" w:eastAsia="Times New Roman" w:hAnsi="Times New Roman" w:cs="Times New Roman"/>
          <w:sz w:val="24"/>
          <w:szCs w:val="24"/>
          <w:lang w:val="fr-FR"/>
        </w:rPr>
        <w:t>2023).</w:t>
      </w:r>
      <w:r w:rsidRPr="00256989">
        <w:rPr>
          <w:rFonts w:ascii="Times New Roman" w:eastAsia="Times New Roman" w:hAnsi="Times New Roman" w:cs="Times New Roman"/>
          <w:sz w:val="24"/>
          <w:szCs w:val="24"/>
          <w:lang w:val="fr-FR"/>
        </w:rPr>
        <w:t xml:space="preserve"> Également, c’est une méthode qui permet une analyse plus approfondie des dynamiques de court et de long terme dans les relations entre les variables.</w:t>
      </w:r>
    </w:p>
    <w:p w14:paraId="759377AB" w14:textId="4F569E52" w:rsidR="005E4276" w:rsidRPr="00256989" w:rsidRDefault="00B939D7">
      <w:pPr>
        <w:spacing w:line="36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I</w:t>
      </w:r>
      <w:r w:rsidR="006D388F" w:rsidRPr="00256989">
        <w:rPr>
          <w:rFonts w:ascii="Times New Roman" w:eastAsia="Times New Roman" w:hAnsi="Times New Roman" w:cs="Times New Roman"/>
          <w:b/>
          <w:sz w:val="24"/>
          <w:szCs w:val="24"/>
          <w:lang w:val="fr-FR"/>
        </w:rPr>
        <w:t>II.5 Données</w:t>
      </w:r>
    </w:p>
    <w:p w14:paraId="3562D209" w14:textId="5DF9E213" w:rsidR="005E4276"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Notre ensemble de données comprend les données du Burkina Faso couvrant la période 2003 à 2021. Ces données sont trimestrielles. Les données sur les dépenses de consommations des ménages par habitant, les dépenses de consommations réelles des ménages, </w:t>
      </w:r>
      <w:r w:rsidR="00B454BB" w:rsidRPr="00256989">
        <w:rPr>
          <w:rFonts w:ascii="Times New Roman" w:eastAsia="Times New Roman" w:hAnsi="Times New Roman" w:cs="Times New Roman"/>
          <w:sz w:val="24"/>
          <w:szCs w:val="24"/>
          <w:lang w:val="fr-FR"/>
        </w:rPr>
        <w:t>l’inflation</w:t>
      </w:r>
      <w:r w:rsidR="00B454BB">
        <w:rPr>
          <w:rFonts w:ascii="Times New Roman" w:eastAsia="Times New Roman" w:hAnsi="Times New Roman" w:cs="Times New Roman"/>
          <w:sz w:val="24"/>
          <w:szCs w:val="24"/>
          <w:lang w:val="fr-FR"/>
        </w:rPr>
        <w:t>,</w:t>
      </w:r>
      <w:r w:rsidR="008F5707">
        <w:rPr>
          <w:rFonts w:ascii="Times New Roman" w:eastAsia="Times New Roman" w:hAnsi="Times New Roman" w:cs="Times New Roman"/>
          <w:sz w:val="24"/>
          <w:szCs w:val="24"/>
          <w:lang w:val="fr-FR"/>
        </w:rPr>
        <w:t xml:space="preserve"> la population totale et le taux de chômage </w:t>
      </w:r>
      <w:r w:rsidRPr="00256989">
        <w:rPr>
          <w:rFonts w:ascii="Times New Roman" w:eastAsia="Times New Roman" w:hAnsi="Times New Roman" w:cs="Times New Roman"/>
          <w:sz w:val="24"/>
          <w:szCs w:val="24"/>
          <w:lang w:val="fr-FR"/>
        </w:rPr>
        <w:t xml:space="preserve">sont générées à partir des indicateurs </w:t>
      </w:r>
      <w:r w:rsidR="00411CF8" w:rsidRPr="00256989">
        <w:rPr>
          <w:rFonts w:ascii="Times New Roman" w:eastAsia="Times New Roman" w:hAnsi="Times New Roman" w:cs="Times New Roman"/>
          <w:sz w:val="24"/>
          <w:szCs w:val="24"/>
          <w:lang w:val="fr-FR"/>
        </w:rPr>
        <w:t>du développement mondial</w:t>
      </w:r>
      <w:r w:rsidRPr="00256989">
        <w:rPr>
          <w:rFonts w:ascii="Times New Roman" w:eastAsia="Times New Roman" w:hAnsi="Times New Roman" w:cs="Times New Roman"/>
          <w:sz w:val="24"/>
          <w:szCs w:val="24"/>
          <w:lang w:val="fr-FR"/>
        </w:rPr>
        <w:t xml:space="preserve"> de la Banque mondiale (WDI) de 2022.</w:t>
      </w:r>
      <w:r w:rsidR="0019093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En termes de structure des dépenses de consommations des ménages, elles seront regroupées selon cinq</w:t>
      </w:r>
      <w:r w:rsidR="00190939">
        <w:rPr>
          <w:rFonts w:ascii="Times New Roman" w:eastAsia="Times New Roman" w:hAnsi="Times New Roman" w:cs="Times New Roman"/>
          <w:sz w:val="24"/>
          <w:szCs w:val="24"/>
          <w:lang w:val="fr-FR"/>
        </w:rPr>
        <w:t xml:space="preserve"> (05)</w:t>
      </w:r>
      <w:r w:rsidRPr="00256989">
        <w:rPr>
          <w:rFonts w:ascii="Times New Roman" w:eastAsia="Times New Roman" w:hAnsi="Times New Roman" w:cs="Times New Roman"/>
          <w:sz w:val="24"/>
          <w:szCs w:val="24"/>
          <w:lang w:val="fr-FR"/>
        </w:rPr>
        <w:t xml:space="preserve"> groups. Ces données couvrent la période de 2015 à 2021 et sont </w:t>
      </w:r>
      <w:r w:rsidR="00190939" w:rsidRPr="00190939">
        <w:rPr>
          <w:rFonts w:ascii="Times New Roman" w:eastAsia="Times New Roman" w:hAnsi="Times New Roman" w:cs="Times New Roman"/>
          <w:sz w:val="24"/>
          <w:szCs w:val="24"/>
          <w:lang w:val="fr-FR"/>
        </w:rPr>
        <w:t>trimestrialisées</w:t>
      </w:r>
      <w:r w:rsidRPr="00256989">
        <w:rPr>
          <w:rFonts w:ascii="Times New Roman" w:eastAsia="Times New Roman" w:hAnsi="Times New Roman" w:cs="Times New Roman"/>
          <w:sz w:val="24"/>
          <w:szCs w:val="24"/>
          <w:lang w:val="fr-FR"/>
        </w:rPr>
        <w:t>. Le groupe 1 représente les produits alimentaires et boissons non alcoolisées, le groupe 2 regroupe les boissons alcoolisées, tabac et stupéfiants, le groupe 3 forme le transport, l’information et la communication, le groupe 4 représente la santé et l’éducation et le groupe 5 forme le logement, l’eau, électricité, gaz et autres consommations. Les données des différents groupes sont issues de la base de l’Institut National de la Statistique et de la Démographie (INSD) de 2023.</w:t>
      </w:r>
      <w:r w:rsidR="0019093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Les données sur le</w:t>
      </w:r>
      <w:r w:rsidR="008F5707">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taux d’intérêt sont </w:t>
      </w:r>
      <w:r w:rsidR="00DA4D22" w:rsidRPr="00256989">
        <w:rPr>
          <w:rFonts w:ascii="Times New Roman" w:eastAsia="Times New Roman" w:hAnsi="Times New Roman" w:cs="Times New Roman"/>
          <w:sz w:val="24"/>
          <w:szCs w:val="24"/>
          <w:lang w:val="fr-FR"/>
        </w:rPr>
        <w:t>tiré</w:t>
      </w:r>
      <w:r w:rsidR="00DA4D22">
        <w:rPr>
          <w:rFonts w:ascii="Times New Roman" w:eastAsia="Times New Roman" w:hAnsi="Times New Roman" w:cs="Times New Roman"/>
          <w:sz w:val="24"/>
          <w:szCs w:val="24"/>
          <w:lang w:val="fr-FR"/>
        </w:rPr>
        <w:t>e</w:t>
      </w:r>
      <w:r w:rsidR="00DA4D22" w:rsidRPr="00256989">
        <w:rPr>
          <w:rFonts w:ascii="Times New Roman" w:eastAsia="Times New Roman" w:hAnsi="Times New Roman" w:cs="Times New Roman"/>
          <w:sz w:val="24"/>
          <w:szCs w:val="24"/>
          <w:lang w:val="fr-FR"/>
        </w:rPr>
        <w:t>s</w:t>
      </w:r>
      <w:r w:rsidRPr="00256989">
        <w:rPr>
          <w:rFonts w:ascii="Times New Roman" w:eastAsia="Times New Roman" w:hAnsi="Times New Roman" w:cs="Times New Roman"/>
          <w:sz w:val="24"/>
          <w:szCs w:val="24"/>
          <w:lang w:val="fr-FR"/>
        </w:rPr>
        <w:t xml:space="preserve"> des Perspectives économiques de l’OCDE (2021). Les données sur les différents impôts et taxes proviennent de la base du Ministère de</w:t>
      </w:r>
      <w:r w:rsidR="009D09C1" w:rsidRPr="00256989">
        <w:rPr>
          <w:rFonts w:ascii="Times New Roman" w:eastAsia="Times New Roman" w:hAnsi="Times New Roman" w:cs="Times New Roman"/>
          <w:sz w:val="24"/>
          <w:szCs w:val="24"/>
          <w:lang w:val="fr-FR"/>
        </w:rPr>
        <w:t xml:space="preserve"> l’Economie et des Finances</w:t>
      </w:r>
      <w:r w:rsidRPr="00256989">
        <w:rPr>
          <w:rFonts w:ascii="Times New Roman" w:eastAsia="Times New Roman" w:hAnsi="Times New Roman" w:cs="Times New Roman"/>
          <w:sz w:val="24"/>
          <w:szCs w:val="24"/>
          <w:lang w:val="fr-FR"/>
        </w:rPr>
        <w:t xml:space="preserve">. Les différents types de taxe et des impôts sont entre autres la taxe sur la valeur ajoutée (TVA) et l’impôt unique sur les traitements </w:t>
      </w:r>
      <w:r w:rsidRPr="00256989">
        <w:rPr>
          <w:rFonts w:ascii="Times New Roman" w:eastAsia="Times New Roman" w:hAnsi="Times New Roman" w:cs="Times New Roman"/>
          <w:sz w:val="24"/>
          <w:szCs w:val="24"/>
          <w:lang w:val="fr-FR"/>
        </w:rPr>
        <w:lastRenderedPageBreak/>
        <w:t>et</w:t>
      </w:r>
      <w:r w:rsidR="009D09C1"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salaires (IUTS)</w:t>
      </w:r>
      <w:r w:rsidRPr="00256989">
        <w:rPr>
          <w:rFonts w:ascii="Times New Roman" w:eastAsia="Times New Roman" w:hAnsi="Times New Roman" w:cs="Times New Roman"/>
          <w:b/>
          <w:sz w:val="24"/>
          <w:szCs w:val="24"/>
          <w:lang w:val="fr-FR"/>
        </w:rPr>
        <w:t>. N</w:t>
      </w:r>
      <w:r w:rsidRPr="00256989">
        <w:rPr>
          <w:rFonts w:ascii="Times New Roman" w:eastAsia="Times New Roman" w:hAnsi="Times New Roman" w:cs="Times New Roman"/>
          <w:sz w:val="24"/>
          <w:szCs w:val="24"/>
          <w:lang w:val="fr-FR"/>
        </w:rPr>
        <w:t xml:space="preserve">os données commencent en 2003 en raison de la disponibilité des données sur l’IUTS. Dans cette recherche, nous nous intéressons aux deux </w:t>
      </w:r>
      <w:r w:rsidR="00190939">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 xml:space="preserve">taxes en ce sens qu’elles ont un effet primordial sur la consommation des ménages et représentent une part très importante dans les recettes du gouvernement. L’impôt sur le revenu des personnes physiques (IRPP) est prélevé sur les salaires des individus. Une fois que les impôts sont déduits, les ménages </w:t>
      </w:r>
      <w:r w:rsidR="009D09C1" w:rsidRPr="00256989">
        <w:rPr>
          <w:rFonts w:ascii="Times New Roman" w:eastAsia="Times New Roman" w:hAnsi="Times New Roman" w:cs="Times New Roman"/>
          <w:sz w:val="24"/>
          <w:szCs w:val="24"/>
          <w:lang w:val="fr-FR"/>
        </w:rPr>
        <w:t xml:space="preserve">ont </w:t>
      </w:r>
      <w:r w:rsidRPr="00256989">
        <w:rPr>
          <w:rFonts w:ascii="Times New Roman" w:eastAsia="Times New Roman" w:hAnsi="Times New Roman" w:cs="Times New Roman"/>
          <w:sz w:val="24"/>
          <w:szCs w:val="24"/>
          <w:lang w:val="fr-FR"/>
        </w:rPr>
        <w:t>un revenu disponible net. Ce revenu disponible est ce qui reste après le paiement des impôts et des autres déductions et il est souvent utilisé par les ménages pour leurs consommations finales. En revanche, la TVA est généralement incorporée dans les prix des biens et services que les ménages achètent.</w:t>
      </w:r>
      <w:r w:rsidR="00DA4D22">
        <w:rPr>
          <w:rFonts w:ascii="Times New Roman" w:eastAsia="Times New Roman" w:hAnsi="Times New Roman" w:cs="Times New Roman"/>
          <w:sz w:val="24"/>
          <w:szCs w:val="24"/>
          <w:lang w:val="fr-FR"/>
        </w:rPr>
        <w:t xml:space="preserve"> </w:t>
      </w:r>
      <w:r w:rsidR="00190939">
        <w:rPr>
          <w:rFonts w:ascii="Times New Roman" w:eastAsia="Times New Roman" w:hAnsi="Times New Roman" w:cs="Times New Roman"/>
          <w:sz w:val="24"/>
          <w:szCs w:val="24"/>
          <w:lang w:val="fr-FR"/>
        </w:rPr>
        <w:t>C’est dire que</w:t>
      </w:r>
      <w:r w:rsidRPr="00256989">
        <w:rPr>
          <w:rFonts w:ascii="Times New Roman" w:eastAsia="Times New Roman" w:hAnsi="Times New Roman" w:cs="Times New Roman"/>
          <w:sz w:val="24"/>
          <w:szCs w:val="24"/>
          <w:lang w:val="fr-FR"/>
        </w:rPr>
        <w:t xml:space="preserve"> lorsque les ménages effectuent des achats, ils paient </w:t>
      </w:r>
      <w:r w:rsidR="009D09C1" w:rsidRPr="00256989">
        <w:rPr>
          <w:rFonts w:ascii="Times New Roman" w:eastAsia="Times New Roman" w:hAnsi="Times New Roman" w:cs="Times New Roman"/>
          <w:sz w:val="24"/>
          <w:szCs w:val="24"/>
          <w:lang w:val="fr-FR"/>
        </w:rPr>
        <w:t xml:space="preserve">un </w:t>
      </w:r>
      <w:r w:rsidRPr="00256989">
        <w:rPr>
          <w:rFonts w:ascii="Times New Roman" w:eastAsia="Times New Roman" w:hAnsi="Times New Roman" w:cs="Times New Roman"/>
          <w:sz w:val="24"/>
          <w:szCs w:val="24"/>
          <w:lang w:val="fr-FR"/>
        </w:rPr>
        <w:t xml:space="preserve">prix </w:t>
      </w:r>
      <w:r w:rsidR="009D09C1" w:rsidRPr="00256989">
        <w:rPr>
          <w:rFonts w:ascii="Times New Roman" w:eastAsia="Times New Roman" w:hAnsi="Times New Roman" w:cs="Times New Roman"/>
          <w:sz w:val="24"/>
          <w:szCs w:val="24"/>
          <w:lang w:val="fr-FR"/>
        </w:rPr>
        <w:t xml:space="preserve">qui </w:t>
      </w:r>
      <w:r w:rsidRPr="00256989">
        <w:rPr>
          <w:rFonts w:ascii="Times New Roman" w:eastAsia="Times New Roman" w:hAnsi="Times New Roman" w:cs="Times New Roman"/>
          <w:sz w:val="24"/>
          <w:szCs w:val="24"/>
          <w:lang w:val="fr-FR"/>
        </w:rPr>
        <w:t>compren</w:t>
      </w:r>
      <w:r w:rsidR="00190939">
        <w:rPr>
          <w:rFonts w:ascii="Times New Roman" w:eastAsia="Times New Roman" w:hAnsi="Times New Roman" w:cs="Times New Roman"/>
          <w:sz w:val="24"/>
          <w:szCs w:val="24"/>
          <w:lang w:val="fr-FR"/>
        </w:rPr>
        <w:t>d</w:t>
      </w:r>
      <w:r w:rsidRPr="00256989">
        <w:rPr>
          <w:rFonts w:ascii="Times New Roman" w:eastAsia="Times New Roman" w:hAnsi="Times New Roman" w:cs="Times New Roman"/>
          <w:sz w:val="24"/>
          <w:szCs w:val="24"/>
          <w:lang w:val="fr-FR"/>
        </w:rPr>
        <w:t xml:space="preserve"> la TVA. En conséquence, la TVA est une dépense indirecte pour les consommateurs.</w:t>
      </w:r>
    </w:p>
    <w:p w14:paraId="6AEABB89" w14:textId="72262D57" w:rsidR="00190939" w:rsidRDefault="006D5F34">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De tout ce qui précède, nous avons pu mettre en exergue la méthodologie de recherche ainsi que les différentes données qui nous permettront de mener à bien notre étude. Il convient de procéder à une analyse des résultats. </w:t>
      </w:r>
      <w:bookmarkEnd w:id="2"/>
    </w:p>
    <w:p w14:paraId="66896D19" w14:textId="77777777" w:rsidR="00B12410" w:rsidRDefault="00B12410">
      <w:pPr>
        <w:spacing w:line="360" w:lineRule="auto"/>
        <w:jc w:val="both"/>
        <w:rPr>
          <w:rFonts w:ascii="Times New Roman" w:eastAsia="Times New Roman" w:hAnsi="Times New Roman" w:cs="Times New Roman"/>
          <w:sz w:val="24"/>
          <w:szCs w:val="24"/>
          <w:lang w:val="fr-FR"/>
        </w:rPr>
      </w:pPr>
    </w:p>
    <w:p w14:paraId="35BBC7A4" w14:textId="77777777" w:rsidR="00B12410" w:rsidRDefault="00B12410">
      <w:pPr>
        <w:spacing w:line="360" w:lineRule="auto"/>
        <w:jc w:val="both"/>
        <w:rPr>
          <w:rFonts w:ascii="Times New Roman" w:eastAsia="Times New Roman" w:hAnsi="Times New Roman" w:cs="Times New Roman"/>
          <w:sz w:val="24"/>
          <w:szCs w:val="24"/>
          <w:lang w:val="fr-FR"/>
        </w:rPr>
      </w:pPr>
    </w:p>
    <w:p w14:paraId="522967F0" w14:textId="77777777" w:rsidR="00B12410" w:rsidRDefault="00B12410">
      <w:pPr>
        <w:spacing w:line="360" w:lineRule="auto"/>
        <w:jc w:val="both"/>
        <w:rPr>
          <w:rFonts w:ascii="Times New Roman" w:eastAsia="Times New Roman" w:hAnsi="Times New Roman" w:cs="Times New Roman"/>
          <w:sz w:val="24"/>
          <w:szCs w:val="24"/>
          <w:lang w:val="fr-FR"/>
        </w:rPr>
      </w:pPr>
    </w:p>
    <w:p w14:paraId="28651E52" w14:textId="77777777" w:rsidR="00B12410" w:rsidRDefault="00B12410">
      <w:pPr>
        <w:spacing w:line="360" w:lineRule="auto"/>
        <w:jc w:val="both"/>
        <w:rPr>
          <w:rFonts w:ascii="Times New Roman" w:eastAsia="Times New Roman" w:hAnsi="Times New Roman" w:cs="Times New Roman"/>
          <w:sz w:val="24"/>
          <w:szCs w:val="24"/>
          <w:lang w:val="fr-FR"/>
        </w:rPr>
      </w:pPr>
    </w:p>
    <w:p w14:paraId="69DEB264" w14:textId="77777777" w:rsidR="00B12410" w:rsidRDefault="00B12410">
      <w:pPr>
        <w:spacing w:line="360" w:lineRule="auto"/>
        <w:jc w:val="both"/>
        <w:rPr>
          <w:rFonts w:ascii="Times New Roman" w:eastAsia="Times New Roman" w:hAnsi="Times New Roman" w:cs="Times New Roman"/>
          <w:sz w:val="24"/>
          <w:szCs w:val="24"/>
          <w:lang w:val="fr-FR"/>
        </w:rPr>
      </w:pPr>
    </w:p>
    <w:p w14:paraId="6E4BB6E0" w14:textId="77777777" w:rsidR="00B12410" w:rsidRDefault="00B12410">
      <w:pPr>
        <w:spacing w:line="360" w:lineRule="auto"/>
        <w:jc w:val="both"/>
        <w:rPr>
          <w:rFonts w:ascii="Times New Roman" w:eastAsia="Times New Roman" w:hAnsi="Times New Roman" w:cs="Times New Roman"/>
          <w:sz w:val="24"/>
          <w:szCs w:val="24"/>
          <w:lang w:val="fr-FR"/>
        </w:rPr>
      </w:pPr>
    </w:p>
    <w:p w14:paraId="2B8667FB" w14:textId="77777777" w:rsidR="00B12410" w:rsidRDefault="00B12410">
      <w:pPr>
        <w:spacing w:line="360" w:lineRule="auto"/>
        <w:jc w:val="both"/>
        <w:rPr>
          <w:rFonts w:ascii="Times New Roman" w:eastAsia="Times New Roman" w:hAnsi="Times New Roman" w:cs="Times New Roman"/>
          <w:sz w:val="24"/>
          <w:szCs w:val="24"/>
          <w:lang w:val="fr-FR"/>
        </w:rPr>
      </w:pPr>
    </w:p>
    <w:p w14:paraId="6F0A0FFC" w14:textId="77777777" w:rsidR="00F923BD" w:rsidRDefault="00F923BD">
      <w:pPr>
        <w:spacing w:line="360" w:lineRule="auto"/>
        <w:jc w:val="both"/>
        <w:rPr>
          <w:rFonts w:ascii="Times New Roman" w:eastAsia="Times New Roman" w:hAnsi="Times New Roman" w:cs="Times New Roman"/>
          <w:sz w:val="24"/>
          <w:szCs w:val="24"/>
          <w:lang w:val="fr-FR"/>
        </w:rPr>
      </w:pPr>
    </w:p>
    <w:p w14:paraId="5099AB89" w14:textId="77777777" w:rsidR="00F923BD" w:rsidRDefault="00F923BD">
      <w:pPr>
        <w:spacing w:line="360" w:lineRule="auto"/>
        <w:jc w:val="both"/>
        <w:rPr>
          <w:rFonts w:ascii="Times New Roman" w:eastAsia="Times New Roman" w:hAnsi="Times New Roman" w:cs="Times New Roman"/>
          <w:sz w:val="24"/>
          <w:szCs w:val="24"/>
          <w:lang w:val="fr-FR"/>
        </w:rPr>
      </w:pPr>
    </w:p>
    <w:p w14:paraId="14339D79" w14:textId="77777777" w:rsidR="005E4276" w:rsidRDefault="005E4276">
      <w:pPr>
        <w:spacing w:line="360" w:lineRule="auto"/>
        <w:jc w:val="both"/>
        <w:rPr>
          <w:rFonts w:ascii="Times New Roman" w:eastAsia="Times New Roman" w:hAnsi="Times New Roman" w:cs="Times New Roman"/>
          <w:sz w:val="24"/>
          <w:szCs w:val="24"/>
          <w:lang w:val="fr-FR"/>
        </w:rPr>
      </w:pPr>
    </w:p>
    <w:p w14:paraId="1F8941E5" w14:textId="7726E453" w:rsidR="00BB3984" w:rsidRDefault="00BB3984">
      <w:pPr>
        <w:spacing w:line="360" w:lineRule="auto"/>
        <w:jc w:val="both"/>
        <w:rPr>
          <w:rFonts w:ascii="Times New Roman" w:eastAsia="Times New Roman" w:hAnsi="Times New Roman" w:cs="Times New Roman"/>
          <w:sz w:val="24"/>
          <w:szCs w:val="24"/>
          <w:lang w:val="fr-FR"/>
        </w:rPr>
      </w:pPr>
    </w:p>
    <w:p w14:paraId="3EFD5726" w14:textId="77777777" w:rsidR="00260654" w:rsidRDefault="00260654">
      <w:pPr>
        <w:spacing w:line="360" w:lineRule="auto"/>
        <w:jc w:val="both"/>
        <w:rPr>
          <w:rFonts w:ascii="Times New Roman" w:eastAsia="Times New Roman" w:hAnsi="Times New Roman" w:cs="Times New Roman"/>
          <w:b/>
          <w:sz w:val="24"/>
          <w:szCs w:val="24"/>
          <w:lang w:val="fr-FR"/>
        </w:rPr>
      </w:pPr>
    </w:p>
    <w:p w14:paraId="28321FEA" w14:textId="77777777" w:rsidR="006E0306" w:rsidRPr="00256989" w:rsidRDefault="006E0306">
      <w:pPr>
        <w:spacing w:line="360" w:lineRule="auto"/>
        <w:jc w:val="both"/>
        <w:rPr>
          <w:rFonts w:ascii="Times New Roman" w:eastAsia="Times New Roman" w:hAnsi="Times New Roman" w:cs="Times New Roman"/>
          <w:b/>
          <w:sz w:val="24"/>
          <w:szCs w:val="24"/>
          <w:lang w:val="fr-FR"/>
        </w:rPr>
      </w:pPr>
    </w:p>
    <w:p w14:paraId="1B2CECF9" w14:textId="562D8A23" w:rsidR="005E4276" w:rsidRPr="00256989" w:rsidRDefault="006D388F">
      <w:pPr>
        <w:spacing w:line="360" w:lineRule="auto"/>
        <w:jc w:val="both"/>
        <w:rPr>
          <w:rFonts w:ascii="Times New Roman" w:eastAsia="Times New Roman" w:hAnsi="Times New Roman" w:cs="Times New Roman"/>
          <w:b/>
          <w:sz w:val="24"/>
          <w:szCs w:val="24"/>
          <w:lang w:val="fr-FR"/>
        </w:rPr>
      </w:pPr>
      <w:bookmarkStart w:id="3" w:name="_Hlk189835549"/>
      <w:r w:rsidRPr="00256989">
        <w:rPr>
          <w:rFonts w:ascii="Times New Roman" w:eastAsia="Times New Roman" w:hAnsi="Times New Roman" w:cs="Times New Roman"/>
          <w:b/>
          <w:sz w:val="24"/>
          <w:szCs w:val="24"/>
          <w:lang w:val="fr-FR"/>
        </w:rPr>
        <w:lastRenderedPageBreak/>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 PRÉSENTATION DES RÉSULTATS</w:t>
      </w:r>
    </w:p>
    <w:p w14:paraId="7526131A" w14:textId="684A0599" w:rsidR="005E4276" w:rsidRPr="00256989" w:rsidRDefault="006D388F">
      <w:pPr>
        <w:spacing w:line="360" w:lineRule="auto"/>
        <w:jc w:val="both"/>
        <w:rPr>
          <w:rFonts w:ascii="Times New Roman" w:eastAsia="Times New Roman" w:hAnsi="Times New Roman" w:cs="Times New Roman"/>
          <w:color w:val="000000"/>
          <w:sz w:val="24"/>
          <w:szCs w:val="24"/>
          <w:lang w:val="fr-FR"/>
        </w:rPr>
      </w:pPr>
      <w:bookmarkStart w:id="4" w:name="_Hlk189836101"/>
      <w:bookmarkEnd w:id="3"/>
      <w:r w:rsidRPr="00256989">
        <w:rPr>
          <w:rFonts w:ascii="Times New Roman" w:eastAsia="Times New Roman" w:hAnsi="Times New Roman" w:cs="Times New Roman"/>
          <w:color w:val="000000"/>
          <w:sz w:val="24"/>
          <w:szCs w:val="24"/>
          <w:lang w:val="fr-FR"/>
        </w:rPr>
        <w:t xml:space="preserve">Dans cette </w:t>
      </w:r>
      <w:r w:rsidR="001B20A2" w:rsidRPr="00256989">
        <w:rPr>
          <w:rFonts w:ascii="Times New Roman" w:eastAsia="Times New Roman" w:hAnsi="Times New Roman" w:cs="Times New Roman"/>
          <w:color w:val="000000"/>
          <w:sz w:val="24"/>
          <w:szCs w:val="24"/>
          <w:lang w:val="fr-FR"/>
        </w:rPr>
        <w:t>section</w:t>
      </w:r>
      <w:r w:rsidRPr="00256989">
        <w:rPr>
          <w:rFonts w:ascii="Times New Roman" w:eastAsia="Times New Roman" w:hAnsi="Times New Roman" w:cs="Times New Roman"/>
          <w:color w:val="000000"/>
          <w:sz w:val="24"/>
          <w:szCs w:val="24"/>
          <w:lang w:val="fr-FR"/>
        </w:rPr>
        <w:t>, nous</w:t>
      </w:r>
      <w:r w:rsidR="001B20A2" w:rsidRPr="00256989">
        <w:rPr>
          <w:rFonts w:ascii="Times New Roman" w:eastAsia="Times New Roman" w:hAnsi="Times New Roman" w:cs="Times New Roman"/>
          <w:color w:val="000000"/>
          <w:sz w:val="24"/>
          <w:szCs w:val="24"/>
          <w:lang w:val="fr-FR"/>
        </w:rPr>
        <w:t xml:space="preserve"> </w:t>
      </w:r>
      <w:r w:rsidR="0008516F" w:rsidRPr="00256989">
        <w:rPr>
          <w:rFonts w:ascii="Times New Roman" w:eastAsia="Times New Roman" w:hAnsi="Times New Roman" w:cs="Times New Roman"/>
          <w:color w:val="000000"/>
          <w:sz w:val="24"/>
          <w:szCs w:val="24"/>
          <w:lang w:val="fr-FR"/>
        </w:rPr>
        <w:t>présentons les</w:t>
      </w:r>
      <w:r w:rsidRPr="00256989">
        <w:rPr>
          <w:rFonts w:ascii="Times New Roman" w:eastAsia="Times New Roman" w:hAnsi="Times New Roman" w:cs="Times New Roman"/>
          <w:color w:val="000000"/>
          <w:sz w:val="24"/>
          <w:szCs w:val="24"/>
          <w:lang w:val="fr-FR"/>
        </w:rPr>
        <w:t xml:space="preserve"> tests statistiques</w:t>
      </w:r>
      <w:r w:rsidR="00BF0B24">
        <w:rPr>
          <w:rFonts w:ascii="Times New Roman" w:eastAsia="Times New Roman" w:hAnsi="Times New Roman" w:cs="Times New Roman"/>
          <w:color w:val="000000"/>
          <w:sz w:val="24"/>
          <w:szCs w:val="24"/>
          <w:lang w:val="fr-FR"/>
        </w:rPr>
        <w:t>, les résultats économétriques</w:t>
      </w:r>
      <w:r w:rsidR="001B20A2"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et les résultats d’estimation</w:t>
      </w:r>
      <w:r w:rsidR="001B20A2" w:rsidRPr="00256989">
        <w:rPr>
          <w:rFonts w:ascii="Times New Roman" w:eastAsia="Times New Roman" w:hAnsi="Times New Roman" w:cs="Times New Roman"/>
          <w:color w:val="000000"/>
          <w:sz w:val="24"/>
          <w:szCs w:val="24"/>
          <w:lang w:val="fr-FR"/>
        </w:rPr>
        <w:t>.</w:t>
      </w:r>
      <w:bookmarkEnd w:id="4"/>
    </w:p>
    <w:p w14:paraId="47891092" w14:textId="270437ED" w:rsidR="005E4276" w:rsidRPr="00256989" w:rsidRDefault="006D388F">
      <w:pPr>
        <w:tabs>
          <w:tab w:val="left" w:pos="1087"/>
        </w:tabs>
        <w:spacing w:line="360" w:lineRule="auto"/>
        <w:jc w:val="both"/>
        <w:rPr>
          <w:rFonts w:ascii="Times New Roman" w:eastAsia="Times New Roman" w:hAnsi="Times New Roman" w:cs="Times New Roman"/>
          <w:b/>
          <w:color w:val="000000"/>
          <w:sz w:val="24"/>
          <w:szCs w:val="24"/>
          <w:lang w:val="fr-FR"/>
        </w:rPr>
      </w:pPr>
      <w:r w:rsidRPr="00256989">
        <w:rPr>
          <w:rFonts w:ascii="Times New Roman" w:eastAsia="Times New Roman" w:hAnsi="Times New Roman" w:cs="Times New Roman"/>
          <w:b/>
          <w:color w:val="000000"/>
          <w:sz w:val="24"/>
          <w:szCs w:val="24"/>
          <w:lang w:val="fr-FR"/>
        </w:rPr>
        <w:t>I</w:t>
      </w:r>
      <w:r w:rsidR="008739A4">
        <w:rPr>
          <w:rFonts w:ascii="Times New Roman" w:eastAsia="Times New Roman" w:hAnsi="Times New Roman" w:cs="Times New Roman"/>
          <w:b/>
          <w:color w:val="000000"/>
          <w:sz w:val="24"/>
          <w:szCs w:val="24"/>
          <w:lang w:val="fr-FR"/>
        </w:rPr>
        <w:t>V</w:t>
      </w:r>
      <w:r w:rsidRPr="00256989">
        <w:rPr>
          <w:rFonts w:ascii="Times New Roman" w:eastAsia="Times New Roman" w:hAnsi="Times New Roman" w:cs="Times New Roman"/>
          <w:b/>
          <w:color w:val="000000"/>
          <w:sz w:val="24"/>
          <w:szCs w:val="24"/>
          <w:lang w:val="fr-FR"/>
        </w:rPr>
        <w:t>.1.</w:t>
      </w:r>
      <w:r w:rsidR="00534A1D">
        <w:rPr>
          <w:rFonts w:ascii="Times New Roman" w:eastAsia="Times New Roman" w:hAnsi="Times New Roman" w:cs="Times New Roman"/>
          <w:b/>
          <w:color w:val="000000"/>
          <w:sz w:val="24"/>
          <w:szCs w:val="24"/>
          <w:lang w:val="fr-FR"/>
        </w:rPr>
        <w:t xml:space="preserve"> </w:t>
      </w:r>
      <w:r w:rsidRPr="00256989">
        <w:rPr>
          <w:rFonts w:ascii="Times New Roman" w:eastAsia="Times New Roman" w:hAnsi="Times New Roman" w:cs="Times New Roman"/>
          <w:b/>
          <w:color w:val="000000"/>
          <w:sz w:val="24"/>
          <w:szCs w:val="24"/>
          <w:lang w:val="fr-FR"/>
        </w:rPr>
        <w:t>Statistiques descriptives</w:t>
      </w:r>
    </w:p>
    <w:p w14:paraId="704D8182" w14:textId="710F5531" w:rsidR="005E4276" w:rsidRDefault="006D388F">
      <w:pPr>
        <w:spacing w:line="360" w:lineRule="auto"/>
        <w:jc w:val="both"/>
        <w:rPr>
          <w:rFonts w:ascii="Times New Roman" w:eastAsia="Times New Roman" w:hAnsi="Times New Roman" w:cs="Times New Roman"/>
          <w:sz w:val="24"/>
          <w:szCs w:val="24"/>
          <w:lang w:val="fr-FR"/>
        </w:rPr>
      </w:pPr>
      <w:bookmarkStart w:id="5" w:name="_Hlk189836280"/>
      <w:r w:rsidRPr="00256989">
        <w:rPr>
          <w:rFonts w:ascii="Times New Roman" w:eastAsia="Times New Roman" w:hAnsi="Times New Roman" w:cs="Times New Roman"/>
          <w:color w:val="000000"/>
          <w:sz w:val="24"/>
          <w:szCs w:val="24"/>
          <w:lang w:val="fr-FR"/>
        </w:rPr>
        <w:t>Le tableau 1 présente les statistiques résumées des variables utilisées dans notre recherche. La part des dépenses de consommation finale des ménages par habit</w:t>
      </w:r>
      <w:r w:rsidR="003C6A40">
        <w:rPr>
          <w:rFonts w:ascii="Times New Roman" w:eastAsia="Times New Roman" w:hAnsi="Times New Roman" w:cs="Times New Roman"/>
          <w:color w:val="000000"/>
          <w:sz w:val="24"/>
          <w:szCs w:val="24"/>
          <w:lang w:val="fr-FR"/>
        </w:rPr>
        <w:t>ant représente en moyenne 6,05</w:t>
      </w:r>
      <w:r w:rsidR="004C46E1" w:rsidRPr="00256989">
        <w:rPr>
          <w:rFonts w:ascii="Times New Roman" w:eastAsia="Times New Roman" w:hAnsi="Times New Roman" w:cs="Times New Roman"/>
          <w:color w:val="000000"/>
          <w:sz w:val="24"/>
          <w:szCs w:val="24"/>
          <w:lang w:val="fr-FR"/>
        </w:rPr>
        <w:t>%</w:t>
      </w:r>
      <w:r w:rsidRPr="00256989">
        <w:rPr>
          <w:rFonts w:ascii="Times New Roman" w:eastAsia="Times New Roman" w:hAnsi="Times New Roman" w:cs="Times New Roman"/>
          <w:color w:val="000000"/>
          <w:sz w:val="24"/>
          <w:szCs w:val="24"/>
          <w:lang w:val="fr-FR"/>
        </w:rPr>
        <w:t>. Le niveau</w:t>
      </w:r>
      <w:r w:rsidR="000D3AAF">
        <w:rPr>
          <w:rFonts w:ascii="Times New Roman" w:eastAsia="Times New Roman" w:hAnsi="Times New Roman" w:cs="Times New Roman"/>
          <w:color w:val="000000"/>
          <w:sz w:val="24"/>
          <w:szCs w:val="24"/>
          <w:lang w:val="fr-FR"/>
        </w:rPr>
        <w:t xml:space="preserve"> minimum est de l’ordre de 5,91</w:t>
      </w:r>
      <w:r w:rsidR="004C46E1" w:rsidRPr="00256989">
        <w:rPr>
          <w:rFonts w:ascii="Times New Roman" w:eastAsia="Times New Roman" w:hAnsi="Times New Roman" w:cs="Times New Roman"/>
          <w:color w:val="000000"/>
          <w:sz w:val="24"/>
          <w:szCs w:val="24"/>
          <w:lang w:val="fr-FR"/>
        </w:rPr>
        <w:t xml:space="preserve">% </w:t>
      </w:r>
      <w:r w:rsidR="000D3AAF">
        <w:rPr>
          <w:rFonts w:ascii="Times New Roman" w:eastAsia="Times New Roman" w:hAnsi="Times New Roman" w:cs="Times New Roman"/>
          <w:color w:val="000000"/>
          <w:sz w:val="24"/>
          <w:szCs w:val="24"/>
          <w:lang w:val="fr-FR"/>
        </w:rPr>
        <w:t>avec un niveau maximum de 6,13</w:t>
      </w:r>
      <w:r w:rsidR="004C46E1" w:rsidRPr="00256989">
        <w:rPr>
          <w:rFonts w:ascii="Times New Roman" w:eastAsia="Times New Roman" w:hAnsi="Times New Roman" w:cs="Times New Roman"/>
          <w:color w:val="000000"/>
          <w:sz w:val="24"/>
          <w:szCs w:val="24"/>
          <w:lang w:val="fr-FR"/>
        </w:rPr>
        <w:t>%</w:t>
      </w:r>
      <w:r w:rsidRPr="00256989">
        <w:rPr>
          <w:rFonts w:ascii="Times New Roman" w:eastAsia="Times New Roman" w:hAnsi="Times New Roman" w:cs="Times New Roman"/>
          <w:color w:val="000000"/>
          <w:sz w:val="24"/>
          <w:szCs w:val="24"/>
          <w:lang w:val="fr-FR"/>
        </w:rPr>
        <w:t xml:space="preserve">. Le niveau moyen du taux effectif de la TVA est de </w:t>
      </w:r>
      <w:r w:rsidR="00312DE4">
        <w:rPr>
          <w:rFonts w:ascii="Times New Roman" w:eastAsia="Times New Roman" w:hAnsi="Times New Roman" w:cs="Times New Roman"/>
          <w:sz w:val="24"/>
          <w:szCs w:val="24"/>
          <w:lang w:val="fr-FR"/>
        </w:rPr>
        <w:t>3,52% et celui de l'IUTS est 1,30</w:t>
      </w:r>
      <w:r w:rsidRPr="00256989">
        <w:rPr>
          <w:rFonts w:ascii="Times New Roman" w:eastAsia="Times New Roman" w:hAnsi="Times New Roman" w:cs="Times New Roman"/>
          <w:sz w:val="24"/>
          <w:szCs w:val="24"/>
          <w:lang w:val="fr-FR"/>
        </w:rPr>
        <w:t xml:space="preserve"> %. Le niveau moyen du taux d’intérêt est de l’ordre 3,35%. En revanche</w:t>
      </w:r>
      <w:r w:rsidR="00D6208A">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pour l’inflation, il est de l’ordre de 1,87</w:t>
      </w:r>
      <w:r w:rsidR="00D46342">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Pour un taux de ch</w:t>
      </w:r>
      <w:r w:rsidR="00430F52">
        <w:rPr>
          <w:rFonts w:ascii="Times New Roman" w:eastAsia="Times New Roman" w:hAnsi="Times New Roman" w:cs="Times New Roman"/>
          <w:sz w:val="24"/>
          <w:szCs w:val="24"/>
          <w:lang w:val="fr-FR"/>
        </w:rPr>
        <w:t>ômage</w:t>
      </w:r>
      <w:r w:rsidRPr="00256989">
        <w:rPr>
          <w:rFonts w:ascii="Times New Roman" w:eastAsia="Times New Roman" w:hAnsi="Times New Roman" w:cs="Times New Roman"/>
          <w:sz w:val="24"/>
          <w:szCs w:val="24"/>
          <w:lang w:val="fr-FR"/>
        </w:rPr>
        <w:t xml:space="preserve">, la valeur moyenne représente </w:t>
      </w:r>
      <w:r w:rsidR="009F0F6B">
        <w:rPr>
          <w:rFonts w:ascii="Times New Roman" w:eastAsia="Times New Roman" w:hAnsi="Times New Roman" w:cs="Times New Roman"/>
          <w:sz w:val="24"/>
          <w:szCs w:val="24"/>
          <w:lang w:val="fr-FR"/>
        </w:rPr>
        <w:t>4,07%</w:t>
      </w:r>
      <w:r w:rsidRPr="00256989">
        <w:rPr>
          <w:rFonts w:ascii="Times New Roman" w:eastAsia="Times New Roman" w:hAnsi="Times New Roman" w:cs="Times New Roman"/>
          <w:sz w:val="24"/>
          <w:szCs w:val="24"/>
          <w:lang w:val="fr-FR"/>
        </w:rPr>
        <w:t xml:space="preserve"> avec une valeur minimale et maximale respectivement de </w:t>
      </w:r>
      <w:r w:rsidR="009F0F6B">
        <w:rPr>
          <w:rFonts w:ascii="Times New Roman" w:eastAsia="Times New Roman" w:hAnsi="Times New Roman" w:cs="Times New Roman"/>
          <w:sz w:val="24"/>
          <w:szCs w:val="24"/>
          <w:lang w:val="fr-FR"/>
        </w:rPr>
        <w:t>2,78%</w:t>
      </w:r>
      <w:r w:rsidRPr="00256989">
        <w:rPr>
          <w:rFonts w:ascii="Times New Roman" w:eastAsia="Times New Roman" w:hAnsi="Times New Roman" w:cs="Times New Roman"/>
          <w:sz w:val="24"/>
          <w:szCs w:val="24"/>
          <w:lang w:val="fr-FR"/>
        </w:rPr>
        <w:t xml:space="preserve"> et 5</w:t>
      </w:r>
      <w:r w:rsidR="009F0F6B">
        <w:rPr>
          <w:rFonts w:ascii="Times New Roman" w:eastAsia="Times New Roman" w:hAnsi="Times New Roman" w:cs="Times New Roman"/>
          <w:sz w:val="24"/>
          <w:szCs w:val="24"/>
          <w:lang w:val="fr-FR"/>
        </w:rPr>
        <w:t>,40%</w:t>
      </w:r>
      <w:r w:rsidRPr="00256989">
        <w:rPr>
          <w:rFonts w:ascii="Times New Roman" w:eastAsia="Times New Roman" w:hAnsi="Times New Roman" w:cs="Times New Roman"/>
          <w:sz w:val="24"/>
          <w:szCs w:val="24"/>
          <w:lang w:val="fr-FR"/>
        </w:rPr>
        <w:t>. En ce qui concerne les différentes composantes de la consommation finale des ménages, le niveau moyen des dépenses des produits alimentaires et des boissons non alco</w:t>
      </w:r>
      <w:r w:rsidR="007118EA">
        <w:rPr>
          <w:rFonts w:ascii="Times New Roman" w:eastAsia="Times New Roman" w:hAnsi="Times New Roman" w:cs="Times New Roman"/>
          <w:sz w:val="24"/>
          <w:szCs w:val="24"/>
          <w:lang w:val="fr-FR"/>
        </w:rPr>
        <w:t>olisées est de l’ordre de 3,85%</w:t>
      </w:r>
      <w:r w:rsidRPr="00256989">
        <w:rPr>
          <w:rFonts w:ascii="Times New Roman" w:eastAsia="Times New Roman" w:hAnsi="Times New Roman" w:cs="Times New Roman"/>
          <w:sz w:val="24"/>
          <w:szCs w:val="24"/>
          <w:lang w:val="fr-FR"/>
        </w:rPr>
        <w:t xml:space="preserve"> par contre celui du tabac, des produits alcoolisés</w:t>
      </w:r>
      <w:r w:rsidR="007118EA">
        <w:rPr>
          <w:rFonts w:ascii="Times New Roman" w:eastAsia="Times New Roman" w:hAnsi="Times New Roman" w:cs="Times New Roman"/>
          <w:sz w:val="24"/>
          <w:szCs w:val="24"/>
          <w:lang w:val="fr-FR"/>
        </w:rPr>
        <w:t xml:space="preserve"> et de stupéfiants représente 0,97%</w:t>
      </w:r>
      <w:r w:rsidRPr="00256989">
        <w:rPr>
          <w:rFonts w:ascii="Times New Roman" w:eastAsia="Times New Roman" w:hAnsi="Times New Roman" w:cs="Times New Roman"/>
          <w:sz w:val="24"/>
          <w:szCs w:val="24"/>
          <w:lang w:val="fr-FR"/>
        </w:rPr>
        <w:t xml:space="preserve">. Pour les dépenses de logement, eau, gaz, électricité, </w:t>
      </w:r>
      <w:r w:rsidR="00BC7D53">
        <w:rPr>
          <w:rFonts w:ascii="Times New Roman" w:eastAsia="Times New Roman" w:hAnsi="Times New Roman" w:cs="Times New Roman"/>
          <w:sz w:val="24"/>
          <w:szCs w:val="24"/>
          <w:lang w:val="fr-FR"/>
        </w:rPr>
        <w:t>la valeur minimale est de 2,73% et une valeur maximale de 2,77</w:t>
      </w:r>
      <w:r w:rsidRPr="00256989">
        <w:rPr>
          <w:rFonts w:ascii="Times New Roman" w:eastAsia="Times New Roman" w:hAnsi="Times New Roman" w:cs="Times New Roman"/>
          <w:sz w:val="24"/>
          <w:szCs w:val="24"/>
          <w:lang w:val="fr-FR"/>
        </w:rPr>
        <w:t>%. Pour les dépenses de santé et d'éducation, l</w:t>
      </w:r>
      <w:r w:rsidR="006220D1">
        <w:rPr>
          <w:rFonts w:ascii="Times New Roman" w:eastAsia="Times New Roman" w:hAnsi="Times New Roman" w:cs="Times New Roman"/>
          <w:sz w:val="24"/>
          <w:szCs w:val="24"/>
          <w:lang w:val="fr-FR"/>
        </w:rPr>
        <w:t>a valeur moyenne représente 1,49</w:t>
      </w:r>
      <w:r w:rsidRPr="00256989">
        <w:rPr>
          <w:rFonts w:ascii="Times New Roman" w:eastAsia="Times New Roman" w:hAnsi="Times New Roman" w:cs="Times New Roman"/>
          <w:sz w:val="24"/>
          <w:szCs w:val="24"/>
          <w:lang w:val="fr-FR"/>
        </w:rPr>
        <w:t>% a</w:t>
      </w:r>
      <w:r w:rsidR="006220D1">
        <w:rPr>
          <w:rFonts w:ascii="Times New Roman" w:eastAsia="Times New Roman" w:hAnsi="Times New Roman" w:cs="Times New Roman"/>
          <w:sz w:val="24"/>
          <w:szCs w:val="24"/>
          <w:lang w:val="fr-FR"/>
        </w:rPr>
        <w:t>vec une valeur minimale de 1,38</w:t>
      </w:r>
      <w:r w:rsidRPr="00256989">
        <w:rPr>
          <w:rFonts w:ascii="Times New Roman" w:eastAsia="Times New Roman" w:hAnsi="Times New Roman" w:cs="Times New Roman"/>
          <w:sz w:val="24"/>
          <w:szCs w:val="24"/>
          <w:lang w:val="fr-FR"/>
        </w:rPr>
        <w:t>% et de maximale de</w:t>
      </w:r>
      <w:r w:rsidR="006220D1">
        <w:rPr>
          <w:rFonts w:ascii="Times New Roman" w:eastAsia="Times New Roman" w:hAnsi="Times New Roman" w:cs="Times New Roman"/>
          <w:sz w:val="24"/>
          <w:szCs w:val="24"/>
          <w:lang w:val="fr-FR"/>
        </w:rPr>
        <w:t xml:space="preserve"> 1,62</w:t>
      </w:r>
      <w:r w:rsidRPr="00256989">
        <w:rPr>
          <w:rFonts w:ascii="Times New Roman" w:eastAsia="Times New Roman" w:hAnsi="Times New Roman" w:cs="Times New Roman"/>
          <w:sz w:val="24"/>
          <w:szCs w:val="24"/>
          <w:lang w:val="fr-FR"/>
        </w:rPr>
        <w:t>%.</w:t>
      </w:r>
    </w:p>
    <w:p w14:paraId="3D14A046" w14:textId="488319FD" w:rsidR="00567DAA" w:rsidRDefault="00567DAA">
      <w:pPr>
        <w:spacing w:line="360" w:lineRule="auto"/>
        <w:jc w:val="both"/>
        <w:rPr>
          <w:rFonts w:ascii="Times New Roman" w:eastAsia="Times New Roman" w:hAnsi="Times New Roman" w:cs="Times New Roman"/>
          <w:sz w:val="24"/>
          <w:szCs w:val="24"/>
          <w:lang w:val="fr-FR"/>
        </w:rPr>
      </w:pPr>
    </w:p>
    <w:p w14:paraId="6888D839" w14:textId="6C66DA6D" w:rsidR="00567DAA" w:rsidRDefault="00567DAA">
      <w:pPr>
        <w:spacing w:line="360" w:lineRule="auto"/>
        <w:jc w:val="both"/>
        <w:rPr>
          <w:rFonts w:ascii="Times New Roman" w:eastAsia="Times New Roman" w:hAnsi="Times New Roman" w:cs="Times New Roman"/>
          <w:sz w:val="24"/>
          <w:szCs w:val="24"/>
          <w:lang w:val="fr-FR"/>
        </w:rPr>
      </w:pPr>
    </w:p>
    <w:p w14:paraId="40D688B3" w14:textId="2FAA587D" w:rsidR="00567DAA" w:rsidRDefault="00567DAA">
      <w:pPr>
        <w:spacing w:line="360" w:lineRule="auto"/>
        <w:jc w:val="both"/>
        <w:rPr>
          <w:rFonts w:ascii="Times New Roman" w:eastAsia="Times New Roman" w:hAnsi="Times New Roman" w:cs="Times New Roman"/>
          <w:sz w:val="24"/>
          <w:szCs w:val="24"/>
          <w:lang w:val="fr-FR"/>
        </w:rPr>
      </w:pPr>
    </w:p>
    <w:p w14:paraId="35118DB3" w14:textId="780145DD" w:rsidR="00567DAA" w:rsidRDefault="00567DAA">
      <w:pPr>
        <w:spacing w:line="360" w:lineRule="auto"/>
        <w:jc w:val="both"/>
        <w:rPr>
          <w:rFonts w:ascii="Times New Roman" w:eastAsia="Times New Roman" w:hAnsi="Times New Roman" w:cs="Times New Roman"/>
          <w:sz w:val="24"/>
          <w:szCs w:val="24"/>
          <w:lang w:val="fr-FR"/>
        </w:rPr>
      </w:pPr>
    </w:p>
    <w:p w14:paraId="0D6BAC37" w14:textId="77777777" w:rsidR="00F923BD" w:rsidRDefault="00F923BD">
      <w:pPr>
        <w:spacing w:line="360" w:lineRule="auto"/>
        <w:jc w:val="both"/>
        <w:rPr>
          <w:rFonts w:ascii="Times New Roman" w:eastAsia="Times New Roman" w:hAnsi="Times New Roman" w:cs="Times New Roman"/>
          <w:sz w:val="24"/>
          <w:szCs w:val="24"/>
          <w:lang w:val="fr-FR"/>
        </w:rPr>
      </w:pPr>
    </w:p>
    <w:p w14:paraId="435D6EA5" w14:textId="77777777" w:rsidR="00786FC7" w:rsidRDefault="00786FC7">
      <w:pPr>
        <w:spacing w:line="360" w:lineRule="auto"/>
        <w:jc w:val="both"/>
        <w:rPr>
          <w:rFonts w:ascii="Times New Roman" w:eastAsia="Times New Roman" w:hAnsi="Times New Roman" w:cs="Times New Roman"/>
          <w:sz w:val="24"/>
          <w:szCs w:val="24"/>
          <w:lang w:val="fr-FR"/>
        </w:rPr>
      </w:pPr>
    </w:p>
    <w:p w14:paraId="78C2DE74" w14:textId="77777777" w:rsidR="00567DAA" w:rsidRDefault="00567DAA">
      <w:pPr>
        <w:spacing w:line="360" w:lineRule="auto"/>
        <w:jc w:val="both"/>
        <w:rPr>
          <w:rFonts w:ascii="Times New Roman" w:eastAsia="Times New Roman" w:hAnsi="Times New Roman" w:cs="Times New Roman"/>
          <w:sz w:val="24"/>
          <w:szCs w:val="24"/>
          <w:lang w:val="fr-FR"/>
        </w:rPr>
      </w:pPr>
    </w:p>
    <w:p w14:paraId="7497220E" w14:textId="77777777" w:rsidR="005758D3" w:rsidRDefault="005758D3">
      <w:pPr>
        <w:spacing w:line="360" w:lineRule="auto"/>
        <w:jc w:val="both"/>
        <w:rPr>
          <w:rFonts w:ascii="Times New Roman" w:eastAsia="Times New Roman" w:hAnsi="Times New Roman" w:cs="Times New Roman"/>
          <w:sz w:val="24"/>
          <w:szCs w:val="24"/>
          <w:lang w:val="fr-FR"/>
        </w:rPr>
      </w:pPr>
    </w:p>
    <w:p w14:paraId="292A99C6" w14:textId="77777777" w:rsidR="005758D3" w:rsidRDefault="005758D3">
      <w:pPr>
        <w:spacing w:line="360" w:lineRule="auto"/>
        <w:jc w:val="both"/>
        <w:rPr>
          <w:rFonts w:ascii="Times New Roman" w:eastAsia="Times New Roman" w:hAnsi="Times New Roman" w:cs="Times New Roman"/>
          <w:sz w:val="24"/>
          <w:szCs w:val="24"/>
          <w:lang w:val="fr-FR"/>
        </w:rPr>
      </w:pPr>
    </w:p>
    <w:p w14:paraId="158EFD4F" w14:textId="77777777" w:rsidR="00260654" w:rsidRDefault="00260654">
      <w:pPr>
        <w:spacing w:line="360" w:lineRule="auto"/>
        <w:jc w:val="both"/>
        <w:rPr>
          <w:rFonts w:ascii="Times New Roman" w:eastAsia="Times New Roman" w:hAnsi="Times New Roman" w:cs="Times New Roman"/>
          <w:sz w:val="24"/>
          <w:szCs w:val="24"/>
          <w:lang w:val="fr-FR"/>
        </w:rPr>
      </w:pPr>
    </w:p>
    <w:p w14:paraId="1113B3BB" w14:textId="77777777" w:rsidR="00260654" w:rsidRPr="00256989" w:rsidRDefault="00260654">
      <w:pPr>
        <w:spacing w:line="360" w:lineRule="auto"/>
        <w:jc w:val="both"/>
        <w:rPr>
          <w:rFonts w:ascii="Times New Roman" w:eastAsia="Times New Roman" w:hAnsi="Times New Roman" w:cs="Times New Roman"/>
          <w:sz w:val="24"/>
          <w:szCs w:val="24"/>
          <w:lang w:val="fr-FR"/>
        </w:rPr>
      </w:pPr>
    </w:p>
    <w:p w14:paraId="686E5B93" w14:textId="77777777" w:rsidR="005E4276" w:rsidRDefault="006D388F">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Tableau 1: Statistiques descriptives</w:t>
      </w:r>
    </w:p>
    <w:tbl>
      <w:tblPr>
        <w:tblStyle w:val="TableauListe6Couleur"/>
        <w:tblW w:w="10201" w:type="dxa"/>
        <w:tblLayout w:type="fixed"/>
        <w:tblLook w:val="04A0" w:firstRow="1" w:lastRow="0" w:firstColumn="1" w:lastColumn="0" w:noHBand="0" w:noVBand="1"/>
      </w:tblPr>
      <w:tblGrid>
        <w:gridCol w:w="4066"/>
        <w:gridCol w:w="1552"/>
        <w:gridCol w:w="1236"/>
        <w:gridCol w:w="1703"/>
        <w:gridCol w:w="1644"/>
      </w:tblGrid>
      <w:tr w:rsidR="005E4276" w14:paraId="1966D476" w14:textId="77777777" w:rsidTr="009F0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tcBorders>
              <w:bottom w:val="single" w:sz="24" w:space="0" w:color="auto"/>
            </w:tcBorders>
            <w:shd w:val="clear" w:color="auto" w:fill="auto"/>
          </w:tcPr>
          <w:p w14:paraId="6CBC0046" w14:textId="77777777" w:rsidR="005E4276" w:rsidRPr="007B3B19" w:rsidRDefault="006D388F">
            <w:pPr>
              <w:spacing w:line="360" w:lineRule="auto"/>
              <w:jc w:val="both"/>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Variables</w:t>
            </w:r>
          </w:p>
        </w:tc>
        <w:tc>
          <w:tcPr>
            <w:tcW w:w="1552" w:type="dxa"/>
            <w:tcBorders>
              <w:bottom w:val="single" w:sz="24" w:space="0" w:color="auto"/>
            </w:tcBorders>
            <w:shd w:val="clear" w:color="auto" w:fill="auto"/>
          </w:tcPr>
          <w:p w14:paraId="03637086" w14:textId="77777777" w:rsidR="005E4276" w:rsidRPr="007B3B19"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Moyenne</w:t>
            </w:r>
          </w:p>
        </w:tc>
        <w:tc>
          <w:tcPr>
            <w:tcW w:w="1236" w:type="dxa"/>
            <w:tcBorders>
              <w:bottom w:val="single" w:sz="24" w:space="0" w:color="auto"/>
            </w:tcBorders>
            <w:shd w:val="clear" w:color="auto" w:fill="auto"/>
          </w:tcPr>
          <w:p w14:paraId="18E07828" w14:textId="77777777" w:rsidR="005E4276" w:rsidRPr="007B3B19"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Ecart-types</w:t>
            </w:r>
          </w:p>
        </w:tc>
        <w:tc>
          <w:tcPr>
            <w:tcW w:w="1703" w:type="dxa"/>
            <w:tcBorders>
              <w:bottom w:val="single" w:sz="24" w:space="0" w:color="auto"/>
            </w:tcBorders>
            <w:shd w:val="clear" w:color="auto" w:fill="auto"/>
          </w:tcPr>
          <w:p w14:paraId="766E6833" w14:textId="77777777" w:rsidR="005E4276" w:rsidRPr="007B3B19"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Minimum</w:t>
            </w:r>
          </w:p>
        </w:tc>
        <w:tc>
          <w:tcPr>
            <w:tcW w:w="1644" w:type="dxa"/>
            <w:tcBorders>
              <w:bottom w:val="single" w:sz="24" w:space="0" w:color="auto"/>
            </w:tcBorders>
            <w:shd w:val="clear" w:color="auto" w:fill="auto"/>
          </w:tcPr>
          <w:p w14:paraId="04A06C49" w14:textId="77777777" w:rsidR="005E4276" w:rsidRPr="007B3B19"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Maximum</w:t>
            </w:r>
          </w:p>
        </w:tc>
      </w:tr>
      <w:tr w:rsidR="005E4276" w14:paraId="226A5425" w14:textId="77777777" w:rsidTr="009F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tcBorders>
              <w:top w:val="single" w:sz="24" w:space="0" w:color="auto"/>
            </w:tcBorders>
            <w:shd w:val="clear" w:color="auto" w:fill="auto"/>
          </w:tcPr>
          <w:p w14:paraId="18F15F3A" w14:textId="75130BA7" w:rsidR="005E4276" w:rsidRPr="007B3B19" w:rsidRDefault="00BD4FDE">
            <w:pPr>
              <w:spacing w:line="360" w:lineRule="auto"/>
              <w:jc w:val="both"/>
              <w:rPr>
                <w:rFonts w:ascii="Times New Roman" w:eastAsia="Times New Roman" w:hAnsi="Times New Roman" w:cs="Times New Roman"/>
                <w:b w:val="0"/>
                <w:bCs w:val="0"/>
                <w:sz w:val="24"/>
                <w:szCs w:val="24"/>
                <w:lang w:val="fr-FR"/>
              </w:rPr>
            </w:pPr>
            <w:r w:rsidRPr="007B3B19">
              <w:rPr>
                <w:rFonts w:ascii="Times New Roman" w:eastAsia="Times New Roman" w:hAnsi="Times New Roman" w:cs="Times New Roman"/>
                <w:sz w:val="24"/>
                <w:szCs w:val="24"/>
                <w:lang w:val="fr-FR"/>
              </w:rPr>
              <w:t>Log</w:t>
            </w:r>
            <w:r w:rsidR="00CF3C97" w:rsidRPr="007B3B19">
              <w:rPr>
                <w:rFonts w:ascii="Times New Roman" w:eastAsia="Times New Roman" w:hAnsi="Times New Roman" w:cs="Times New Roman"/>
                <w:sz w:val="24"/>
                <w:szCs w:val="24"/>
                <w:lang w:val="fr-FR"/>
              </w:rPr>
              <w:t xml:space="preserve"> </w:t>
            </w:r>
            <w:r w:rsidR="006D388F" w:rsidRPr="007B3B19">
              <w:rPr>
                <w:rFonts w:ascii="Times New Roman" w:eastAsia="Times New Roman" w:hAnsi="Times New Roman" w:cs="Times New Roman"/>
                <w:sz w:val="24"/>
                <w:szCs w:val="24"/>
                <w:lang w:val="fr-FR"/>
              </w:rPr>
              <w:t>Dépenses de consommation finale des ménages</w:t>
            </w:r>
            <w:r w:rsidR="008E46B8" w:rsidRPr="007B3B19">
              <w:rPr>
                <w:rFonts w:ascii="Times New Roman" w:eastAsia="Times New Roman" w:hAnsi="Times New Roman" w:cs="Times New Roman"/>
                <w:sz w:val="24"/>
                <w:szCs w:val="24"/>
                <w:lang w:val="fr-FR"/>
              </w:rPr>
              <w:t xml:space="preserve"> </w:t>
            </w:r>
            <w:r w:rsidR="006D388F" w:rsidRPr="007B3B19">
              <w:rPr>
                <w:rFonts w:ascii="Times New Roman" w:eastAsia="Times New Roman" w:hAnsi="Times New Roman" w:cs="Times New Roman"/>
                <w:sz w:val="24"/>
                <w:szCs w:val="24"/>
                <w:lang w:val="fr-FR"/>
              </w:rPr>
              <w:t>(% du PIB par habitant)</w:t>
            </w:r>
          </w:p>
        </w:tc>
        <w:tc>
          <w:tcPr>
            <w:tcW w:w="1552" w:type="dxa"/>
            <w:tcBorders>
              <w:top w:val="single" w:sz="24" w:space="0" w:color="auto"/>
            </w:tcBorders>
            <w:shd w:val="clear" w:color="auto" w:fill="auto"/>
          </w:tcPr>
          <w:p w14:paraId="7EDEFBEC" w14:textId="14F2F94D" w:rsidR="005E4276" w:rsidRDefault="005F2D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2E4">
              <w:rPr>
                <w:rFonts w:ascii="Times New Roman" w:eastAsia="Times New Roman" w:hAnsi="Times New Roman" w:cs="Times New Roman"/>
                <w:sz w:val="24"/>
                <w:szCs w:val="24"/>
              </w:rPr>
              <w:t>6,050</w:t>
            </w:r>
            <w:r w:rsidR="006D388F">
              <w:rPr>
                <w:rFonts w:ascii="Times New Roman" w:eastAsia="Times New Roman" w:hAnsi="Times New Roman" w:cs="Times New Roman"/>
                <w:sz w:val="24"/>
                <w:szCs w:val="24"/>
              </w:rPr>
              <w:t xml:space="preserve">   </w:t>
            </w:r>
          </w:p>
        </w:tc>
        <w:tc>
          <w:tcPr>
            <w:tcW w:w="1236" w:type="dxa"/>
            <w:tcBorders>
              <w:top w:val="single" w:sz="24" w:space="0" w:color="auto"/>
            </w:tcBorders>
            <w:shd w:val="clear" w:color="auto" w:fill="auto"/>
          </w:tcPr>
          <w:p w14:paraId="4B73945B" w14:textId="6024DFE6" w:rsidR="005E4276" w:rsidRDefault="001162E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0,0743</w:t>
            </w:r>
            <w:r w:rsidR="006D388F">
              <w:rPr>
                <w:rFonts w:ascii="Times New Roman" w:eastAsia="Times New Roman" w:hAnsi="Times New Roman" w:cs="Times New Roman"/>
                <w:sz w:val="24"/>
                <w:szCs w:val="24"/>
              </w:rPr>
              <w:t xml:space="preserve">    </w:t>
            </w:r>
          </w:p>
        </w:tc>
        <w:tc>
          <w:tcPr>
            <w:tcW w:w="1703" w:type="dxa"/>
            <w:tcBorders>
              <w:top w:val="single" w:sz="24" w:space="0" w:color="auto"/>
            </w:tcBorders>
            <w:shd w:val="clear" w:color="auto" w:fill="auto"/>
          </w:tcPr>
          <w:p w14:paraId="2C0F3835" w14:textId="0F77E0BB" w:rsidR="005E4276" w:rsidRDefault="001162E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5,911</w:t>
            </w:r>
            <w:r w:rsidR="006D388F">
              <w:rPr>
                <w:rFonts w:ascii="Times New Roman" w:eastAsia="Times New Roman" w:hAnsi="Times New Roman" w:cs="Times New Roman"/>
                <w:sz w:val="24"/>
                <w:szCs w:val="24"/>
              </w:rPr>
              <w:t xml:space="preserve">   </w:t>
            </w:r>
          </w:p>
        </w:tc>
        <w:tc>
          <w:tcPr>
            <w:tcW w:w="1644" w:type="dxa"/>
            <w:tcBorders>
              <w:top w:val="single" w:sz="24" w:space="0" w:color="auto"/>
            </w:tcBorders>
            <w:shd w:val="clear" w:color="auto" w:fill="auto"/>
          </w:tcPr>
          <w:p w14:paraId="5EEC183A" w14:textId="79678D11" w:rsidR="005E4276" w:rsidRDefault="00F378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6,132</w:t>
            </w:r>
          </w:p>
        </w:tc>
      </w:tr>
      <w:tr w:rsidR="005E4276" w14:paraId="2D4279A1" w14:textId="77777777" w:rsidTr="009F0F6B">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18CDC655" w14:textId="05879314" w:rsidR="005E4276" w:rsidRPr="007B3B19" w:rsidRDefault="006D388F">
            <w:pPr>
              <w:spacing w:line="360" w:lineRule="auto"/>
              <w:jc w:val="both"/>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Inflation</w:t>
            </w:r>
            <w:r w:rsidR="008E46B8" w:rsidRPr="007B3B19">
              <w:rPr>
                <w:rFonts w:ascii="Times New Roman" w:eastAsia="Times New Roman" w:hAnsi="Times New Roman" w:cs="Times New Roman"/>
                <w:sz w:val="24"/>
                <w:szCs w:val="24"/>
              </w:rPr>
              <w:t xml:space="preserve"> </w:t>
            </w:r>
            <w:r w:rsidRPr="007B3B19">
              <w:rPr>
                <w:rFonts w:ascii="Times New Roman" w:eastAsia="Times New Roman" w:hAnsi="Times New Roman" w:cs="Times New Roman"/>
                <w:sz w:val="24"/>
                <w:szCs w:val="24"/>
              </w:rPr>
              <w:t>(consommation des prix,</w:t>
            </w:r>
            <w:r w:rsidR="008E46B8" w:rsidRPr="007B3B19">
              <w:rPr>
                <w:rFonts w:ascii="Times New Roman" w:eastAsia="Times New Roman" w:hAnsi="Times New Roman" w:cs="Times New Roman"/>
                <w:sz w:val="24"/>
                <w:szCs w:val="24"/>
              </w:rPr>
              <w:t xml:space="preserve"> </w:t>
            </w:r>
            <w:r w:rsidRPr="007B3B19">
              <w:rPr>
                <w:rFonts w:ascii="Times New Roman" w:eastAsia="Times New Roman" w:hAnsi="Times New Roman" w:cs="Times New Roman"/>
                <w:sz w:val="24"/>
                <w:szCs w:val="24"/>
              </w:rPr>
              <w:t>%)</w:t>
            </w:r>
          </w:p>
        </w:tc>
        <w:tc>
          <w:tcPr>
            <w:tcW w:w="1552" w:type="dxa"/>
            <w:shd w:val="clear" w:color="auto" w:fill="auto"/>
          </w:tcPr>
          <w:p w14:paraId="293E77AF" w14:textId="4EA55F42"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1,878   </w:t>
            </w:r>
          </w:p>
        </w:tc>
        <w:tc>
          <w:tcPr>
            <w:tcW w:w="1236" w:type="dxa"/>
            <w:shd w:val="clear" w:color="auto" w:fill="auto"/>
          </w:tcPr>
          <w:p w14:paraId="5C822F04" w14:textId="1BB6EC86"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2,384  </w:t>
            </w:r>
          </w:p>
        </w:tc>
        <w:tc>
          <w:tcPr>
            <w:tcW w:w="1703" w:type="dxa"/>
            <w:shd w:val="clear" w:color="auto" w:fill="auto"/>
          </w:tcPr>
          <w:p w14:paraId="0952A05F" w14:textId="0A696380"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-3,233    </w:t>
            </w:r>
          </w:p>
          <w:p w14:paraId="41DF0FEA" w14:textId="77777777" w:rsidR="005E4276"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44" w:type="dxa"/>
            <w:shd w:val="clear" w:color="auto" w:fill="auto"/>
          </w:tcPr>
          <w:p w14:paraId="25724EB7" w14:textId="149BC921"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10,659</w:t>
            </w:r>
          </w:p>
        </w:tc>
      </w:tr>
      <w:tr w:rsidR="005E4276" w14:paraId="2A6964BE" w14:textId="77777777" w:rsidTr="009F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6A40E356" w14:textId="77777777" w:rsidR="005E4276" w:rsidRPr="007B3B19" w:rsidRDefault="006D388F">
            <w:pPr>
              <w:spacing w:line="360" w:lineRule="auto"/>
              <w:jc w:val="both"/>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Taux d’intérêt (%)</w:t>
            </w:r>
          </w:p>
        </w:tc>
        <w:tc>
          <w:tcPr>
            <w:tcW w:w="1552" w:type="dxa"/>
            <w:shd w:val="clear" w:color="auto" w:fill="auto"/>
          </w:tcPr>
          <w:p w14:paraId="565E4FE1" w14:textId="37516FC3"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3,353     </w:t>
            </w:r>
          </w:p>
        </w:tc>
        <w:tc>
          <w:tcPr>
            <w:tcW w:w="1236" w:type="dxa"/>
            <w:shd w:val="clear" w:color="auto" w:fill="auto"/>
          </w:tcPr>
          <w:p w14:paraId="7B2B4B51" w14:textId="39D11550"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3,176  </w:t>
            </w:r>
          </w:p>
        </w:tc>
        <w:tc>
          <w:tcPr>
            <w:tcW w:w="1703" w:type="dxa"/>
            <w:shd w:val="clear" w:color="auto" w:fill="auto"/>
          </w:tcPr>
          <w:p w14:paraId="46F567CC" w14:textId="2D89A4FD"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-3,825    </w:t>
            </w:r>
          </w:p>
        </w:tc>
        <w:tc>
          <w:tcPr>
            <w:tcW w:w="1644" w:type="dxa"/>
            <w:shd w:val="clear" w:color="auto" w:fill="auto"/>
          </w:tcPr>
          <w:p w14:paraId="4F9BE33C" w14:textId="36FDB170"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7,578</w:t>
            </w:r>
          </w:p>
        </w:tc>
      </w:tr>
      <w:tr w:rsidR="005E4276" w14:paraId="739893BA" w14:textId="77777777" w:rsidTr="009F0F6B">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284A8EBD" w14:textId="26021FC6" w:rsidR="005E4276" w:rsidRPr="007B3B19" w:rsidRDefault="00597756">
            <w:pPr>
              <w:spacing w:line="360" w:lineRule="auto"/>
              <w:jc w:val="both"/>
              <w:rPr>
                <w:rFonts w:ascii="Times New Roman" w:eastAsia="Times New Roman" w:hAnsi="Times New Roman" w:cs="Times New Roman"/>
                <w:b w:val="0"/>
                <w:bCs w:val="0"/>
                <w:sz w:val="24"/>
                <w:szCs w:val="24"/>
              </w:rPr>
            </w:pPr>
            <w:r w:rsidRPr="007B3B19">
              <w:rPr>
                <w:rFonts w:ascii="Times New Roman" w:eastAsia="Times New Roman" w:hAnsi="Times New Roman" w:cs="Times New Roman"/>
                <w:sz w:val="24"/>
                <w:szCs w:val="24"/>
              </w:rPr>
              <w:t>Log</w:t>
            </w:r>
            <w:r w:rsidR="006D388F" w:rsidRPr="007B3B19">
              <w:rPr>
                <w:rFonts w:ascii="Times New Roman" w:eastAsia="Times New Roman" w:hAnsi="Times New Roman" w:cs="Times New Roman"/>
                <w:sz w:val="24"/>
                <w:szCs w:val="24"/>
              </w:rPr>
              <w:t>Revenu par habitant</w:t>
            </w:r>
          </w:p>
        </w:tc>
        <w:tc>
          <w:tcPr>
            <w:tcW w:w="1552" w:type="dxa"/>
            <w:shd w:val="clear" w:color="auto" w:fill="auto"/>
          </w:tcPr>
          <w:p w14:paraId="4F52A799" w14:textId="132A61FC" w:rsidR="005E4276" w:rsidRDefault="005977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12,555</w:t>
            </w:r>
          </w:p>
        </w:tc>
        <w:tc>
          <w:tcPr>
            <w:tcW w:w="1236" w:type="dxa"/>
            <w:shd w:val="clear" w:color="auto" w:fill="auto"/>
          </w:tcPr>
          <w:p w14:paraId="30F4889A" w14:textId="3FE2F8B8" w:rsidR="005E4276" w:rsidRDefault="005977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0,266</w:t>
            </w:r>
          </w:p>
        </w:tc>
        <w:tc>
          <w:tcPr>
            <w:tcW w:w="1703" w:type="dxa"/>
            <w:shd w:val="clear" w:color="auto" w:fill="auto"/>
          </w:tcPr>
          <w:p w14:paraId="302944A1" w14:textId="3D343AA5" w:rsidR="005E4276" w:rsidRDefault="005977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12,090</w:t>
            </w:r>
          </w:p>
        </w:tc>
        <w:tc>
          <w:tcPr>
            <w:tcW w:w="1644" w:type="dxa"/>
            <w:shd w:val="clear" w:color="auto" w:fill="auto"/>
          </w:tcPr>
          <w:p w14:paraId="3A3A8F4F" w14:textId="6340DA8A" w:rsidR="005E4276" w:rsidRDefault="0059775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12,897</w:t>
            </w:r>
          </w:p>
        </w:tc>
      </w:tr>
      <w:tr w:rsidR="005E4276" w14:paraId="7DD3977F" w14:textId="77777777" w:rsidTr="009F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3F683218" w14:textId="77777777" w:rsidR="005E4276" w:rsidRPr="007B3B19" w:rsidRDefault="006D388F">
            <w:pPr>
              <w:spacing w:line="360" w:lineRule="auto"/>
              <w:jc w:val="both"/>
              <w:rPr>
                <w:rFonts w:ascii="Times New Roman" w:eastAsia="Times New Roman" w:hAnsi="Times New Roman" w:cs="Times New Roman"/>
                <w:b w:val="0"/>
                <w:bCs w:val="0"/>
                <w:sz w:val="24"/>
                <w:szCs w:val="24"/>
                <w:lang w:val="fr-FR"/>
              </w:rPr>
            </w:pPr>
            <w:r w:rsidRPr="007B3B19">
              <w:rPr>
                <w:rFonts w:ascii="Times New Roman" w:eastAsia="Times New Roman" w:hAnsi="Times New Roman" w:cs="Times New Roman"/>
                <w:sz w:val="24"/>
                <w:szCs w:val="24"/>
                <w:lang w:val="fr-FR"/>
              </w:rPr>
              <w:t>Taux effectif de la taxe sur la valeur ajoutée (%)</w:t>
            </w:r>
          </w:p>
        </w:tc>
        <w:tc>
          <w:tcPr>
            <w:tcW w:w="1552" w:type="dxa"/>
            <w:shd w:val="clear" w:color="auto" w:fill="auto"/>
          </w:tcPr>
          <w:p w14:paraId="1B568F5F" w14:textId="1537BFFF" w:rsidR="005E4276" w:rsidRDefault="00B4533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3,521</w:t>
            </w:r>
            <w:r w:rsidR="006D388F">
              <w:rPr>
                <w:rFonts w:ascii="Times New Roman" w:eastAsia="Times New Roman" w:hAnsi="Times New Roman" w:cs="Times New Roman"/>
                <w:sz w:val="24"/>
                <w:szCs w:val="24"/>
              </w:rPr>
              <w:t xml:space="preserve">    </w:t>
            </w:r>
          </w:p>
        </w:tc>
        <w:tc>
          <w:tcPr>
            <w:tcW w:w="1236" w:type="dxa"/>
            <w:shd w:val="clear" w:color="auto" w:fill="auto"/>
          </w:tcPr>
          <w:p w14:paraId="62C70261" w14:textId="0162B694" w:rsidR="005E4276" w:rsidRDefault="00B4533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1,556</w:t>
            </w:r>
            <w:r w:rsidR="006D388F">
              <w:rPr>
                <w:rFonts w:ascii="Times New Roman" w:eastAsia="Times New Roman" w:hAnsi="Times New Roman" w:cs="Times New Roman"/>
                <w:sz w:val="24"/>
                <w:szCs w:val="24"/>
              </w:rPr>
              <w:t xml:space="preserve">   </w:t>
            </w:r>
          </w:p>
        </w:tc>
        <w:tc>
          <w:tcPr>
            <w:tcW w:w="1703" w:type="dxa"/>
            <w:shd w:val="clear" w:color="auto" w:fill="auto"/>
          </w:tcPr>
          <w:p w14:paraId="07B33F66" w14:textId="40FF8EB1" w:rsidR="005E4276" w:rsidRDefault="00B4533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0,117</w:t>
            </w:r>
            <w:r w:rsidR="006D388F">
              <w:rPr>
                <w:rFonts w:ascii="Times New Roman" w:eastAsia="Times New Roman" w:hAnsi="Times New Roman" w:cs="Times New Roman"/>
                <w:sz w:val="24"/>
                <w:szCs w:val="24"/>
              </w:rPr>
              <w:t xml:space="preserve">   </w:t>
            </w:r>
          </w:p>
        </w:tc>
        <w:tc>
          <w:tcPr>
            <w:tcW w:w="1644" w:type="dxa"/>
            <w:shd w:val="clear" w:color="auto" w:fill="auto"/>
          </w:tcPr>
          <w:p w14:paraId="0293DEB6" w14:textId="7A44D3AB" w:rsidR="005E4276" w:rsidRDefault="00345F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5,419</w:t>
            </w:r>
          </w:p>
        </w:tc>
      </w:tr>
      <w:tr w:rsidR="005E4276" w14:paraId="0EF7B85E" w14:textId="77777777" w:rsidTr="009F0F6B">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3967E9DC" w14:textId="7E8DF211" w:rsidR="005E4276" w:rsidRPr="007B3B19" w:rsidRDefault="006D388F">
            <w:pPr>
              <w:spacing w:line="360" w:lineRule="auto"/>
              <w:jc w:val="both"/>
              <w:rPr>
                <w:rFonts w:ascii="Times New Roman" w:eastAsia="Times New Roman" w:hAnsi="Times New Roman" w:cs="Times New Roman"/>
                <w:b w:val="0"/>
                <w:bCs w:val="0"/>
                <w:sz w:val="24"/>
                <w:szCs w:val="24"/>
                <w:lang w:val="fr-FR"/>
              </w:rPr>
            </w:pPr>
            <w:r w:rsidRPr="007B3B19">
              <w:rPr>
                <w:rFonts w:ascii="Times New Roman" w:eastAsia="Times New Roman" w:hAnsi="Times New Roman" w:cs="Times New Roman"/>
                <w:sz w:val="24"/>
                <w:szCs w:val="24"/>
                <w:lang w:val="fr-FR"/>
              </w:rPr>
              <w:t>Taux effectif de l’impôt unique</w:t>
            </w:r>
            <w:r w:rsidR="00C43CFC" w:rsidRPr="007B3B19">
              <w:rPr>
                <w:rFonts w:ascii="Times New Roman" w:eastAsia="Times New Roman" w:hAnsi="Times New Roman" w:cs="Times New Roman"/>
                <w:sz w:val="24"/>
                <w:szCs w:val="24"/>
                <w:lang w:val="fr-FR"/>
              </w:rPr>
              <w:t xml:space="preserve"> sur les </w:t>
            </w:r>
            <w:r w:rsidRPr="007B3B19">
              <w:rPr>
                <w:rFonts w:ascii="Times New Roman" w:eastAsia="Times New Roman" w:hAnsi="Times New Roman" w:cs="Times New Roman"/>
                <w:sz w:val="24"/>
                <w:szCs w:val="24"/>
                <w:lang w:val="fr-FR"/>
              </w:rPr>
              <w:t>traitements des salaires (%)</w:t>
            </w:r>
          </w:p>
        </w:tc>
        <w:tc>
          <w:tcPr>
            <w:tcW w:w="1552" w:type="dxa"/>
            <w:shd w:val="clear" w:color="auto" w:fill="auto"/>
          </w:tcPr>
          <w:p w14:paraId="62837E1A" w14:textId="05A17AA1" w:rsidR="005E4276" w:rsidRDefault="00345F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1,307</w:t>
            </w:r>
            <w:r w:rsidR="006D388F">
              <w:rPr>
                <w:rFonts w:ascii="Times New Roman" w:eastAsia="Times New Roman" w:hAnsi="Times New Roman" w:cs="Times New Roman"/>
                <w:sz w:val="24"/>
                <w:szCs w:val="24"/>
              </w:rPr>
              <w:t xml:space="preserve">    </w:t>
            </w:r>
          </w:p>
          <w:p w14:paraId="69899BD6" w14:textId="77777777" w:rsidR="005E4276"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36" w:type="dxa"/>
            <w:shd w:val="clear" w:color="auto" w:fill="auto"/>
          </w:tcPr>
          <w:p w14:paraId="5F2C4C43" w14:textId="371452F3" w:rsidR="005E4276" w:rsidRDefault="00345F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0,664635</w:t>
            </w:r>
            <w:r w:rsidR="006D388F">
              <w:rPr>
                <w:rFonts w:ascii="Times New Roman" w:eastAsia="Times New Roman" w:hAnsi="Times New Roman" w:cs="Times New Roman"/>
                <w:sz w:val="24"/>
                <w:szCs w:val="24"/>
              </w:rPr>
              <w:t xml:space="preserve">   </w:t>
            </w:r>
          </w:p>
        </w:tc>
        <w:tc>
          <w:tcPr>
            <w:tcW w:w="1703" w:type="dxa"/>
            <w:shd w:val="clear" w:color="auto" w:fill="auto"/>
          </w:tcPr>
          <w:p w14:paraId="41769948" w14:textId="76933C1F" w:rsidR="005E4276" w:rsidRDefault="00D20E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0,139</w:t>
            </w:r>
            <w:r w:rsidR="006D388F">
              <w:rPr>
                <w:rFonts w:ascii="Times New Roman" w:eastAsia="Times New Roman" w:hAnsi="Times New Roman" w:cs="Times New Roman"/>
                <w:sz w:val="24"/>
                <w:szCs w:val="24"/>
              </w:rPr>
              <w:t xml:space="preserve">   </w:t>
            </w:r>
          </w:p>
        </w:tc>
        <w:tc>
          <w:tcPr>
            <w:tcW w:w="1644" w:type="dxa"/>
            <w:shd w:val="clear" w:color="auto" w:fill="auto"/>
          </w:tcPr>
          <w:p w14:paraId="7DE32B0E" w14:textId="01634126" w:rsidR="005E4276" w:rsidRDefault="00D20E1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2,777</w:t>
            </w:r>
          </w:p>
        </w:tc>
      </w:tr>
      <w:tr w:rsidR="005E4276" w14:paraId="5030CE8C" w14:textId="77777777" w:rsidTr="009F0F6B">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5068A06D" w14:textId="72C7FF31" w:rsidR="005E4276" w:rsidRPr="00256989" w:rsidRDefault="00567DAA">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Log</w:t>
            </w:r>
            <w:r w:rsidR="005F2D7C">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Dépenses</w:t>
            </w:r>
            <w:r w:rsidR="005F2D7C">
              <w:rPr>
                <w:rFonts w:ascii="Times New Roman" w:eastAsia="Times New Roman" w:hAnsi="Times New Roman" w:cs="Times New Roman"/>
                <w:sz w:val="24"/>
                <w:szCs w:val="24"/>
                <w:lang w:val="fr-FR"/>
              </w:rPr>
              <w:t xml:space="preserve"> en </w:t>
            </w:r>
            <w:r w:rsidR="006D388F" w:rsidRPr="00256989">
              <w:rPr>
                <w:rFonts w:ascii="Times New Roman" w:eastAsia="Times New Roman" w:hAnsi="Times New Roman" w:cs="Times New Roman"/>
                <w:sz w:val="24"/>
                <w:szCs w:val="24"/>
                <w:lang w:val="fr-FR"/>
              </w:rPr>
              <w:t>Produits alimentaires et boissons non alcoolisées</w:t>
            </w:r>
            <w:r w:rsidR="005F2D7C">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w:t>
            </w:r>
          </w:p>
        </w:tc>
        <w:tc>
          <w:tcPr>
            <w:tcW w:w="1552" w:type="dxa"/>
            <w:shd w:val="clear" w:color="auto" w:fill="auto"/>
          </w:tcPr>
          <w:p w14:paraId="58DF4ADD" w14:textId="58F74143" w:rsidR="005E4276" w:rsidRDefault="009D3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3,851</w:t>
            </w:r>
          </w:p>
        </w:tc>
        <w:tc>
          <w:tcPr>
            <w:tcW w:w="1236" w:type="dxa"/>
            <w:shd w:val="clear" w:color="auto" w:fill="auto"/>
          </w:tcPr>
          <w:p w14:paraId="0947F540" w14:textId="7E30B9A1" w:rsidR="005E4276" w:rsidRDefault="009D3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0,006921</w:t>
            </w:r>
          </w:p>
        </w:tc>
        <w:tc>
          <w:tcPr>
            <w:tcW w:w="1703" w:type="dxa"/>
            <w:shd w:val="clear" w:color="auto" w:fill="auto"/>
          </w:tcPr>
          <w:p w14:paraId="2898607C" w14:textId="20B04296" w:rsidR="005E4276" w:rsidRDefault="009D308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3,839</w:t>
            </w:r>
          </w:p>
        </w:tc>
        <w:tc>
          <w:tcPr>
            <w:tcW w:w="1644" w:type="dxa"/>
            <w:shd w:val="clear" w:color="auto" w:fill="auto"/>
          </w:tcPr>
          <w:p w14:paraId="78BA2C6A" w14:textId="1E3D7294" w:rsidR="005E4276" w:rsidRDefault="0079590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3,861</w:t>
            </w:r>
          </w:p>
          <w:p w14:paraId="1946E7A1" w14:textId="77777777" w:rsidR="005E4276"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5E4276" w14:paraId="2A39CEB3" w14:textId="77777777" w:rsidTr="009F0F6B">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7B70C080" w14:textId="17114347" w:rsidR="005E4276" w:rsidRPr="00256989" w:rsidRDefault="00567DAA">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Log</w:t>
            </w:r>
            <w:r w:rsidRPr="00256989">
              <w:rPr>
                <w:rFonts w:ascii="Times New Roman" w:eastAsia="Times New Roman" w:hAnsi="Times New Roman" w:cs="Times New Roman"/>
                <w:sz w:val="24"/>
                <w:szCs w:val="24"/>
                <w:lang w:val="fr-FR"/>
              </w:rPr>
              <w:t xml:space="preserve"> Dépenses</w:t>
            </w:r>
            <w:r w:rsidR="008E46B8" w:rsidRPr="00256989">
              <w:rPr>
                <w:rFonts w:ascii="Times New Roman" w:eastAsia="Times New Roman" w:hAnsi="Times New Roman" w:cs="Times New Roman"/>
                <w:sz w:val="24"/>
                <w:szCs w:val="24"/>
                <w:lang w:val="fr-FR"/>
              </w:rPr>
              <w:t xml:space="preserve"> </w:t>
            </w:r>
            <w:r w:rsidR="005F2D7C">
              <w:rPr>
                <w:rFonts w:ascii="Times New Roman" w:eastAsia="Times New Roman" w:hAnsi="Times New Roman" w:cs="Times New Roman"/>
                <w:sz w:val="24"/>
                <w:szCs w:val="24"/>
                <w:lang w:val="fr-FR"/>
              </w:rPr>
              <w:t>en B</w:t>
            </w:r>
            <w:r w:rsidR="006D388F" w:rsidRPr="00256989">
              <w:rPr>
                <w:rFonts w:ascii="Times New Roman" w:eastAsia="Times New Roman" w:hAnsi="Times New Roman" w:cs="Times New Roman"/>
                <w:sz w:val="24"/>
                <w:szCs w:val="24"/>
                <w:lang w:val="fr-FR"/>
              </w:rPr>
              <w:t>oissons alcoolisées, tabacs et stupéfiants (%)</w:t>
            </w:r>
          </w:p>
        </w:tc>
        <w:tc>
          <w:tcPr>
            <w:tcW w:w="1552" w:type="dxa"/>
            <w:shd w:val="clear" w:color="auto" w:fill="auto"/>
          </w:tcPr>
          <w:p w14:paraId="2F95E111" w14:textId="78748737" w:rsidR="005E4276" w:rsidRDefault="004339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 xml:space="preserve">  0,974</w:t>
            </w:r>
          </w:p>
        </w:tc>
        <w:tc>
          <w:tcPr>
            <w:tcW w:w="1236" w:type="dxa"/>
            <w:shd w:val="clear" w:color="auto" w:fill="auto"/>
          </w:tcPr>
          <w:p w14:paraId="23E818AD" w14:textId="46B6E290" w:rsidR="005E4276" w:rsidRDefault="006B68A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0,078312</w:t>
            </w:r>
          </w:p>
        </w:tc>
        <w:tc>
          <w:tcPr>
            <w:tcW w:w="1703" w:type="dxa"/>
            <w:shd w:val="clear" w:color="auto" w:fill="auto"/>
          </w:tcPr>
          <w:p w14:paraId="1A0773F9" w14:textId="0DDA1CE1" w:rsidR="005E4276" w:rsidRDefault="004339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68A5">
              <w:rPr>
                <w:rFonts w:ascii="Times New Roman" w:eastAsia="Times New Roman" w:hAnsi="Times New Roman" w:cs="Times New Roman"/>
                <w:sz w:val="24"/>
                <w:szCs w:val="24"/>
              </w:rPr>
              <w:t>0,786</w:t>
            </w:r>
          </w:p>
        </w:tc>
        <w:tc>
          <w:tcPr>
            <w:tcW w:w="1644" w:type="dxa"/>
            <w:shd w:val="clear" w:color="auto" w:fill="auto"/>
          </w:tcPr>
          <w:p w14:paraId="2AF8EA1B" w14:textId="3365D3D9" w:rsidR="005E4276" w:rsidRDefault="006B68A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1,067</w:t>
            </w:r>
          </w:p>
        </w:tc>
      </w:tr>
      <w:tr w:rsidR="005E4276" w14:paraId="5EF19405" w14:textId="77777777" w:rsidTr="009F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06BB680C" w14:textId="52FB69F4" w:rsidR="005E4276" w:rsidRPr="00256989" w:rsidRDefault="007F7FD7">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Log</w:t>
            </w:r>
            <w:r w:rsidR="007B3B19">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Dépenses</w:t>
            </w:r>
            <w:r w:rsidR="005F2D7C">
              <w:rPr>
                <w:rFonts w:ascii="Times New Roman" w:eastAsia="Times New Roman" w:hAnsi="Times New Roman" w:cs="Times New Roman"/>
                <w:sz w:val="24"/>
                <w:szCs w:val="24"/>
                <w:lang w:val="fr-FR"/>
              </w:rPr>
              <w:t xml:space="preserve"> de </w:t>
            </w:r>
            <w:r w:rsidR="007B3B19">
              <w:rPr>
                <w:rFonts w:ascii="Times New Roman" w:eastAsia="Times New Roman" w:hAnsi="Times New Roman" w:cs="Times New Roman"/>
                <w:sz w:val="24"/>
                <w:szCs w:val="24"/>
                <w:lang w:val="fr-FR"/>
              </w:rPr>
              <w:t>Logement, eau, électricité</w:t>
            </w:r>
            <w:r w:rsidR="006D388F" w:rsidRPr="00256989">
              <w:rPr>
                <w:rFonts w:ascii="Times New Roman" w:eastAsia="Times New Roman" w:hAnsi="Times New Roman" w:cs="Times New Roman"/>
                <w:sz w:val="24"/>
                <w:szCs w:val="24"/>
                <w:lang w:val="fr-FR"/>
              </w:rPr>
              <w:t>, gaz et autres combustibles</w:t>
            </w:r>
            <w:r w:rsidR="005F2D7C">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w:t>
            </w:r>
          </w:p>
        </w:tc>
        <w:tc>
          <w:tcPr>
            <w:tcW w:w="1552" w:type="dxa"/>
            <w:shd w:val="clear" w:color="auto" w:fill="auto"/>
          </w:tcPr>
          <w:p w14:paraId="5E933E9E" w14:textId="7FCDEFF9" w:rsidR="005E4276" w:rsidRDefault="00473A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2,758</w:t>
            </w:r>
          </w:p>
        </w:tc>
        <w:tc>
          <w:tcPr>
            <w:tcW w:w="1236" w:type="dxa"/>
            <w:shd w:val="clear" w:color="auto" w:fill="auto"/>
          </w:tcPr>
          <w:p w14:paraId="51D61E52" w14:textId="0DF58C40" w:rsidR="005E4276" w:rsidRDefault="00473A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0,012566</w:t>
            </w:r>
          </w:p>
        </w:tc>
        <w:tc>
          <w:tcPr>
            <w:tcW w:w="1703" w:type="dxa"/>
            <w:shd w:val="clear" w:color="auto" w:fill="auto"/>
          </w:tcPr>
          <w:p w14:paraId="1E561159" w14:textId="53C45BD5" w:rsidR="005E4276" w:rsidRDefault="00473A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2,734</w:t>
            </w:r>
          </w:p>
        </w:tc>
        <w:tc>
          <w:tcPr>
            <w:tcW w:w="1644" w:type="dxa"/>
            <w:shd w:val="clear" w:color="auto" w:fill="auto"/>
          </w:tcPr>
          <w:p w14:paraId="66E449D6" w14:textId="283CAA49" w:rsidR="005E4276" w:rsidRDefault="00473A7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2,779</w:t>
            </w:r>
          </w:p>
        </w:tc>
      </w:tr>
      <w:tr w:rsidR="005E4276" w14:paraId="4638C043" w14:textId="77777777" w:rsidTr="009F0F6B">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74C878A0" w14:textId="2A0FE406" w:rsidR="005E4276" w:rsidRPr="00562615" w:rsidRDefault="007F7FD7">
            <w:pPr>
              <w:spacing w:line="360" w:lineRule="auto"/>
              <w:jc w:val="both"/>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Log</w:t>
            </w:r>
            <w:r w:rsidR="007B3B19">
              <w:rPr>
                <w:rFonts w:ascii="Times New Roman" w:eastAsia="Times New Roman" w:hAnsi="Times New Roman" w:cs="Times New Roman"/>
                <w:sz w:val="24"/>
                <w:szCs w:val="24"/>
              </w:rPr>
              <w:t xml:space="preserve"> </w:t>
            </w:r>
            <w:r w:rsidR="006D388F" w:rsidRPr="00562615">
              <w:rPr>
                <w:rFonts w:ascii="Times New Roman" w:eastAsia="Times New Roman" w:hAnsi="Times New Roman" w:cs="Times New Roman"/>
                <w:sz w:val="24"/>
                <w:szCs w:val="24"/>
              </w:rPr>
              <w:t>Dépenses</w:t>
            </w:r>
            <w:r w:rsidR="005F2D7C">
              <w:rPr>
                <w:rFonts w:ascii="Times New Roman" w:eastAsia="Times New Roman" w:hAnsi="Times New Roman" w:cs="Times New Roman"/>
                <w:sz w:val="24"/>
                <w:szCs w:val="24"/>
              </w:rPr>
              <w:t xml:space="preserve"> en </w:t>
            </w:r>
            <w:r w:rsidR="006D388F" w:rsidRPr="00562615">
              <w:rPr>
                <w:rFonts w:ascii="Times New Roman" w:eastAsia="Times New Roman" w:hAnsi="Times New Roman" w:cs="Times New Roman"/>
                <w:sz w:val="24"/>
                <w:szCs w:val="24"/>
              </w:rPr>
              <w:t>Santé et Éducation (%)</w:t>
            </w:r>
          </w:p>
        </w:tc>
        <w:tc>
          <w:tcPr>
            <w:tcW w:w="1552" w:type="dxa"/>
            <w:shd w:val="clear" w:color="auto" w:fill="auto"/>
          </w:tcPr>
          <w:p w14:paraId="49C89925" w14:textId="12B6600E" w:rsidR="005E4276" w:rsidRDefault="00A81D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1,497</w:t>
            </w:r>
          </w:p>
        </w:tc>
        <w:tc>
          <w:tcPr>
            <w:tcW w:w="1236" w:type="dxa"/>
            <w:shd w:val="clear" w:color="auto" w:fill="auto"/>
          </w:tcPr>
          <w:p w14:paraId="2FA80692" w14:textId="62A9937C" w:rsidR="005E4276" w:rsidRDefault="00A81D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0,086692</w:t>
            </w:r>
          </w:p>
        </w:tc>
        <w:tc>
          <w:tcPr>
            <w:tcW w:w="1703" w:type="dxa"/>
            <w:shd w:val="clear" w:color="auto" w:fill="auto"/>
          </w:tcPr>
          <w:p w14:paraId="5C10D89E" w14:textId="5F8100B3" w:rsidR="005E4276" w:rsidRDefault="00A81D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1,387</w:t>
            </w:r>
          </w:p>
        </w:tc>
        <w:tc>
          <w:tcPr>
            <w:tcW w:w="1644" w:type="dxa"/>
            <w:shd w:val="clear" w:color="auto" w:fill="auto"/>
          </w:tcPr>
          <w:p w14:paraId="0D530D7A" w14:textId="13BB2ADA" w:rsidR="005E4276" w:rsidRDefault="00A81D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1,620</w:t>
            </w:r>
          </w:p>
        </w:tc>
      </w:tr>
      <w:tr w:rsidR="005E4276" w14:paraId="27A547CD" w14:textId="77777777" w:rsidTr="009F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0A3493FF" w14:textId="3EAB712D" w:rsidR="005E4276" w:rsidRPr="00256989" w:rsidRDefault="00567DAA">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Log</w:t>
            </w:r>
            <w:r w:rsidR="007B3B1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Dépenses</w:t>
            </w:r>
            <w:r w:rsidR="005F2D7C">
              <w:rPr>
                <w:rFonts w:ascii="Times New Roman" w:eastAsia="Times New Roman" w:hAnsi="Times New Roman" w:cs="Times New Roman"/>
                <w:sz w:val="24"/>
                <w:szCs w:val="24"/>
                <w:lang w:val="fr-FR"/>
              </w:rPr>
              <w:t xml:space="preserve"> en </w:t>
            </w:r>
            <w:r w:rsidR="006D388F" w:rsidRPr="00256989">
              <w:rPr>
                <w:rFonts w:ascii="Times New Roman" w:eastAsia="Times New Roman" w:hAnsi="Times New Roman" w:cs="Times New Roman"/>
                <w:sz w:val="24"/>
                <w:szCs w:val="24"/>
                <w:lang w:val="fr-FR"/>
              </w:rPr>
              <w:t>Transport, information et communication</w:t>
            </w:r>
            <w:r w:rsidR="005F2D7C">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w:t>
            </w:r>
          </w:p>
        </w:tc>
        <w:tc>
          <w:tcPr>
            <w:tcW w:w="1552" w:type="dxa"/>
            <w:shd w:val="clear" w:color="auto" w:fill="auto"/>
          </w:tcPr>
          <w:p w14:paraId="1E1E6652" w14:textId="091EBE08" w:rsidR="005E4276" w:rsidRDefault="001A60D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2,241</w:t>
            </w:r>
          </w:p>
        </w:tc>
        <w:tc>
          <w:tcPr>
            <w:tcW w:w="1236" w:type="dxa"/>
            <w:shd w:val="clear" w:color="auto" w:fill="auto"/>
          </w:tcPr>
          <w:p w14:paraId="0F48129C" w14:textId="729B5081" w:rsidR="005E4276" w:rsidRDefault="001A60D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0,044862</w:t>
            </w:r>
          </w:p>
        </w:tc>
        <w:tc>
          <w:tcPr>
            <w:tcW w:w="1703" w:type="dxa"/>
            <w:shd w:val="clear" w:color="auto" w:fill="auto"/>
          </w:tcPr>
          <w:p w14:paraId="5AFEB4B3" w14:textId="562D6B03" w:rsidR="005E4276" w:rsidRDefault="001A60D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2,154</w:t>
            </w:r>
          </w:p>
        </w:tc>
        <w:tc>
          <w:tcPr>
            <w:tcW w:w="1644" w:type="dxa"/>
            <w:shd w:val="clear" w:color="auto" w:fill="auto"/>
          </w:tcPr>
          <w:p w14:paraId="7867228C" w14:textId="6EEB5F9F" w:rsidR="005E4276" w:rsidRDefault="001A60D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2,283</w:t>
            </w:r>
          </w:p>
        </w:tc>
      </w:tr>
      <w:tr w:rsidR="00F923BD" w14:paraId="579E99BB" w14:textId="77777777" w:rsidTr="009F0F6B">
        <w:tc>
          <w:tcPr>
            <w:cnfStyle w:val="001000000000" w:firstRow="0" w:lastRow="0" w:firstColumn="1" w:lastColumn="0" w:oddVBand="0" w:evenVBand="0" w:oddHBand="0" w:evenHBand="0" w:firstRowFirstColumn="0" w:firstRowLastColumn="0" w:lastRowFirstColumn="0" w:lastRowLastColumn="0"/>
            <w:tcW w:w="4066" w:type="dxa"/>
            <w:shd w:val="clear" w:color="auto" w:fill="auto"/>
          </w:tcPr>
          <w:p w14:paraId="33903182" w14:textId="2103123A" w:rsidR="00F923BD" w:rsidRPr="007B3B19" w:rsidRDefault="00460F55">
            <w:pPr>
              <w:spacing w:line="360" w:lineRule="auto"/>
              <w:jc w:val="both"/>
              <w:rPr>
                <w:rFonts w:ascii="Times New Roman" w:eastAsia="Times New Roman" w:hAnsi="Times New Roman" w:cs="Times New Roman"/>
                <w:b w:val="0"/>
                <w:bCs w:val="0"/>
                <w:sz w:val="24"/>
                <w:szCs w:val="24"/>
                <w:lang w:val="fr-FR"/>
              </w:rPr>
            </w:pPr>
            <w:r w:rsidRPr="007B3B19">
              <w:rPr>
                <w:rFonts w:ascii="Times New Roman" w:eastAsia="Times New Roman" w:hAnsi="Times New Roman" w:cs="Times New Roman"/>
                <w:sz w:val="24"/>
                <w:szCs w:val="24"/>
                <w:lang w:val="fr-FR"/>
              </w:rPr>
              <w:t>Taux de chômage</w:t>
            </w:r>
          </w:p>
        </w:tc>
        <w:tc>
          <w:tcPr>
            <w:tcW w:w="1552" w:type="dxa"/>
            <w:shd w:val="clear" w:color="auto" w:fill="auto"/>
          </w:tcPr>
          <w:p w14:paraId="3DC82344" w14:textId="56691F50" w:rsidR="00F923BD" w:rsidRDefault="00AD565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4,075</w:t>
            </w:r>
          </w:p>
        </w:tc>
        <w:tc>
          <w:tcPr>
            <w:tcW w:w="1236" w:type="dxa"/>
            <w:shd w:val="clear" w:color="auto" w:fill="auto"/>
          </w:tcPr>
          <w:p w14:paraId="41FDCCC8" w14:textId="4CF03EF2" w:rsidR="00F923BD" w:rsidRDefault="00AD565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5319F">
              <w:rPr>
                <w:rFonts w:ascii="Times New Roman" w:eastAsia="Times New Roman" w:hAnsi="Times New Roman" w:cs="Times New Roman"/>
                <w:sz w:val="24"/>
                <w:szCs w:val="24"/>
              </w:rPr>
              <w:t>575813</w:t>
            </w:r>
          </w:p>
        </w:tc>
        <w:tc>
          <w:tcPr>
            <w:tcW w:w="1703" w:type="dxa"/>
            <w:shd w:val="clear" w:color="auto" w:fill="auto"/>
          </w:tcPr>
          <w:p w14:paraId="40A5EFC5" w14:textId="0F76B345" w:rsidR="00F923BD" w:rsidRDefault="00AD565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2,780</w:t>
            </w:r>
          </w:p>
        </w:tc>
        <w:tc>
          <w:tcPr>
            <w:tcW w:w="1644" w:type="dxa"/>
            <w:shd w:val="clear" w:color="auto" w:fill="auto"/>
          </w:tcPr>
          <w:p w14:paraId="38EC2D9C" w14:textId="1E986126" w:rsidR="00F923BD" w:rsidRDefault="00AD565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5,403</w:t>
            </w:r>
          </w:p>
        </w:tc>
      </w:tr>
      <w:tr w:rsidR="00F923BD" w14:paraId="0346B9C6" w14:textId="77777777" w:rsidTr="009F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6" w:type="dxa"/>
            <w:tcBorders>
              <w:bottom w:val="single" w:sz="24" w:space="0" w:color="auto"/>
            </w:tcBorders>
            <w:shd w:val="clear" w:color="auto" w:fill="auto"/>
          </w:tcPr>
          <w:p w14:paraId="00F32CDD" w14:textId="5221B1A0" w:rsidR="00F923BD" w:rsidRPr="007B3B19" w:rsidRDefault="00460F55">
            <w:pPr>
              <w:spacing w:line="360" w:lineRule="auto"/>
              <w:jc w:val="both"/>
              <w:rPr>
                <w:rFonts w:ascii="Times New Roman" w:eastAsia="Times New Roman" w:hAnsi="Times New Roman" w:cs="Times New Roman"/>
                <w:b w:val="0"/>
                <w:bCs w:val="0"/>
                <w:sz w:val="24"/>
                <w:szCs w:val="24"/>
                <w:lang w:val="fr-FR"/>
              </w:rPr>
            </w:pPr>
            <w:r w:rsidRPr="007B3B19">
              <w:rPr>
                <w:rFonts w:ascii="Times New Roman" w:eastAsia="Times New Roman" w:hAnsi="Times New Roman" w:cs="Times New Roman"/>
                <w:sz w:val="24"/>
                <w:szCs w:val="24"/>
                <w:lang w:val="fr-FR"/>
              </w:rPr>
              <w:t>Log Population,</w:t>
            </w:r>
            <w:r w:rsidR="007B3B19" w:rsidRPr="007B3B19">
              <w:rPr>
                <w:rFonts w:ascii="Times New Roman" w:eastAsia="Times New Roman" w:hAnsi="Times New Roman" w:cs="Times New Roman"/>
                <w:sz w:val="24"/>
                <w:szCs w:val="24"/>
                <w:lang w:val="fr-FR"/>
              </w:rPr>
              <w:t xml:space="preserve"> </w:t>
            </w:r>
            <w:r w:rsidRPr="007B3B19">
              <w:rPr>
                <w:rFonts w:ascii="Times New Roman" w:eastAsia="Times New Roman" w:hAnsi="Times New Roman" w:cs="Times New Roman"/>
                <w:sz w:val="24"/>
                <w:szCs w:val="24"/>
                <w:lang w:val="fr-FR"/>
              </w:rPr>
              <w:t>Totale</w:t>
            </w:r>
          </w:p>
        </w:tc>
        <w:tc>
          <w:tcPr>
            <w:tcW w:w="1552" w:type="dxa"/>
            <w:tcBorders>
              <w:bottom w:val="single" w:sz="24" w:space="0" w:color="auto"/>
            </w:tcBorders>
            <w:shd w:val="clear" w:color="auto" w:fill="auto"/>
          </w:tcPr>
          <w:p w14:paraId="0C0CC4C6" w14:textId="3CB832CD" w:rsidR="00F923BD" w:rsidRDefault="00A531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16,658</w:t>
            </w:r>
          </w:p>
        </w:tc>
        <w:tc>
          <w:tcPr>
            <w:tcW w:w="1236" w:type="dxa"/>
            <w:tcBorders>
              <w:bottom w:val="single" w:sz="24" w:space="0" w:color="auto"/>
            </w:tcBorders>
            <w:shd w:val="clear" w:color="auto" w:fill="auto"/>
          </w:tcPr>
          <w:p w14:paraId="60E59308" w14:textId="7252F4B3" w:rsidR="00F923BD" w:rsidRDefault="00A531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0,142389</w:t>
            </w:r>
          </w:p>
        </w:tc>
        <w:tc>
          <w:tcPr>
            <w:tcW w:w="1703" w:type="dxa"/>
            <w:tcBorders>
              <w:bottom w:val="single" w:sz="24" w:space="0" w:color="auto"/>
            </w:tcBorders>
            <w:shd w:val="clear" w:color="auto" w:fill="auto"/>
          </w:tcPr>
          <w:p w14:paraId="62467A99" w14:textId="6CDB690F" w:rsidR="00F923BD" w:rsidRDefault="00A531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16,453</w:t>
            </w:r>
          </w:p>
        </w:tc>
        <w:tc>
          <w:tcPr>
            <w:tcW w:w="1644" w:type="dxa"/>
            <w:tcBorders>
              <w:bottom w:val="single" w:sz="24" w:space="0" w:color="auto"/>
            </w:tcBorders>
            <w:shd w:val="clear" w:color="auto" w:fill="auto"/>
          </w:tcPr>
          <w:p w14:paraId="44DA3C43" w14:textId="5C0C15FF" w:rsidR="00F923BD" w:rsidRDefault="00A531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16,988</w:t>
            </w:r>
          </w:p>
        </w:tc>
      </w:tr>
    </w:tbl>
    <w:p w14:paraId="1EEBE8DB" w14:textId="583F06DA" w:rsidR="005E4276" w:rsidRPr="00256989" w:rsidRDefault="00DA4D22">
      <w:pPr>
        <w:spacing w:line="360" w:lineRule="auto"/>
        <w:jc w:val="both"/>
        <w:rPr>
          <w:rFonts w:ascii="Times New Roman" w:eastAsia="Times New Roman" w:hAnsi="Times New Roman" w:cs="Times New Roman"/>
          <w:sz w:val="20"/>
          <w:szCs w:val="20"/>
          <w:lang w:val="fr-FR"/>
        </w:rPr>
      </w:pPr>
      <w:r w:rsidRPr="00256989">
        <w:rPr>
          <w:rFonts w:ascii="Times New Roman" w:eastAsia="Times New Roman" w:hAnsi="Times New Roman" w:cs="Times New Roman"/>
          <w:b/>
          <w:sz w:val="20"/>
          <w:szCs w:val="20"/>
          <w:lang w:val="fr-FR"/>
        </w:rPr>
        <w:t>Source</w:t>
      </w:r>
      <w:r w:rsidRPr="00256989">
        <w:rPr>
          <w:rFonts w:ascii="Times New Roman" w:eastAsia="Times New Roman" w:hAnsi="Times New Roman" w:cs="Times New Roman"/>
          <w:sz w:val="20"/>
          <w:szCs w:val="20"/>
          <w:lang w:val="fr-FR"/>
        </w:rPr>
        <w:t xml:space="preserve"> :</w:t>
      </w:r>
      <w:r w:rsidR="006D388F" w:rsidRPr="00256989">
        <w:rPr>
          <w:rFonts w:ascii="Times New Roman" w:eastAsia="Times New Roman" w:hAnsi="Times New Roman" w:cs="Times New Roman"/>
          <w:sz w:val="20"/>
          <w:szCs w:val="20"/>
          <w:lang w:val="fr-FR"/>
        </w:rPr>
        <w:t xml:space="preserve"> Construit par l’auteur à partir des données de WDI (2022), INSD (2023), DGI (2022)</w:t>
      </w:r>
    </w:p>
    <w:p w14:paraId="4D3CE80F" w14:textId="77777777" w:rsidR="00B12410" w:rsidRDefault="00B12410">
      <w:pPr>
        <w:spacing w:line="360" w:lineRule="auto"/>
        <w:jc w:val="both"/>
        <w:rPr>
          <w:rFonts w:ascii="Times New Roman" w:eastAsia="Times New Roman" w:hAnsi="Times New Roman" w:cs="Times New Roman"/>
          <w:b/>
          <w:sz w:val="24"/>
          <w:szCs w:val="24"/>
          <w:lang w:val="fr-FR"/>
        </w:rPr>
      </w:pPr>
    </w:p>
    <w:bookmarkEnd w:id="5"/>
    <w:p w14:paraId="1847F418" w14:textId="52E09738" w:rsidR="005E4276"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lastRenderedPageBreak/>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.2 Résultats économétriques</w:t>
      </w:r>
    </w:p>
    <w:p w14:paraId="1B6C028E" w14:textId="079DE368" w:rsidR="005E4276" w:rsidRPr="00256989" w:rsidRDefault="006D388F">
      <w:pPr>
        <w:spacing w:line="360" w:lineRule="auto"/>
        <w:jc w:val="both"/>
        <w:rPr>
          <w:rFonts w:ascii="Times New Roman" w:eastAsia="Times New Roman" w:hAnsi="Times New Roman" w:cs="Times New Roman"/>
          <w:sz w:val="24"/>
          <w:szCs w:val="24"/>
          <w:lang w:val="fr-FR"/>
        </w:rPr>
      </w:pPr>
      <w:bookmarkStart w:id="6" w:name="_Hlk189836805"/>
      <w:r w:rsidRPr="00256989">
        <w:rPr>
          <w:rFonts w:ascii="Times New Roman" w:eastAsia="Times New Roman" w:hAnsi="Times New Roman" w:cs="Times New Roman"/>
          <w:sz w:val="24"/>
          <w:szCs w:val="24"/>
          <w:lang w:val="fr-FR"/>
        </w:rPr>
        <w:t>Les résultats des différents tests sont regroupés dans cette partie. Il s’agit du test de stationnarité,</w:t>
      </w:r>
      <w:r w:rsidR="007C6A2C" w:rsidRPr="00256989">
        <w:rPr>
          <w:rFonts w:ascii="Times New Roman" w:eastAsia="Times New Roman" w:hAnsi="Times New Roman" w:cs="Times New Roman"/>
          <w:sz w:val="24"/>
          <w:szCs w:val="24"/>
          <w:lang w:val="fr-FR"/>
        </w:rPr>
        <w:t xml:space="preserve"> </w:t>
      </w:r>
      <w:r w:rsidR="006E1FE1" w:rsidRPr="00256989">
        <w:rPr>
          <w:rFonts w:ascii="Times New Roman" w:eastAsia="Times New Roman" w:hAnsi="Times New Roman" w:cs="Times New Roman"/>
          <w:sz w:val="24"/>
          <w:szCs w:val="24"/>
          <w:lang w:val="fr-FR"/>
        </w:rPr>
        <w:t xml:space="preserve">du test de multicolinéarité, </w:t>
      </w:r>
      <w:r w:rsidR="007C6A2C" w:rsidRPr="00256989">
        <w:rPr>
          <w:rFonts w:ascii="Times New Roman" w:eastAsia="Times New Roman" w:hAnsi="Times New Roman" w:cs="Times New Roman"/>
          <w:sz w:val="24"/>
          <w:szCs w:val="24"/>
          <w:lang w:val="fr-FR"/>
        </w:rPr>
        <w:t>du</w:t>
      </w:r>
      <w:r w:rsidRPr="00256989">
        <w:rPr>
          <w:rFonts w:ascii="Times New Roman" w:eastAsia="Times New Roman" w:hAnsi="Times New Roman" w:cs="Times New Roman"/>
          <w:sz w:val="24"/>
          <w:szCs w:val="24"/>
          <w:lang w:val="fr-FR"/>
        </w:rPr>
        <w:t xml:space="preserve"> test de cointégration et </w:t>
      </w:r>
      <w:r w:rsidR="007C6A2C" w:rsidRPr="00256989">
        <w:rPr>
          <w:rFonts w:ascii="Times New Roman" w:eastAsia="Times New Roman" w:hAnsi="Times New Roman" w:cs="Times New Roman"/>
          <w:sz w:val="24"/>
          <w:szCs w:val="24"/>
          <w:lang w:val="fr-FR"/>
        </w:rPr>
        <w:t xml:space="preserve">du </w:t>
      </w:r>
      <w:r w:rsidRPr="00256989">
        <w:rPr>
          <w:rFonts w:ascii="Times New Roman" w:eastAsia="Times New Roman" w:hAnsi="Times New Roman" w:cs="Times New Roman"/>
          <w:sz w:val="24"/>
          <w:szCs w:val="24"/>
          <w:lang w:val="fr-FR"/>
        </w:rPr>
        <w:t xml:space="preserve">test ARDL. </w:t>
      </w:r>
    </w:p>
    <w:p w14:paraId="19AAC027" w14:textId="6C8B2657" w:rsidR="005E4276" w:rsidRPr="00256989" w:rsidRDefault="006D388F">
      <w:pPr>
        <w:spacing w:line="360" w:lineRule="auto"/>
        <w:jc w:val="both"/>
        <w:rPr>
          <w:rFonts w:ascii="Times New Roman" w:eastAsia="Times New Roman" w:hAnsi="Times New Roman" w:cs="Times New Roman"/>
          <w:b/>
          <w:sz w:val="24"/>
          <w:szCs w:val="24"/>
          <w:lang w:val="fr-FR"/>
        </w:rPr>
      </w:pPr>
      <w:bookmarkStart w:id="7" w:name="_Hlk189836759"/>
      <w:bookmarkEnd w:id="6"/>
      <w:r w:rsidRPr="00256989">
        <w:rPr>
          <w:rFonts w:ascii="Times New Roman" w:eastAsia="Times New Roman" w:hAnsi="Times New Roman" w:cs="Times New Roman"/>
          <w:b/>
          <w:sz w:val="24"/>
          <w:szCs w:val="24"/>
          <w:lang w:val="fr-FR"/>
        </w:rPr>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.2.1 Test de racine unitaire</w:t>
      </w:r>
      <w:r w:rsidR="006E15F1">
        <w:rPr>
          <w:rFonts w:ascii="Times New Roman" w:eastAsia="Times New Roman" w:hAnsi="Times New Roman" w:cs="Times New Roman"/>
          <w:b/>
          <w:sz w:val="24"/>
          <w:szCs w:val="24"/>
          <w:lang w:val="fr-FR"/>
        </w:rPr>
        <w:t xml:space="preserve"> </w:t>
      </w:r>
    </w:p>
    <w:p w14:paraId="469A6558" w14:textId="3F820506" w:rsidR="005E4276"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sz w:val="24"/>
          <w:szCs w:val="24"/>
          <w:lang w:val="fr-FR"/>
        </w:rPr>
        <w:t xml:space="preserve">L’analyse de la stationnarité est devenue de nos jours indispensable dans la pratique économétrique. Ainsi, les travaux empiriques commencent souvent par une analyse de la stationnarité avec l’application de divers tests de racine unitaire dans le but d’éviter des régressions fallacieuses. Il y a deux </w:t>
      </w:r>
      <w:r w:rsidR="006E15F1">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catégories distinctes de tests utilisés pour évaluer la stationnarité des séries temporelles. D'une part, il y a les tests de stationnarité, tels que le test</w:t>
      </w:r>
      <w:r w:rsidR="006E1FE1" w:rsidRPr="00256989">
        <w:rPr>
          <w:rFonts w:ascii="Times New Roman" w:eastAsia="Times New Roman" w:hAnsi="Times New Roman" w:cs="Times New Roman"/>
          <w:sz w:val="24"/>
          <w:szCs w:val="24"/>
          <w:lang w:val="fr-FR"/>
        </w:rPr>
        <w:t xml:space="preserve"> de stationnarité de</w:t>
      </w:r>
      <w:r w:rsidRPr="00256989">
        <w:rPr>
          <w:rFonts w:ascii="Times New Roman" w:eastAsia="Times New Roman" w:hAnsi="Times New Roman" w:cs="Times New Roman"/>
          <w:sz w:val="24"/>
          <w:szCs w:val="24"/>
          <w:lang w:val="fr-FR"/>
        </w:rPr>
        <w:t xml:space="preserve"> Kwiatkowski et al (1992), où l'hypothèse nulle </w:t>
      </w:r>
      <w:r w:rsidR="006E15F1">
        <w:rPr>
          <w:rFonts w:ascii="Times New Roman" w:eastAsia="Times New Roman" w:hAnsi="Times New Roman" w:cs="Times New Roman"/>
          <w:sz w:val="24"/>
          <w:szCs w:val="24"/>
          <w:lang w:val="fr-FR"/>
        </w:rPr>
        <w:t>postule</w:t>
      </w:r>
      <w:r w:rsidR="006E15F1"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que la série est stationnaire. D'autre part, on trouve les tests de racine unitaire, en l’occurrence le test de Dickey et Fuller (1979), le test augmenté de Dickey et Fuller (1981) et le test de Phillips et Perron (1988), où l'hypothèse nulle énonce que la série a été générée par un processus présentant une racine unitaire, indiquant ainsi une non-stationnarité</w:t>
      </w:r>
      <w:r w:rsidRPr="00256989">
        <w:rPr>
          <w:rFonts w:ascii="Quattrocento Sans" w:eastAsia="Quattrocento Sans" w:hAnsi="Quattrocento Sans" w:cs="Quattrocento Sans"/>
          <w:color w:val="374151"/>
          <w:lang w:val="fr-FR"/>
        </w:rPr>
        <w:t>.</w:t>
      </w:r>
    </w:p>
    <w:p w14:paraId="2C2EBE42" w14:textId="6D657FA1"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Dans le cadre de la présente recherche, nous utilis</w:t>
      </w:r>
      <w:r w:rsidR="000F329C">
        <w:rPr>
          <w:rFonts w:ascii="Times New Roman" w:eastAsia="Times New Roman" w:hAnsi="Times New Roman" w:cs="Times New Roman"/>
          <w:sz w:val="24"/>
          <w:szCs w:val="24"/>
          <w:lang w:val="fr-FR"/>
        </w:rPr>
        <w:t>ons le test D</w:t>
      </w:r>
      <w:r w:rsidRPr="00256989">
        <w:rPr>
          <w:rFonts w:ascii="Times New Roman" w:eastAsia="Times New Roman" w:hAnsi="Times New Roman" w:cs="Times New Roman"/>
          <w:sz w:val="24"/>
          <w:szCs w:val="24"/>
          <w:lang w:val="fr-FR"/>
        </w:rPr>
        <w:t>ickey-Fuller augmenté qui est une extension du test de Dickey-Fuller incluant des termes d’ordre supérieur pour prendre en compte des tendances plus complexes ainsi que le test de Phillips-Perron.</w:t>
      </w:r>
      <w:r w:rsidR="00553542" w:rsidRPr="00256989">
        <w:rPr>
          <w:rFonts w:ascii="Times New Roman" w:eastAsia="Times New Roman" w:hAnsi="Times New Roman" w:cs="Times New Roman"/>
          <w:sz w:val="24"/>
          <w:szCs w:val="24"/>
          <w:lang w:val="fr-FR"/>
        </w:rPr>
        <w:t xml:space="preserve"> De plus, le test de Dickey-Fuller augmenté ajoute des retards au modèle testé dans le but de contrôler l’autocorrélation contrairement au test de Dickey-Fuller standard.</w:t>
      </w:r>
      <w:r w:rsidR="005F750C" w:rsidRPr="00256989">
        <w:rPr>
          <w:rFonts w:ascii="Times New Roman" w:eastAsia="Times New Roman" w:hAnsi="Times New Roman" w:cs="Times New Roman"/>
          <w:sz w:val="24"/>
          <w:szCs w:val="24"/>
          <w:lang w:val="fr-FR"/>
        </w:rPr>
        <w:t xml:space="preserve"> Le choix du test de Phillip-Perron </w:t>
      </w:r>
      <w:r w:rsidR="003B70F5" w:rsidRPr="00256989">
        <w:rPr>
          <w:rFonts w:ascii="Times New Roman" w:eastAsia="Times New Roman" w:hAnsi="Times New Roman" w:cs="Times New Roman"/>
          <w:sz w:val="24"/>
          <w:szCs w:val="24"/>
          <w:lang w:val="fr-FR"/>
        </w:rPr>
        <w:t xml:space="preserve">dans cette recherche s’explique </w:t>
      </w:r>
      <w:r w:rsidR="00616422">
        <w:rPr>
          <w:rFonts w:ascii="Times New Roman" w:eastAsia="Times New Roman" w:hAnsi="Times New Roman" w:cs="Times New Roman"/>
          <w:sz w:val="24"/>
          <w:szCs w:val="24"/>
          <w:lang w:val="fr-FR"/>
        </w:rPr>
        <w:t>par</w:t>
      </w:r>
      <w:r w:rsidR="00616422" w:rsidRPr="00256989">
        <w:rPr>
          <w:rFonts w:ascii="Times New Roman" w:eastAsia="Times New Roman" w:hAnsi="Times New Roman" w:cs="Times New Roman"/>
          <w:sz w:val="24"/>
          <w:szCs w:val="24"/>
          <w:lang w:val="fr-FR"/>
        </w:rPr>
        <w:t xml:space="preserve"> </w:t>
      </w:r>
      <w:r w:rsidR="003B70F5" w:rsidRPr="00256989">
        <w:rPr>
          <w:rFonts w:ascii="Times New Roman" w:eastAsia="Times New Roman" w:hAnsi="Times New Roman" w:cs="Times New Roman"/>
          <w:sz w:val="24"/>
          <w:szCs w:val="24"/>
          <w:lang w:val="fr-FR"/>
        </w:rPr>
        <w:t>plusieurs raisons</w:t>
      </w:r>
      <w:r w:rsidR="00616422">
        <w:rPr>
          <w:rFonts w:ascii="Times New Roman" w:eastAsia="Times New Roman" w:hAnsi="Times New Roman" w:cs="Times New Roman"/>
          <w:sz w:val="24"/>
          <w:szCs w:val="24"/>
          <w:lang w:val="fr-FR"/>
        </w:rPr>
        <w:t xml:space="preserve"> </w:t>
      </w:r>
      <w:r w:rsidR="003B70F5" w:rsidRPr="00256989">
        <w:rPr>
          <w:rFonts w:ascii="Times New Roman" w:eastAsia="Times New Roman" w:hAnsi="Times New Roman" w:cs="Times New Roman"/>
          <w:sz w:val="24"/>
          <w:szCs w:val="24"/>
          <w:lang w:val="fr-FR"/>
        </w:rPr>
        <w:t xml:space="preserve">: D’abord, le test de Phillip-Perron a </w:t>
      </w:r>
      <w:r w:rsidR="00616422" w:rsidRPr="00616422">
        <w:rPr>
          <w:rFonts w:ascii="Times New Roman" w:eastAsia="Times New Roman" w:hAnsi="Times New Roman" w:cs="Times New Roman"/>
          <w:sz w:val="24"/>
          <w:szCs w:val="24"/>
          <w:lang w:val="fr-FR"/>
        </w:rPr>
        <w:t>étendu</w:t>
      </w:r>
      <w:r w:rsidR="003B70F5" w:rsidRPr="00256989">
        <w:rPr>
          <w:rFonts w:ascii="Times New Roman" w:eastAsia="Times New Roman" w:hAnsi="Times New Roman" w:cs="Times New Roman"/>
          <w:sz w:val="24"/>
          <w:szCs w:val="24"/>
          <w:lang w:val="fr-FR"/>
        </w:rPr>
        <w:t xml:space="preserve"> la </w:t>
      </w:r>
      <w:r w:rsidR="00616422" w:rsidRPr="00616422">
        <w:rPr>
          <w:rFonts w:ascii="Times New Roman" w:eastAsia="Times New Roman" w:hAnsi="Times New Roman" w:cs="Times New Roman"/>
          <w:sz w:val="24"/>
          <w:szCs w:val="24"/>
          <w:lang w:val="fr-FR"/>
        </w:rPr>
        <w:t>procédure</w:t>
      </w:r>
      <w:r w:rsidR="003B70F5" w:rsidRPr="00256989">
        <w:rPr>
          <w:rFonts w:ascii="Times New Roman" w:eastAsia="Times New Roman" w:hAnsi="Times New Roman" w:cs="Times New Roman"/>
          <w:sz w:val="24"/>
          <w:szCs w:val="24"/>
          <w:lang w:val="fr-FR"/>
        </w:rPr>
        <w:t xml:space="preserve"> de Dickey-Fuller en </w:t>
      </w:r>
      <w:r w:rsidR="00616422" w:rsidRPr="00616422">
        <w:rPr>
          <w:rFonts w:ascii="Times New Roman" w:eastAsia="Times New Roman" w:hAnsi="Times New Roman" w:cs="Times New Roman"/>
          <w:sz w:val="24"/>
          <w:szCs w:val="24"/>
          <w:lang w:val="fr-FR"/>
        </w:rPr>
        <w:t>prenant</w:t>
      </w:r>
      <w:r w:rsidR="003B70F5" w:rsidRPr="00256989">
        <w:rPr>
          <w:rFonts w:ascii="Times New Roman" w:eastAsia="Times New Roman" w:hAnsi="Times New Roman" w:cs="Times New Roman"/>
          <w:sz w:val="24"/>
          <w:szCs w:val="24"/>
          <w:lang w:val="fr-FR"/>
        </w:rPr>
        <w:t xml:space="preserve"> en compte la possibilité de rupture de tendance dans les séries. Ce test suit la même </w:t>
      </w:r>
      <w:r w:rsidR="00616422" w:rsidRPr="00616422">
        <w:rPr>
          <w:rFonts w:ascii="Times New Roman" w:eastAsia="Times New Roman" w:hAnsi="Times New Roman" w:cs="Times New Roman"/>
          <w:sz w:val="24"/>
          <w:szCs w:val="24"/>
          <w:lang w:val="fr-FR"/>
        </w:rPr>
        <w:t>procédure</w:t>
      </w:r>
      <w:r w:rsidR="003B70F5" w:rsidRPr="00256989">
        <w:rPr>
          <w:rFonts w:ascii="Times New Roman" w:eastAsia="Times New Roman" w:hAnsi="Times New Roman" w:cs="Times New Roman"/>
          <w:sz w:val="24"/>
          <w:szCs w:val="24"/>
          <w:lang w:val="fr-FR"/>
        </w:rPr>
        <w:t xml:space="preserve"> que celle du test ADF. Ensuite,</w:t>
      </w:r>
      <w:r w:rsidR="005F750C" w:rsidRPr="00256989">
        <w:rPr>
          <w:rFonts w:ascii="Times New Roman" w:eastAsia="Times New Roman" w:hAnsi="Times New Roman" w:cs="Times New Roman"/>
          <w:sz w:val="24"/>
          <w:szCs w:val="24"/>
          <w:lang w:val="fr-FR"/>
        </w:rPr>
        <w:t xml:space="preserve"> le test de Perron est moins sensible aux variations de la variance dans les données, ce qui le rend adapté pour des </w:t>
      </w:r>
      <w:r w:rsidR="00616422" w:rsidRPr="00616422">
        <w:rPr>
          <w:rFonts w:ascii="Times New Roman" w:eastAsia="Times New Roman" w:hAnsi="Times New Roman" w:cs="Times New Roman"/>
          <w:sz w:val="24"/>
          <w:szCs w:val="24"/>
          <w:lang w:val="fr-FR"/>
        </w:rPr>
        <w:t>séries</w:t>
      </w:r>
      <w:r w:rsidR="005F750C" w:rsidRPr="00256989">
        <w:rPr>
          <w:rFonts w:ascii="Times New Roman" w:eastAsia="Times New Roman" w:hAnsi="Times New Roman" w:cs="Times New Roman"/>
          <w:sz w:val="24"/>
          <w:szCs w:val="24"/>
          <w:lang w:val="fr-FR"/>
        </w:rPr>
        <w:t xml:space="preserve"> temporelles qui présentent des comportements non uniformes. </w:t>
      </w:r>
      <w:r w:rsidR="003B70F5" w:rsidRPr="00256989">
        <w:rPr>
          <w:rFonts w:ascii="Times New Roman" w:eastAsia="Times New Roman" w:hAnsi="Times New Roman" w:cs="Times New Roman"/>
          <w:sz w:val="24"/>
          <w:szCs w:val="24"/>
          <w:lang w:val="fr-FR"/>
        </w:rPr>
        <w:t>Enfin, c</w:t>
      </w:r>
      <w:r w:rsidR="005F750C" w:rsidRPr="00256989">
        <w:rPr>
          <w:rFonts w:ascii="Times New Roman" w:eastAsia="Times New Roman" w:hAnsi="Times New Roman" w:cs="Times New Roman"/>
          <w:sz w:val="24"/>
          <w:szCs w:val="24"/>
          <w:lang w:val="fr-FR"/>
        </w:rPr>
        <w:t>e test tient également compte des</w:t>
      </w:r>
      <w:r w:rsidR="00DD686E" w:rsidRPr="00256989">
        <w:rPr>
          <w:rFonts w:ascii="Times New Roman" w:eastAsia="Times New Roman" w:hAnsi="Times New Roman" w:cs="Times New Roman"/>
          <w:sz w:val="24"/>
          <w:szCs w:val="24"/>
          <w:lang w:val="fr-FR"/>
        </w:rPr>
        <w:t xml:space="preserve"> </w:t>
      </w:r>
      <w:r w:rsidR="00616422" w:rsidRPr="00616422">
        <w:rPr>
          <w:rFonts w:ascii="Times New Roman" w:eastAsia="Times New Roman" w:hAnsi="Times New Roman" w:cs="Times New Roman"/>
          <w:sz w:val="24"/>
          <w:szCs w:val="24"/>
          <w:lang w:val="fr-FR"/>
        </w:rPr>
        <w:t>éventuelles</w:t>
      </w:r>
      <w:r w:rsidR="00DD686E" w:rsidRPr="00256989">
        <w:rPr>
          <w:rFonts w:ascii="Times New Roman" w:eastAsia="Times New Roman" w:hAnsi="Times New Roman" w:cs="Times New Roman"/>
          <w:sz w:val="24"/>
          <w:szCs w:val="24"/>
          <w:lang w:val="fr-FR"/>
        </w:rPr>
        <w:t xml:space="preserve"> corrélations dans les erreurs de la </w:t>
      </w:r>
      <w:r w:rsidR="00616422" w:rsidRPr="00616422">
        <w:rPr>
          <w:rFonts w:ascii="Times New Roman" w:eastAsia="Times New Roman" w:hAnsi="Times New Roman" w:cs="Times New Roman"/>
          <w:sz w:val="24"/>
          <w:szCs w:val="24"/>
          <w:lang w:val="fr-FR"/>
        </w:rPr>
        <w:t>série</w:t>
      </w:r>
      <w:r w:rsidR="00DD686E" w:rsidRPr="00256989">
        <w:rPr>
          <w:rFonts w:ascii="Times New Roman" w:eastAsia="Times New Roman" w:hAnsi="Times New Roman" w:cs="Times New Roman"/>
          <w:sz w:val="24"/>
          <w:szCs w:val="24"/>
          <w:lang w:val="fr-FR"/>
        </w:rPr>
        <w:t xml:space="preserve"> temporelle, ce qui peut améliorer la validité des résultats.</w:t>
      </w:r>
    </w:p>
    <w:p w14:paraId="5E4155FD" w14:textId="77777777" w:rsidR="00E023D1"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Si la probabilité est inférieure à 10 %, alors on rejette H0, et nous concluons que la variable est stationnaire à 10%</w:t>
      </w:r>
      <w:r w:rsidR="00616422">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w:t>
      </w:r>
      <w:r w:rsidR="00616422">
        <w:rPr>
          <w:rFonts w:ascii="Times New Roman" w:eastAsia="Times New Roman" w:hAnsi="Times New Roman" w:cs="Times New Roman"/>
          <w:sz w:val="24"/>
          <w:szCs w:val="24"/>
          <w:lang w:val="fr-FR"/>
        </w:rPr>
        <w:t>O</w:t>
      </w:r>
      <w:r w:rsidRPr="00256989">
        <w:rPr>
          <w:rFonts w:ascii="Times New Roman" w:eastAsia="Times New Roman" w:hAnsi="Times New Roman" w:cs="Times New Roman"/>
          <w:sz w:val="24"/>
          <w:szCs w:val="24"/>
          <w:lang w:val="fr-FR"/>
        </w:rPr>
        <w:t xml:space="preserve">n applique le même raisonnement pour les probabilités de 5% et 1%. </w:t>
      </w:r>
    </w:p>
    <w:p w14:paraId="3BB05C8B" w14:textId="3228512F" w:rsidR="00E023D1" w:rsidRDefault="00E023D1">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 xml:space="preserve">Après les différents tests de stationnarités, les tests ADF </w:t>
      </w:r>
      <w:r>
        <w:rPr>
          <w:rFonts w:ascii="Times New Roman" w:eastAsia="Times New Roman" w:hAnsi="Times New Roman" w:cs="Times New Roman"/>
          <w:sz w:val="24"/>
          <w:szCs w:val="24"/>
          <w:lang w:val="fr-FR"/>
        </w:rPr>
        <w:t xml:space="preserve">ont </w:t>
      </w:r>
      <w:r w:rsidRPr="00256989">
        <w:rPr>
          <w:rFonts w:ascii="Times New Roman" w:eastAsia="Times New Roman" w:hAnsi="Times New Roman" w:cs="Times New Roman"/>
          <w:sz w:val="24"/>
          <w:szCs w:val="24"/>
          <w:lang w:val="fr-FR"/>
        </w:rPr>
        <w:t xml:space="preserve"> démontré que le logarithme de la consommation finale des ménages par habitant, le logarithme du revenu par tête, l’inflation, le taux de chômage et le taux effectif de la TVA, </w:t>
      </w:r>
      <w:r>
        <w:rPr>
          <w:rFonts w:ascii="Times New Roman" w:eastAsia="Times New Roman" w:hAnsi="Times New Roman" w:cs="Times New Roman"/>
          <w:sz w:val="24"/>
          <w:szCs w:val="24"/>
          <w:lang w:val="fr-FR"/>
        </w:rPr>
        <w:t>le logarithme de la population active,</w:t>
      </w:r>
      <w:r w:rsidRPr="00256989">
        <w:rPr>
          <w:rFonts w:ascii="Times New Roman" w:eastAsia="Times New Roman" w:hAnsi="Times New Roman" w:cs="Times New Roman"/>
          <w:sz w:val="24"/>
          <w:szCs w:val="24"/>
          <w:lang w:val="fr-FR"/>
        </w:rPr>
        <w:t xml:space="preserve"> le logarithme des dépenses liées aux produits alimentaires et aux boissons non alcoolisées, le logarithme des dépenses rapportées aux logements, l’eau, l’électricité, gaz  ainsi que le logarithme des dépenses liées aux transports, l’information et la communication sont stationnaires </w:t>
      </w:r>
      <w:r>
        <w:rPr>
          <w:rFonts w:ascii="Times New Roman" w:eastAsia="Times New Roman" w:hAnsi="Times New Roman" w:cs="Times New Roman"/>
          <w:sz w:val="24"/>
          <w:szCs w:val="24"/>
          <w:lang w:val="fr-FR"/>
        </w:rPr>
        <w:t>en</w:t>
      </w:r>
      <w:r w:rsidRPr="00256989">
        <w:rPr>
          <w:rFonts w:ascii="Times New Roman" w:eastAsia="Times New Roman" w:hAnsi="Times New Roman" w:cs="Times New Roman"/>
          <w:sz w:val="24"/>
          <w:szCs w:val="24"/>
          <w:lang w:val="fr-FR"/>
        </w:rPr>
        <w:t xml:space="preserve"> différence première I(1).</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Cependant</w:t>
      </w:r>
      <w:r>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le taux effectif de l’IUTS, et le taux d’intérêt sont stationnaires en niveau I</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(0).</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Par contre le test de PP montre que le logarithme de la consommation finale des ménages par habitant,  le taux de chômage et le taux effectif de la TVA et  de l’IUTS, le logarithme des dépenses liées aux produits alimentaires et aux boissons non alcoolisées, le logarithme des dépenses rapportées aux logements, l’eau, l’électricité, gaz  ainsi que le logarithme des dépenses liées à la santé et l’éducation sont stationnaires </w:t>
      </w:r>
      <w:r>
        <w:rPr>
          <w:rFonts w:ascii="Times New Roman" w:eastAsia="Times New Roman" w:hAnsi="Times New Roman" w:cs="Times New Roman"/>
          <w:sz w:val="24"/>
          <w:szCs w:val="24"/>
          <w:lang w:val="fr-FR"/>
        </w:rPr>
        <w:t>en</w:t>
      </w:r>
      <w:r w:rsidRPr="00256989">
        <w:rPr>
          <w:rFonts w:ascii="Times New Roman" w:eastAsia="Times New Roman" w:hAnsi="Times New Roman" w:cs="Times New Roman"/>
          <w:sz w:val="24"/>
          <w:szCs w:val="24"/>
          <w:lang w:val="fr-FR"/>
        </w:rPr>
        <w:t xml:space="preserve"> première différence I(1)  tandis que le logarithme de l’indice du prix à la consommation, le logarithme de la population totale,</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le taux d’intérêt et l’inflation  ainsi que le logarithme des dépenses liées aux transports, l’information et la communication sont stationnaires en niveau I(0).</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Par conséquent,</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les résultats révèlent que les séries présentent différents niveaux d’intégration, avec certaines variables </w:t>
      </w:r>
      <w:r>
        <w:rPr>
          <w:rFonts w:ascii="Times New Roman" w:eastAsia="Times New Roman" w:hAnsi="Times New Roman" w:cs="Times New Roman"/>
          <w:sz w:val="24"/>
          <w:szCs w:val="24"/>
          <w:lang w:val="fr-FR"/>
        </w:rPr>
        <w:t xml:space="preserve">qui sont </w:t>
      </w:r>
      <w:r w:rsidRPr="00256989">
        <w:rPr>
          <w:rFonts w:ascii="Times New Roman" w:eastAsia="Times New Roman" w:hAnsi="Times New Roman" w:cs="Times New Roman"/>
          <w:sz w:val="24"/>
          <w:szCs w:val="24"/>
          <w:lang w:val="fr-FR"/>
        </w:rPr>
        <w:t>stationnaires en niveau et d’autres le sont après avoir été différenciées. Comme mentionné plus haut, l’approche ARDL permet d’estimer le vecteur de cointégration à la fois I (1) et I (0).  Des tests supplémentaires ont été réalisés pour détecter la présence de cointégration entre les variables.</w:t>
      </w:r>
      <w:r w:rsidR="00C016CC">
        <w:rPr>
          <w:rFonts w:ascii="Times New Roman" w:eastAsia="Times New Roman" w:hAnsi="Times New Roman" w:cs="Times New Roman"/>
          <w:sz w:val="24"/>
          <w:szCs w:val="24"/>
          <w:lang w:val="fr-FR"/>
        </w:rPr>
        <w:t xml:space="preserve"> </w:t>
      </w:r>
      <w:r w:rsidR="006D388F" w:rsidRPr="00256989">
        <w:rPr>
          <w:rFonts w:ascii="Times New Roman" w:eastAsia="Times New Roman" w:hAnsi="Times New Roman" w:cs="Times New Roman"/>
          <w:sz w:val="24"/>
          <w:szCs w:val="24"/>
          <w:lang w:val="fr-FR"/>
        </w:rPr>
        <w:t xml:space="preserve">Les résultats sont consignés dans le tableau </w:t>
      </w:r>
      <w:r w:rsidR="00E66692">
        <w:rPr>
          <w:rFonts w:ascii="Times New Roman" w:eastAsia="Times New Roman" w:hAnsi="Times New Roman" w:cs="Times New Roman"/>
          <w:sz w:val="24"/>
          <w:szCs w:val="24"/>
          <w:lang w:val="fr-FR"/>
        </w:rPr>
        <w:t>2</w:t>
      </w:r>
      <w:r w:rsidR="006D388F" w:rsidRPr="00256989">
        <w:rPr>
          <w:rFonts w:ascii="Times New Roman" w:eastAsia="Times New Roman" w:hAnsi="Times New Roman" w:cs="Times New Roman"/>
          <w:sz w:val="24"/>
          <w:szCs w:val="24"/>
          <w:lang w:val="fr-FR"/>
        </w:rPr>
        <w:t>.</w:t>
      </w:r>
    </w:p>
    <w:p w14:paraId="48353280" w14:textId="77777777" w:rsidR="009E5464" w:rsidRDefault="009E5464">
      <w:pPr>
        <w:spacing w:line="360" w:lineRule="auto"/>
        <w:jc w:val="both"/>
        <w:rPr>
          <w:rFonts w:ascii="Times New Roman" w:eastAsia="Times New Roman" w:hAnsi="Times New Roman" w:cs="Times New Roman"/>
          <w:sz w:val="24"/>
          <w:szCs w:val="24"/>
          <w:lang w:val="fr-FR"/>
        </w:rPr>
      </w:pPr>
    </w:p>
    <w:p w14:paraId="7AAF7B64" w14:textId="77777777" w:rsidR="009E5464" w:rsidRDefault="009E5464">
      <w:pPr>
        <w:spacing w:line="360" w:lineRule="auto"/>
        <w:jc w:val="both"/>
        <w:rPr>
          <w:rFonts w:ascii="Times New Roman" w:eastAsia="Times New Roman" w:hAnsi="Times New Roman" w:cs="Times New Roman"/>
          <w:sz w:val="24"/>
          <w:szCs w:val="24"/>
          <w:lang w:val="fr-FR"/>
        </w:rPr>
      </w:pPr>
    </w:p>
    <w:p w14:paraId="3E989CC7" w14:textId="77777777" w:rsidR="009E5464" w:rsidRDefault="009E5464">
      <w:pPr>
        <w:spacing w:line="360" w:lineRule="auto"/>
        <w:jc w:val="both"/>
        <w:rPr>
          <w:rFonts w:ascii="Times New Roman" w:eastAsia="Times New Roman" w:hAnsi="Times New Roman" w:cs="Times New Roman"/>
          <w:sz w:val="24"/>
          <w:szCs w:val="24"/>
          <w:lang w:val="fr-FR"/>
        </w:rPr>
      </w:pPr>
    </w:p>
    <w:p w14:paraId="02559655" w14:textId="77777777" w:rsidR="009E5464" w:rsidRDefault="009E5464">
      <w:pPr>
        <w:spacing w:line="360" w:lineRule="auto"/>
        <w:jc w:val="both"/>
        <w:rPr>
          <w:rFonts w:ascii="Times New Roman" w:eastAsia="Times New Roman" w:hAnsi="Times New Roman" w:cs="Times New Roman"/>
          <w:sz w:val="24"/>
          <w:szCs w:val="24"/>
          <w:lang w:val="fr-FR"/>
        </w:rPr>
      </w:pPr>
    </w:p>
    <w:p w14:paraId="2814344E" w14:textId="77777777" w:rsidR="009E5464" w:rsidRDefault="009E5464">
      <w:pPr>
        <w:spacing w:line="360" w:lineRule="auto"/>
        <w:jc w:val="both"/>
        <w:rPr>
          <w:rFonts w:ascii="Times New Roman" w:eastAsia="Times New Roman" w:hAnsi="Times New Roman" w:cs="Times New Roman"/>
          <w:sz w:val="24"/>
          <w:szCs w:val="24"/>
          <w:lang w:val="fr-FR"/>
        </w:rPr>
      </w:pPr>
    </w:p>
    <w:p w14:paraId="431144AB" w14:textId="77777777" w:rsidR="009E5464" w:rsidRDefault="009E5464">
      <w:pPr>
        <w:spacing w:line="360" w:lineRule="auto"/>
        <w:jc w:val="both"/>
        <w:rPr>
          <w:rFonts w:ascii="Times New Roman" w:eastAsia="Times New Roman" w:hAnsi="Times New Roman" w:cs="Times New Roman"/>
          <w:sz w:val="24"/>
          <w:szCs w:val="24"/>
          <w:lang w:val="fr-FR"/>
        </w:rPr>
      </w:pPr>
    </w:p>
    <w:p w14:paraId="48290352" w14:textId="77777777" w:rsidR="009E5464" w:rsidRDefault="009E5464">
      <w:pPr>
        <w:spacing w:line="360" w:lineRule="auto"/>
        <w:jc w:val="both"/>
        <w:rPr>
          <w:rFonts w:ascii="Times New Roman" w:eastAsia="Times New Roman" w:hAnsi="Times New Roman" w:cs="Times New Roman"/>
          <w:sz w:val="24"/>
          <w:szCs w:val="24"/>
          <w:lang w:val="fr-FR"/>
        </w:rPr>
      </w:pPr>
    </w:p>
    <w:p w14:paraId="1AC49A78" w14:textId="77777777" w:rsidR="009E5464" w:rsidRDefault="009E5464">
      <w:pPr>
        <w:spacing w:line="360" w:lineRule="auto"/>
        <w:jc w:val="both"/>
        <w:rPr>
          <w:rFonts w:ascii="Times New Roman" w:eastAsia="Times New Roman" w:hAnsi="Times New Roman" w:cs="Times New Roman"/>
          <w:sz w:val="24"/>
          <w:szCs w:val="24"/>
          <w:lang w:val="fr-FR"/>
        </w:rPr>
      </w:pPr>
    </w:p>
    <w:p w14:paraId="311F08FD" w14:textId="19A7212C" w:rsidR="005E4276" w:rsidRPr="00E023D1"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i/>
          <w:sz w:val="24"/>
          <w:szCs w:val="24"/>
          <w:lang w:val="fr-FR"/>
        </w:rPr>
        <w:lastRenderedPageBreak/>
        <w:t>Tableau</w:t>
      </w:r>
      <w:r w:rsidR="00616422">
        <w:rPr>
          <w:rFonts w:ascii="Times New Roman" w:eastAsia="Times New Roman" w:hAnsi="Times New Roman" w:cs="Times New Roman"/>
          <w:i/>
          <w:sz w:val="24"/>
          <w:szCs w:val="24"/>
          <w:lang w:val="fr-FR"/>
        </w:rPr>
        <w:t xml:space="preserve"> </w:t>
      </w:r>
      <w:r w:rsidR="00DA4D22">
        <w:rPr>
          <w:rFonts w:ascii="Times New Roman" w:eastAsia="Times New Roman" w:hAnsi="Times New Roman" w:cs="Times New Roman"/>
          <w:i/>
          <w:sz w:val="24"/>
          <w:szCs w:val="24"/>
          <w:lang w:val="fr-FR"/>
        </w:rPr>
        <w:t>2</w:t>
      </w:r>
      <w:r w:rsidR="00DA4D22" w:rsidRPr="00256989">
        <w:rPr>
          <w:rFonts w:ascii="Times New Roman" w:eastAsia="Times New Roman" w:hAnsi="Times New Roman" w:cs="Times New Roman"/>
          <w:i/>
          <w:sz w:val="24"/>
          <w:szCs w:val="24"/>
          <w:lang w:val="fr-FR"/>
        </w:rPr>
        <w:t xml:space="preserve"> :</w:t>
      </w:r>
      <w:r w:rsidRPr="00256989">
        <w:rPr>
          <w:rFonts w:ascii="Times New Roman" w:eastAsia="Times New Roman" w:hAnsi="Times New Roman" w:cs="Times New Roman"/>
          <w:i/>
          <w:sz w:val="24"/>
          <w:szCs w:val="24"/>
          <w:lang w:val="fr-FR"/>
        </w:rPr>
        <w:t xml:space="preserve"> Test de stationnarité</w:t>
      </w:r>
    </w:p>
    <w:tbl>
      <w:tblPr>
        <w:tblStyle w:val="TableauListe6Couleur"/>
        <w:tblW w:w="9710" w:type="dxa"/>
        <w:tblLayout w:type="fixed"/>
        <w:tblLook w:val="04A0" w:firstRow="1" w:lastRow="0" w:firstColumn="1" w:lastColumn="0" w:noHBand="0" w:noVBand="1"/>
      </w:tblPr>
      <w:tblGrid>
        <w:gridCol w:w="2552"/>
        <w:gridCol w:w="1842"/>
        <w:gridCol w:w="1985"/>
        <w:gridCol w:w="1563"/>
        <w:gridCol w:w="1700"/>
        <w:gridCol w:w="68"/>
      </w:tblGrid>
      <w:tr w:rsidR="005E4276" w:rsidRPr="00F73C85" w14:paraId="7B1D9E5E" w14:textId="77777777" w:rsidTr="0083724B">
        <w:trPr>
          <w:gridAfter w:val="1"/>
          <w:cnfStyle w:val="100000000000" w:firstRow="1" w:lastRow="0" w:firstColumn="0" w:lastColumn="0" w:oddVBand="0" w:evenVBand="0" w:oddHBand="0" w:evenHBand="0" w:firstRowFirstColumn="0" w:firstRowLastColumn="0" w:lastRowFirstColumn="0" w:lastRowLastColumn="0"/>
          <w:wAfter w:w="68" w:type="dxa"/>
          <w:trHeight w:val="227"/>
        </w:trPr>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auto"/>
          </w:tcPr>
          <w:p w14:paraId="0EA8A7EE" w14:textId="77777777" w:rsidR="005E4276" w:rsidRPr="00F73C85" w:rsidRDefault="006D388F">
            <w:pPr>
              <w:spacing w:line="360" w:lineRule="auto"/>
              <w:jc w:val="both"/>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Variables</w:t>
            </w:r>
          </w:p>
        </w:tc>
        <w:tc>
          <w:tcPr>
            <w:tcW w:w="3827" w:type="dxa"/>
            <w:gridSpan w:val="2"/>
            <w:shd w:val="clear" w:color="auto" w:fill="auto"/>
          </w:tcPr>
          <w:p w14:paraId="773F1D04" w14:textId="3242FB20" w:rsidR="005E4276" w:rsidRPr="00F73C85"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Dickey-Fuller augmenté</w:t>
            </w:r>
            <w:r w:rsidR="00616422" w:rsidRPr="00F73C85">
              <w:rPr>
                <w:rFonts w:ascii="Times New Roman" w:eastAsia="Times New Roman" w:hAnsi="Times New Roman" w:cs="Times New Roman"/>
                <w:b w:val="0"/>
                <w:sz w:val="18"/>
                <w:szCs w:val="18"/>
              </w:rPr>
              <w:t xml:space="preserve"> </w:t>
            </w:r>
            <w:r w:rsidRPr="00F73C85">
              <w:rPr>
                <w:rFonts w:ascii="Times New Roman" w:eastAsia="Times New Roman" w:hAnsi="Times New Roman" w:cs="Times New Roman"/>
                <w:b w:val="0"/>
                <w:sz w:val="18"/>
                <w:szCs w:val="18"/>
              </w:rPr>
              <w:t>(ADF)</w:t>
            </w:r>
          </w:p>
          <w:p w14:paraId="4B490E33" w14:textId="77777777" w:rsidR="005E4276" w:rsidRPr="00F73C85" w:rsidRDefault="005E4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p>
        </w:tc>
        <w:tc>
          <w:tcPr>
            <w:tcW w:w="3263" w:type="dxa"/>
            <w:gridSpan w:val="2"/>
            <w:shd w:val="clear" w:color="auto" w:fill="auto"/>
          </w:tcPr>
          <w:p w14:paraId="4CB29C29" w14:textId="72DBB885" w:rsidR="005E4276" w:rsidRPr="00F73C85"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Phillips-Perron</w:t>
            </w:r>
            <w:r w:rsidR="00616422" w:rsidRPr="00F73C85">
              <w:rPr>
                <w:rFonts w:ascii="Times New Roman" w:eastAsia="Times New Roman" w:hAnsi="Times New Roman" w:cs="Times New Roman"/>
                <w:b w:val="0"/>
                <w:sz w:val="18"/>
                <w:szCs w:val="18"/>
              </w:rPr>
              <w:t xml:space="preserve"> </w:t>
            </w:r>
            <w:r w:rsidRPr="00F73C85">
              <w:rPr>
                <w:rFonts w:ascii="Times New Roman" w:eastAsia="Times New Roman" w:hAnsi="Times New Roman" w:cs="Times New Roman"/>
                <w:b w:val="0"/>
                <w:sz w:val="18"/>
                <w:szCs w:val="18"/>
              </w:rPr>
              <w:t>(PP)</w:t>
            </w:r>
          </w:p>
        </w:tc>
      </w:tr>
      <w:tr w:rsidR="005E4276" w:rsidRPr="00F73C85" w14:paraId="025E727E"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auto"/>
          </w:tcPr>
          <w:p w14:paraId="3A51754F" w14:textId="77777777" w:rsidR="005E4276" w:rsidRPr="00F73C85" w:rsidRDefault="005E4276">
            <w:pPr>
              <w:widowControl w:val="0"/>
              <w:pBdr>
                <w:top w:val="nil"/>
                <w:left w:val="nil"/>
                <w:bottom w:val="nil"/>
                <w:right w:val="nil"/>
                <w:between w:val="nil"/>
              </w:pBdr>
              <w:spacing w:line="276" w:lineRule="auto"/>
              <w:rPr>
                <w:rFonts w:ascii="Times New Roman" w:eastAsia="Times New Roman" w:hAnsi="Times New Roman" w:cs="Times New Roman"/>
                <w:b w:val="0"/>
                <w:sz w:val="18"/>
                <w:szCs w:val="18"/>
              </w:rPr>
            </w:pPr>
          </w:p>
        </w:tc>
        <w:tc>
          <w:tcPr>
            <w:tcW w:w="1842" w:type="dxa"/>
            <w:shd w:val="clear" w:color="auto" w:fill="auto"/>
          </w:tcPr>
          <w:p w14:paraId="620E2699" w14:textId="77777777" w:rsidR="005E4276" w:rsidRPr="00F73C85" w:rsidRDefault="006D388F" w:rsidP="0025698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A niveau</w:t>
            </w:r>
          </w:p>
        </w:tc>
        <w:tc>
          <w:tcPr>
            <w:tcW w:w="1985" w:type="dxa"/>
            <w:shd w:val="clear" w:color="auto" w:fill="auto"/>
          </w:tcPr>
          <w:p w14:paraId="53EB9FAF" w14:textId="535132D2" w:rsidR="005E4276" w:rsidRPr="00F73C85" w:rsidRDefault="006D388F" w:rsidP="0025698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Diff</w:t>
            </w:r>
            <w:r w:rsidR="00616422" w:rsidRPr="00F73C85">
              <w:rPr>
                <w:rFonts w:ascii="Times New Roman" w:eastAsia="Times New Roman" w:hAnsi="Times New Roman" w:cs="Times New Roman"/>
                <w:bCs/>
                <w:sz w:val="18"/>
                <w:szCs w:val="18"/>
              </w:rPr>
              <w:t>é</w:t>
            </w:r>
            <w:r w:rsidRPr="00F73C85">
              <w:rPr>
                <w:rFonts w:ascii="Times New Roman" w:eastAsia="Times New Roman" w:hAnsi="Times New Roman" w:cs="Times New Roman"/>
                <w:bCs/>
                <w:sz w:val="18"/>
                <w:szCs w:val="18"/>
              </w:rPr>
              <w:t>rence première</w:t>
            </w:r>
          </w:p>
        </w:tc>
        <w:tc>
          <w:tcPr>
            <w:tcW w:w="1563" w:type="dxa"/>
            <w:shd w:val="clear" w:color="auto" w:fill="auto"/>
          </w:tcPr>
          <w:p w14:paraId="1159F031" w14:textId="77777777" w:rsidR="005E4276" w:rsidRPr="00F73C85" w:rsidRDefault="006D388F" w:rsidP="0025698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A niveau</w:t>
            </w:r>
          </w:p>
        </w:tc>
        <w:tc>
          <w:tcPr>
            <w:tcW w:w="1768" w:type="dxa"/>
            <w:gridSpan w:val="2"/>
            <w:shd w:val="clear" w:color="auto" w:fill="auto"/>
          </w:tcPr>
          <w:p w14:paraId="426045B1" w14:textId="6D177D8D" w:rsidR="005E4276" w:rsidRPr="00F73C85" w:rsidRDefault="006D388F" w:rsidP="0025698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Diff</w:t>
            </w:r>
            <w:r w:rsidR="00616422" w:rsidRPr="00F73C85">
              <w:rPr>
                <w:rFonts w:ascii="Times New Roman" w:eastAsia="Times New Roman" w:hAnsi="Times New Roman" w:cs="Times New Roman"/>
                <w:bCs/>
                <w:sz w:val="18"/>
                <w:szCs w:val="18"/>
              </w:rPr>
              <w:t>é</w:t>
            </w:r>
            <w:r w:rsidRPr="00F73C85">
              <w:rPr>
                <w:rFonts w:ascii="Times New Roman" w:eastAsia="Times New Roman" w:hAnsi="Times New Roman" w:cs="Times New Roman"/>
                <w:bCs/>
                <w:sz w:val="18"/>
                <w:szCs w:val="18"/>
              </w:rPr>
              <w:t>rence première</w:t>
            </w:r>
          </w:p>
        </w:tc>
      </w:tr>
      <w:tr w:rsidR="005E4276" w:rsidRPr="00F73C85" w14:paraId="6A9B6EDD"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7C5B016B" w14:textId="09B448E2"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Log</w:t>
            </w:r>
            <w:r w:rsidR="00DA4D22" w:rsidRPr="00F73C85">
              <w:rPr>
                <w:rFonts w:ascii="Times New Roman" w:eastAsia="Times New Roman" w:hAnsi="Times New Roman" w:cs="Times New Roman"/>
                <w:b w:val="0"/>
                <w:sz w:val="18"/>
                <w:szCs w:val="18"/>
                <w:lang w:val="fr-FR"/>
              </w:rPr>
              <w:t xml:space="preserve"> </w:t>
            </w:r>
            <w:r w:rsidRPr="00F73C85">
              <w:rPr>
                <w:rFonts w:ascii="Times New Roman" w:eastAsia="Times New Roman" w:hAnsi="Times New Roman" w:cs="Times New Roman"/>
                <w:b w:val="0"/>
                <w:sz w:val="18"/>
                <w:szCs w:val="18"/>
                <w:lang w:val="fr-FR"/>
              </w:rPr>
              <w:t>(Dépenses de consommation finale des ménages)</w:t>
            </w:r>
          </w:p>
        </w:tc>
        <w:tc>
          <w:tcPr>
            <w:tcW w:w="1842" w:type="dxa"/>
            <w:shd w:val="clear" w:color="auto" w:fill="auto"/>
          </w:tcPr>
          <w:p w14:paraId="4A52682C"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-1,396818</w:t>
            </w:r>
          </w:p>
          <w:p w14:paraId="56734BF4" w14:textId="77777777" w:rsidR="005E4276" w:rsidRPr="00F73C85" w:rsidRDefault="006D388F" w:rsidP="00F73C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(0,5792)</w:t>
            </w:r>
          </w:p>
          <w:p w14:paraId="2035C608" w14:textId="77777777" w:rsidR="005E4276" w:rsidRPr="00F73C85"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c>
          <w:tcPr>
            <w:tcW w:w="1985" w:type="dxa"/>
            <w:shd w:val="clear" w:color="auto" w:fill="auto"/>
          </w:tcPr>
          <w:p w14:paraId="49FAD415"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-3,149839**</w:t>
            </w:r>
          </w:p>
          <w:p w14:paraId="36A705CB"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(0,0274)</w:t>
            </w:r>
            <w:r w:rsidRPr="00F73C85">
              <w:rPr>
                <w:rFonts w:ascii="Times New Roman" w:eastAsia="Times New Roman" w:hAnsi="Times New Roman" w:cs="Times New Roman"/>
                <w:bCs/>
                <w:sz w:val="18"/>
                <w:szCs w:val="18"/>
                <w:vertAlign w:val="superscript"/>
              </w:rPr>
              <w:t xml:space="preserve"> </w:t>
            </w:r>
          </w:p>
          <w:p w14:paraId="40960042" w14:textId="77777777" w:rsidR="005E4276" w:rsidRPr="00F73C85" w:rsidRDefault="005E42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c>
          <w:tcPr>
            <w:tcW w:w="1563" w:type="dxa"/>
            <w:shd w:val="clear" w:color="auto" w:fill="auto"/>
          </w:tcPr>
          <w:p w14:paraId="5594B0B4"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-1,831304</w:t>
            </w:r>
          </w:p>
          <w:p w14:paraId="444BC33B"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(0,3627)</w:t>
            </w:r>
          </w:p>
          <w:p w14:paraId="298D801B" w14:textId="77777777" w:rsidR="005E4276" w:rsidRPr="00F73C85"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c>
          <w:tcPr>
            <w:tcW w:w="1768" w:type="dxa"/>
            <w:gridSpan w:val="2"/>
            <w:shd w:val="clear" w:color="auto" w:fill="auto"/>
          </w:tcPr>
          <w:p w14:paraId="34786533"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-3,347791**</w:t>
            </w:r>
          </w:p>
          <w:p w14:paraId="09CF23C2"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(0,0163)</w:t>
            </w:r>
          </w:p>
        </w:tc>
      </w:tr>
      <w:tr w:rsidR="005E4276" w:rsidRPr="00F73C85" w14:paraId="2B6F56A3"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7F906A0" w14:textId="27F8AA91" w:rsidR="005E4276" w:rsidRPr="00F73C85" w:rsidRDefault="006D388F">
            <w:pPr>
              <w:spacing w:line="360" w:lineRule="auto"/>
              <w:jc w:val="both"/>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Log</w:t>
            </w:r>
            <w:r w:rsidR="00DA4D22" w:rsidRPr="00F73C85">
              <w:rPr>
                <w:rFonts w:ascii="Times New Roman" w:eastAsia="Times New Roman" w:hAnsi="Times New Roman" w:cs="Times New Roman"/>
                <w:b w:val="0"/>
                <w:sz w:val="18"/>
                <w:szCs w:val="18"/>
              </w:rPr>
              <w:t xml:space="preserve"> </w:t>
            </w:r>
            <w:r w:rsidRPr="00F73C85">
              <w:rPr>
                <w:rFonts w:ascii="Times New Roman" w:eastAsia="Times New Roman" w:hAnsi="Times New Roman" w:cs="Times New Roman"/>
                <w:b w:val="0"/>
                <w:sz w:val="18"/>
                <w:szCs w:val="18"/>
              </w:rPr>
              <w:t>(revenu par tête)</w:t>
            </w:r>
          </w:p>
        </w:tc>
        <w:tc>
          <w:tcPr>
            <w:tcW w:w="1842" w:type="dxa"/>
            <w:shd w:val="clear" w:color="auto" w:fill="auto"/>
          </w:tcPr>
          <w:p w14:paraId="57800902"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-0, 281626</w:t>
            </w:r>
          </w:p>
          <w:p w14:paraId="65E6663E"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(0,8212)</w:t>
            </w:r>
          </w:p>
        </w:tc>
        <w:tc>
          <w:tcPr>
            <w:tcW w:w="1985" w:type="dxa"/>
            <w:shd w:val="clear" w:color="auto" w:fill="auto"/>
          </w:tcPr>
          <w:p w14:paraId="52ED5487"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-2,8448975*</w:t>
            </w:r>
          </w:p>
          <w:p w14:paraId="75D0B07B"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(0,0572)</w:t>
            </w:r>
            <w:r w:rsidRPr="00F73C85">
              <w:rPr>
                <w:rFonts w:ascii="Times New Roman" w:eastAsia="Times New Roman" w:hAnsi="Times New Roman" w:cs="Times New Roman"/>
                <w:bCs/>
                <w:sz w:val="18"/>
                <w:szCs w:val="18"/>
                <w:vertAlign w:val="superscript"/>
              </w:rPr>
              <w:t xml:space="preserve"> </w:t>
            </w:r>
          </w:p>
          <w:p w14:paraId="620F5F09" w14:textId="77777777" w:rsidR="005E4276" w:rsidRPr="00F73C85"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p>
        </w:tc>
        <w:tc>
          <w:tcPr>
            <w:tcW w:w="1563" w:type="dxa"/>
            <w:shd w:val="clear" w:color="auto" w:fill="auto"/>
          </w:tcPr>
          <w:p w14:paraId="02BDBBF5"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-0,575143</w:t>
            </w:r>
          </w:p>
          <w:p w14:paraId="43E057C2" w14:textId="39386D34" w:rsidR="005E4276" w:rsidRPr="00F73C85" w:rsidRDefault="00772C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w:t>
            </w:r>
            <w:r w:rsidR="006D388F" w:rsidRPr="00F73C85">
              <w:rPr>
                <w:rFonts w:ascii="Times New Roman" w:eastAsia="Times New Roman" w:hAnsi="Times New Roman" w:cs="Times New Roman"/>
                <w:bCs/>
                <w:sz w:val="18"/>
                <w:szCs w:val="18"/>
              </w:rPr>
              <w:t>,8689)</w:t>
            </w:r>
            <w:r w:rsidR="006D388F" w:rsidRPr="00F73C85">
              <w:rPr>
                <w:rFonts w:ascii="Times New Roman" w:eastAsia="Times New Roman" w:hAnsi="Times New Roman" w:cs="Times New Roman"/>
                <w:bCs/>
                <w:sz w:val="18"/>
                <w:szCs w:val="18"/>
              </w:rPr>
              <w:br/>
            </w:r>
          </w:p>
        </w:tc>
        <w:tc>
          <w:tcPr>
            <w:tcW w:w="1768" w:type="dxa"/>
            <w:gridSpan w:val="2"/>
            <w:shd w:val="clear" w:color="auto" w:fill="auto"/>
          </w:tcPr>
          <w:p w14:paraId="10937856"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-3,726160**</w:t>
            </w:r>
          </w:p>
          <w:p w14:paraId="047C30F8"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(0,0056)</w:t>
            </w:r>
          </w:p>
        </w:tc>
      </w:tr>
      <w:tr w:rsidR="005E4276" w:rsidRPr="00F73C85" w14:paraId="0B5BC687"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95B7C0F" w14:textId="77777777" w:rsidR="005E4276" w:rsidRPr="00F73C85" w:rsidRDefault="006D388F">
            <w:pPr>
              <w:spacing w:line="360" w:lineRule="auto"/>
              <w:jc w:val="both"/>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Inflation</w:t>
            </w:r>
          </w:p>
        </w:tc>
        <w:tc>
          <w:tcPr>
            <w:tcW w:w="1842" w:type="dxa"/>
            <w:shd w:val="clear" w:color="auto" w:fill="auto"/>
          </w:tcPr>
          <w:p w14:paraId="75B34B46"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-1,666582</w:t>
            </w:r>
          </w:p>
          <w:p w14:paraId="7A5BB7FC" w14:textId="44C23BC8" w:rsidR="005E4276" w:rsidRPr="00F73C85" w:rsidRDefault="00772C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w:t>
            </w:r>
            <w:r w:rsidR="006D388F" w:rsidRPr="00F73C85">
              <w:rPr>
                <w:rFonts w:ascii="Times New Roman" w:eastAsia="Times New Roman" w:hAnsi="Times New Roman" w:cs="Times New Roman"/>
                <w:bCs/>
                <w:sz w:val="18"/>
                <w:szCs w:val="18"/>
              </w:rPr>
              <w:t>,4431)</w:t>
            </w:r>
          </w:p>
        </w:tc>
        <w:tc>
          <w:tcPr>
            <w:tcW w:w="1985" w:type="dxa"/>
            <w:shd w:val="clear" w:color="auto" w:fill="auto"/>
          </w:tcPr>
          <w:p w14:paraId="2BAE2C9E"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-2,862342*</w:t>
            </w:r>
          </w:p>
          <w:p w14:paraId="53F27CCB" w14:textId="6A7C43F7" w:rsidR="005E4276" w:rsidRPr="00F73C85" w:rsidRDefault="00772C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w:t>
            </w:r>
            <w:r w:rsidR="006D388F" w:rsidRPr="00F73C85">
              <w:rPr>
                <w:rFonts w:ascii="Times New Roman" w:eastAsia="Times New Roman" w:hAnsi="Times New Roman" w:cs="Times New Roman"/>
                <w:bCs/>
                <w:sz w:val="18"/>
                <w:szCs w:val="18"/>
              </w:rPr>
              <w:t>,0556)</w:t>
            </w:r>
          </w:p>
        </w:tc>
        <w:tc>
          <w:tcPr>
            <w:tcW w:w="1563" w:type="dxa"/>
            <w:shd w:val="clear" w:color="auto" w:fill="auto"/>
          </w:tcPr>
          <w:p w14:paraId="18AA57F5"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-2,872336*</w:t>
            </w:r>
          </w:p>
          <w:p w14:paraId="59FD0E2C"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(0,0536)</w:t>
            </w:r>
            <w:r w:rsidRPr="00F73C85">
              <w:rPr>
                <w:rFonts w:ascii="Times New Roman" w:eastAsia="Times New Roman" w:hAnsi="Times New Roman" w:cs="Times New Roman"/>
                <w:bCs/>
                <w:sz w:val="18"/>
                <w:szCs w:val="18"/>
              </w:rPr>
              <w:br/>
            </w:r>
          </w:p>
        </w:tc>
        <w:tc>
          <w:tcPr>
            <w:tcW w:w="1768" w:type="dxa"/>
            <w:gridSpan w:val="2"/>
            <w:shd w:val="clear" w:color="auto" w:fill="auto"/>
          </w:tcPr>
          <w:p w14:paraId="5C15825A"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-4,155010**</w:t>
            </w:r>
          </w:p>
          <w:p w14:paraId="4036A4C4"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(0,0015)</w:t>
            </w:r>
            <w:r w:rsidRPr="00F73C85">
              <w:rPr>
                <w:rFonts w:ascii="Times New Roman" w:eastAsia="Times New Roman" w:hAnsi="Times New Roman" w:cs="Times New Roman"/>
                <w:bCs/>
                <w:sz w:val="18"/>
                <w:szCs w:val="18"/>
              </w:rPr>
              <w:br/>
            </w:r>
          </w:p>
        </w:tc>
      </w:tr>
      <w:tr w:rsidR="005E4276" w:rsidRPr="00F73C85" w14:paraId="720095D0"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5ADBDBEB" w14:textId="77777777" w:rsidR="005E4276" w:rsidRPr="00F73C85" w:rsidRDefault="006D388F">
            <w:pPr>
              <w:spacing w:line="360" w:lineRule="auto"/>
              <w:jc w:val="both"/>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Taux d’intérêt</w:t>
            </w:r>
          </w:p>
        </w:tc>
        <w:tc>
          <w:tcPr>
            <w:tcW w:w="1842" w:type="dxa"/>
            <w:shd w:val="clear" w:color="auto" w:fill="auto"/>
          </w:tcPr>
          <w:p w14:paraId="3F90AD06"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-2,644819*</w:t>
            </w:r>
          </w:p>
          <w:p w14:paraId="2C4A932D"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(0,0889)</w:t>
            </w:r>
          </w:p>
        </w:tc>
        <w:tc>
          <w:tcPr>
            <w:tcW w:w="1985" w:type="dxa"/>
            <w:shd w:val="clear" w:color="auto" w:fill="auto"/>
          </w:tcPr>
          <w:p w14:paraId="43FCF093"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-8,324988**</w:t>
            </w:r>
          </w:p>
          <w:p w14:paraId="59A61F54"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 (0,0000)</w:t>
            </w:r>
          </w:p>
        </w:tc>
        <w:tc>
          <w:tcPr>
            <w:tcW w:w="1563" w:type="dxa"/>
            <w:shd w:val="clear" w:color="auto" w:fill="auto"/>
          </w:tcPr>
          <w:p w14:paraId="550CB0E2"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-2,896569*</w:t>
            </w:r>
          </w:p>
          <w:p w14:paraId="62EA9FFF" w14:textId="3C48528B" w:rsidR="005E4276" w:rsidRPr="00F73C85" w:rsidRDefault="00772C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w:t>
            </w:r>
            <w:r w:rsidR="006D388F" w:rsidRPr="00F73C85">
              <w:rPr>
                <w:rFonts w:ascii="Times New Roman" w:eastAsia="Times New Roman" w:hAnsi="Times New Roman" w:cs="Times New Roman"/>
                <w:bCs/>
                <w:sz w:val="18"/>
                <w:szCs w:val="18"/>
              </w:rPr>
              <w:t>,0507)</w:t>
            </w:r>
          </w:p>
        </w:tc>
        <w:tc>
          <w:tcPr>
            <w:tcW w:w="1768" w:type="dxa"/>
            <w:gridSpan w:val="2"/>
            <w:shd w:val="clear" w:color="auto" w:fill="auto"/>
          </w:tcPr>
          <w:p w14:paraId="5E08E7EE"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-8,324988***</w:t>
            </w:r>
          </w:p>
          <w:p w14:paraId="16B67DB0" w14:textId="3D9362FB" w:rsidR="005E4276" w:rsidRPr="00F73C85" w:rsidRDefault="00772C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w:t>
            </w:r>
            <w:r w:rsidR="006D388F" w:rsidRPr="00F73C85">
              <w:rPr>
                <w:rFonts w:ascii="Times New Roman" w:eastAsia="Times New Roman" w:hAnsi="Times New Roman" w:cs="Times New Roman"/>
                <w:bCs/>
                <w:sz w:val="18"/>
                <w:szCs w:val="18"/>
              </w:rPr>
              <w:t>,0000)</w:t>
            </w:r>
          </w:p>
        </w:tc>
      </w:tr>
      <w:tr w:rsidR="005E4276" w:rsidRPr="00F73C85" w14:paraId="57408341"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B803457" w14:textId="138E1F47" w:rsidR="005E4276" w:rsidRPr="00F73C85" w:rsidRDefault="008D0978">
            <w:pPr>
              <w:spacing w:line="360" w:lineRule="auto"/>
              <w:jc w:val="both"/>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Taux de chômage</w:t>
            </w:r>
          </w:p>
        </w:tc>
        <w:tc>
          <w:tcPr>
            <w:tcW w:w="1842" w:type="dxa"/>
            <w:shd w:val="clear" w:color="auto" w:fill="auto"/>
          </w:tcPr>
          <w:p w14:paraId="2064B71D" w14:textId="4E04D9DA" w:rsidR="005E4276" w:rsidRPr="00F73C85" w:rsidRDefault="008D0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-1,12538</w:t>
            </w:r>
          </w:p>
          <w:p w14:paraId="52D18E47" w14:textId="502646D2" w:rsidR="005E4276" w:rsidRPr="00F73C85" w:rsidRDefault="008D0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(0,7012</w:t>
            </w:r>
            <w:r w:rsidR="006D388F" w:rsidRPr="00F73C85">
              <w:rPr>
                <w:rFonts w:ascii="Times New Roman" w:eastAsia="Times New Roman" w:hAnsi="Times New Roman" w:cs="Times New Roman"/>
                <w:bCs/>
                <w:sz w:val="18"/>
                <w:szCs w:val="18"/>
              </w:rPr>
              <w:t>)</w:t>
            </w:r>
          </w:p>
        </w:tc>
        <w:tc>
          <w:tcPr>
            <w:tcW w:w="1985" w:type="dxa"/>
            <w:shd w:val="clear" w:color="auto" w:fill="auto"/>
          </w:tcPr>
          <w:p w14:paraId="4C4C2337" w14:textId="463C1A49" w:rsidR="005E4276" w:rsidRPr="00F73C85" w:rsidRDefault="00FF1F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-10,77566</w:t>
            </w:r>
            <w:r w:rsidR="006D388F" w:rsidRPr="00F73C85">
              <w:rPr>
                <w:rFonts w:ascii="Times New Roman" w:eastAsia="Times New Roman" w:hAnsi="Times New Roman" w:cs="Times New Roman"/>
                <w:bCs/>
                <w:sz w:val="18"/>
                <w:szCs w:val="18"/>
              </w:rPr>
              <w:t>**</w:t>
            </w:r>
          </w:p>
          <w:p w14:paraId="1FEFE4A0" w14:textId="7BA68DFD" w:rsidR="005E4276" w:rsidRPr="00F73C85" w:rsidRDefault="00FF1F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(0,00</w:t>
            </w:r>
            <w:r w:rsidR="00866679" w:rsidRPr="00F73C85">
              <w:rPr>
                <w:rFonts w:ascii="Times New Roman" w:eastAsia="Times New Roman" w:hAnsi="Times New Roman" w:cs="Times New Roman"/>
                <w:bCs/>
                <w:sz w:val="18"/>
                <w:szCs w:val="18"/>
              </w:rPr>
              <w:t>0</w:t>
            </w:r>
            <w:r w:rsidRPr="00F73C85">
              <w:rPr>
                <w:rFonts w:ascii="Times New Roman" w:eastAsia="Times New Roman" w:hAnsi="Times New Roman" w:cs="Times New Roman"/>
                <w:bCs/>
                <w:sz w:val="18"/>
                <w:szCs w:val="18"/>
              </w:rPr>
              <w:t>1</w:t>
            </w:r>
            <w:r w:rsidR="006D388F" w:rsidRPr="00F73C85">
              <w:rPr>
                <w:rFonts w:ascii="Times New Roman" w:eastAsia="Times New Roman" w:hAnsi="Times New Roman" w:cs="Times New Roman"/>
                <w:bCs/>
                <w:sz w:val="18"/>
                <w:szCs w:val="18"/>
              </w:rPr>
              <w:t>)</w:t>
            </w:r>
          </w:p>
        </w:tc>
        <w:tc>
          <w:tcPr>
            <w:tcW w:w="1563" w:type="dxa"/>
            <w:shd w:val="clear" w:color="auto" w:fill="auto"/>
          </w:tcPr>
          <w:p w14:paraId="51229A54" w14:textId="214269C8" w:rsidR="005E4276" w:rsidRPr="00F73C85" w:rsidRDefault="00FF1F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-1,425651</w:t>
            </w:r>
          </w:p>
          <w:p w14:paraId="378757F1" w14:textId="01EE254A" w:rsidR="005E4276" w:rsidRPr="00F73C85" w:rsidRDefault="00FF1F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(0,5649</w:t>
            </w:r>
            <w:r w:rsidR="006D388F" w:rsidRPr="00F73C85">
              <w:rPr>
                <w:rFonts w:ascii="Times New Roman" w:eastAsia="Times New Roman" w:hAnsi="Times New Roman" w:cs="Times New Roman"/>
                <w:bCs/>
                <w:sz w:val="18"/>
                <w:szCs w:val="18"/>
              </w:rPr>
              <w:t>)</w:t>
            </w:r>
          </w:p>
          <w:p w14:paraId="5E4580B5" w14:textId="77777777" w:rsidR="005E4276" w:rsidRPr="00F73C85"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c>
          <w:tcPr>
            <w:tcW w:w="1768" w:type="dxa"/>
            <w:gridSpan w:val="2"/>
            <w:shd w:val="clear" w:color="auto" w:fill="auto"/>
          </w:tcPr>
          <w:p w14:paraId="2B677686" w14:textId="6428F90A" w:rsidR="005E4276" w:rsidRPr="00F73C85" w:rsidRDefault="008666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-10,83873</w:t>
            </w:r>
            <w:r w:rsidRPr="00F73C85">
              <w:rPr>
                <w:rFonts w:ascii="Times New Roman" w:eastAsia="Times New Roman" w:hAnsi="Times New Roman" w:cs="Times New Roman"/>
                <w:bCs/>
                <w:sz w:val="18"/>
                <w:szCs w:val="18"/>
                <w:vertAlign w:val="superscript"/>
              </w:rPr>
              <w:t>**</w:t>
            </w:r>
          </w:p>
          <w:p w14:paraId="3B3AB332" w14:textId="19E8CF75" w:rsidR="005E4276" w:rsidRPr="00F73C85" w:rsidRDefault="008666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(0,0001</w:t>
            </w:r>
            <w:r w:rsidR="006D388F" w:rsidRPr="00F73C85">
              <w:rPr>
                <w:rFonts w:ascii="Times New Roman" w:eastAsia="Times New Roman" w:hAnsi="Times New Roman" w:cs="Times New Roman"/>
                <w:bCs/>
                <w:sz w:val="18"/>
                <w:szCs w:val="18"/>
              </w:rPr>
              <w:t>)</w:t>
            </w:r>
          </w:p>
          <w:p w14:paraId="55F947B3" w14:textId="77777777" w:rsidR="005E4276" w:rsidRPr="00F73C85"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r>
      <w:tr w:rsidR="005E4276" w:rsidRPr="00F73C85" w14:paraId="4C30F85D"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0F83DA9" w14:textId="77777777"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Taux effectif de la taxe sur la valeur ajoutée</w:t>
            </w:r>
          </w:p>
        </w:tc>
        <w:tc>
          <w:tcPr>
            <w:tcW w:w="1842" w:type="dxa"/>
            <w:shd w:val="clear" w:color="auto" w:fill="auto"/>
          </w:tcPr>
          <w:p w14:paraId="2E626F90" w14:textId="00740D75" w:rsidR="005E4276" w:rsidRPr="00F73C85" w:rsidRDefault="004E67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w:t>
            </w:r>
            <w:r w:rsidR="009E56D2" w:rsidRPr="00F73C85">
              <w:rPr>
                <w:rFonts w:ascii="Times New Roman" w:eastAsia="Times New Roman" w:hAnsi="Times New Roman" w:cs="Times New Roman"/>
                <w:bCs/>
                <w:sz w:val="18"/>
                <w:szCs w:val="18"/>
              </w:rPr>
              <w:t>1,862488</w:t>
            </w:r>
          </w:p>
          <w:p w14:paraId="115EA1C2" w14:textId="386BFFC6" w:rsidR="005E4276" w:rsidRPr="00F73C85" w:rsidRDefault="002F4D7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(0,3479</w:t>
            </w:r>
            <w:r w:rsidR="006D388F" w:rsidRPr="00F73C85">
              <w:rPr>
                <w:rFonts w:ascii="Times New Roman" w:eastAsia="Times New Roman" w:hAnsi="Times New Roman" w:cs="Times New Roman"/>
                <w:bCs/>
                <w:sz w:val="18"/>
                <w:szCs w:val="18"/>
              </w:rPr>
              <w:t>)</w:t>
            </w:r>
          </w:p>
        </w:tc>
        <w:tc>
          <w:tcPr>
            <w:tcW w:w="1985" w:type="dxa"/>
            <w:shd w:val="clear" w:color="auto" w:fill="auto"/>
          </w:tcPr>
          <w:p w14:paraId="76705D06" w14:textId="6C73CD0C" w:rsidR="005E4276" w:rsidRPr="00F73C85" w:rsidRDefault="009278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w:t>
            </w:r>
            <w:r w:rsidR="009E56D2" w:rsidRPr="00F73C85">
              <w:rPr>
                <w:rFonts w:ascii="Times New Roman" w:eastAsia="Times New Roman" w:hAnsi="Times New Roman" w:cs="Times New Roman"/>
                <w:bCs/>
                <w:sz w:val="18"/>
                <w:szCs w:val="18"/>
              </w:rPr>
              <w:t>8,344095</w:t>
            </w:r>
            <w:r w:rsidR="006D388F" w:rsidRPr="00F73C85">
              <w:rPr>
                <w:rFonts w:ascii="Times New Roman" w:eastAsia="Times New Roman" w:hAnsi="Times New Roman" w:cs="Times New Roman"/>
                <w:bCs/>
                <w:sz w:val="18"/>
                <w:szCs w:val="18"/>
              </w:rPr>
              <w:t>***</w:t>
            </w:r>
          </w:p>
          <w:p w14:paraId="4FADAF4E" w14:textId="77777777" w:rsidR="005E4276" w:rsidRPr="00F73C85"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(0,0000)</w:t>
            </w:r>
            <w:r w:rsidRPr="00F73C85">
              <w:rPr>
                <w:rFonts w:ascii="Times New Roman" w:eastAsia="Times New Roman" w:hAnsi="Times New Roman" w:cs="Times New Roman"/>
                <w:bCs/>
                <w:sz w:val="18"/>
                <w:szCs w:val="18"/>
                <w:vertAlign w:val="superscript"/>
              </w:rPr>
              <w:t xml:space="preserve"> </w:t>
            </w:r>
          </w:p>
          <w:p w14:paraId="552B348D" w14:textId="77777777" w:rsidR="005E4276" w:rsidRPr="00F73C85"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p>
        </w:tc>
        <w:tc>
          <w:tcPr>
            <w:tcW w:w="1563" w:type="dxa"/>
            <w:shd w:val="clear" w:color="auto" w:fill="auto"/>
          </w:tcPr>
          <w:p w14:paraId="758BF0AB" w14:textId="1728C9F8" w:rsidR="005E4276" w:rsidRPr="00F73C85" w:rsidRDefault="003569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-1,853826</w:t>
            </w:r>
          </w:p>
          <w:p w14:paraId="149CBC19" w14:textId="484D9532" w:rsidR="005E4276" w:rsidRPr="00F73C85" w:rsidRDefault="006E2BE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 (0,3519</w:t>
            </w:r>
            <w:r w:rsidR="006D388F" w:rsidRPr="00F73C85">
              <w:rPr>
                <w:rFonts w:ascii="Times New Roman" w:eastAsia="Times New Roman" w:hAnsi="Times New Roman" w:cs="Times New Roman"/>
                <w:bCs/>
                <w:sz w:val="18"/>
                <w:szCs w:val="18"/>
              </w:rPr>
              <w:t>)</w:t>
            </w:r>
          </w:p>
        </w:tc>
        <w:tc>
          <w:tcPr>
            <w:tcW w:w="1768" w:type="dxa"/>
            <w:gridSpan w:val="2"/>
            <w:shd w:val="clear" w:color="auto" w:fill="auto"/>
          </w:tcPr>
          <w:p w14:paraId="5BE8B4D1" w14:textId="5C4C61A0" w:rsidR="005E4276" w:rsidRPr="00F73C85" w:rsidRDefault="002823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-8,345463</w:t>
            </w:r>
            <w:r w:rsidR="0035697D" w:rsidRPr="00F73C85">
              <w:rPr>
                <w:rFonts w:ascii="Times New Roman" w:eastAsia="Times New Roman" w:hAnsi="Times New Roman" w:cs="Times New Roman"/>
                <w:bCs/>
                <w:sz w:val="18"/>
                <w:szCs w:val="18"/>
              </w:rPr>
              <w:t>***</w:t>
            </w:r>
          </w:p>
          <w:p w14:paraId="096D9670" w14:textId="1130EE34" w:rsidR="005E4276" w:rsidRPr="00F73C85" w:rsidRDefault="003569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(0,0000</w:t>
            </w:r>
            <w:r w:rsidR="006D388F" w:rsidRPr="00F73C85">
              <w:rPr>
                <w:rFonts w:ascii="Times New Roman" w:eastAsia="Times New Roman" w:hAnsi="Times New Roman" w:cs="Times New Roman"/>
                <w:bCs/>
                <w:sz w:val="18"/>
                <w:szCs w:val="18"/>
              </w:rPr>
              <w:t>)</w:t>
            </w:r>
          </w:p>
        </w:tc>
      </w:tr>
      <w:tr w:rsidR="005E4276" w:rsidRPr="00F73C85" w14:paraId="090379D6"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0DB4F209" w14:textId="77777777"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Taux effectif de l’impôt unique et traitements des salaires</w:t>
            </w:r>
          </w:p>
        </w:tc>
        <w:tc>
          <w:tcPr>
            <w:tcW w:w="1842" w:type="dxa"/>
            <w:shd w:val="clear" w:color="auto" w:fill="auto"/>
          </w:tcPr>
          <w:p w14:paraId="71B60C79" w14:textId="6C6C5653" w:rsidR="005E4276" w:rsidRPr="00F73C85" w:rsidRDefault="00E25CE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-0,176303</w:t>
            </w:r>
          </w:p>
          <w:p w14:paraId="7009698D" w14:textId="0E2EAF72" w:rsidR="005E4276" w:rsidRPr="00F73C85" w:rsidRDefault="00E25CE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 (0,</w:t>
            </w:r>
            <w:r w:rsidR="00166CC9" w:rsidRPr="00F73C85">
              <w:rPr>
                <w:rFonts w:ascii="Times New Roman" w:eastAsia="Times New Roman" w:hAnsi="Times New Roman" w:cs="Times New Roman"/>
                <w:bCs/>
                <w:sz w:val="18"/>
                <w:szCs w:val="18"/>
              </w:rPr>
              <w:t>9358)</w:t>
            </w:r>
            <w:r w:rsidR="00166CC9" w:rsidRPr="00F73C85">
              <w:rPr>
                <w:rFonts w:ascii="Times New Roman" w:eastAsia="Times New Roman" w:hAnsi="Times New Roman" w:cs="Times New Roman"/>
                <w:bCs/>
                <w:sz w:val="18"/>
                <w:szCs w:val="18"/>
                <w:vertAlign w:val="superscript"/>
              </w:rPr>
              <w:t xml:space="preserve"> *</w:t>
            </w:r>
            <w:r w:rsidR="006D388F" w:rsidRPr="00F73C85">
              <w:rPr>
                <w:rFonts w:ascii="Times New Roman" w:eastAsia="Times New Roman" w:hAnsi="Times New Roman" w:cs="Times New Roman"/>
                <w:bCs/>
                <w:sz w:val="18"/>
                <w:szCs w:val="18"/>
                <w:vertAlign w:val="superscript"/>
              </w:rPr>
              <w:t>*</w:t>
            </w:r>
          </w:p>
        </w:tc>
        <w:tc>
          <w:tcPr>
            <w:tcW w:w="1985" w:type="dxa"/>
            <w:shd w:val="clear" w:color="auto" w:fill="auto"/>
          </w:tcPr>
          <w:p w14:paraId="34234022" w14:textId="22BB6A70" w:rsidR="005E4276" w:rsidRPr="00F73C85" w:rsidRDefault="00E25CE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-8,6</w:t>
            </w:r>
            <w:r w:rsidR="009E56D2" w:rsidRPr="00F73C85">
              <w:rPr>
                <w:rFonts w:ascii="Times New Roman" w:eastAsia="Times New Roman" w:hAnsi="Times New Roman" w:cs="Times New Roman"/>
                <w:bCs/>
                <w:sz w:val="18"/>
                <w:szCs w:val="18"/>
              </w:rPr>
              <w:t>61417</w:t>
            </w:r>
            <w:r w:rsidR="006D388F" w:rsidRPr="00F73C85">
              <w:rPr>
                <w:rFonts w:ascii="Times New Roman" w:eastAsia="Times New Roman" w:hAnsi="Times New Roman" w:cs="Times New Roman"/>
                <w:bCs/>
                <w:sz w:val="18"/>
                <w:szCs w:val="18"/>
              </w:rPr>
              <w:t>***</w:t>
            </w:r>
          </w:p>
          <w:p w14:paraId="47602035" w14:textId="77777777" w:rsidR="005E4276" w:rsidRPr="00F73C85"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 (0,0000)</w:t>
            </w:r>
          </w:p>
        </w:tc>
        <w:tc>
          <w:tcPr>
            <w:tcW w:w="1563" w:type="dxa"/>
            <w:shd w:val="clear" w:color="auto" w:fill="auto"/>
          </w:tcPr>
          <w:p w14:paraId="4DC07283" w14:textId="75BDC385" w:rsidR="005E4276" w:rsidRPr="00F73C85" w:rsidRDefault="00042A4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0,014396</w:t>
            </w:r>
          </w:p>
          <w:p w14:paraId="6AF5DC96" w14:textId="18D59DBE" w:rsidR="005E4276" w:rsidRPr="00F73C85" w:rsidRDefault="00042A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(0,9563</w:t>
            </w:r>
            <w:r w:rsidR="006D388F" w:rsidRPr="00F73C85">
              <w:rPr>
                <w:rFonts w:ascii="Times New Roman" w:eastAsia="Times New Roman" w:hAnsi="Times New Roman" w:cs="Times New Roman"/>
                <w:bCs/>
                <w:sz w:val="18"/>
                <w:szCs w:val="18"/>
              </w:rPr>
              <w:t>)</w:t>
            </w:r>
          </w:p>
        </w:tc>
        <w:tc>
          <w:tcPr>
            <w:tcW w:w="1768" w:type="dxa"/>
            <w:gridSpan w:val="2"/>
            <w:shd w:val="clear" w:color="auto" w:fill="auto"/>
          </w:tcPr>
          <w:p w14:paraId="751C4DE4" w14:textId="25E882EA" w:rsidR="005E4276" w:rsidRPr="00F73C85" w:rsidRDefault="00042A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-8,</w:t>
            </w:r>
            <w:r w:rsidR="00062B6E" w:rsidRPr="00F73C85">
              <w:rPr>
                <w:rFonts w:ascii="Times New Roman" w:eastAsia="Times New Roman" w:hAnsi="Times New Roman" w:cs="Times New Roman"/>
                <w:bCs/>
                <w:sz w:val="18"/>
                <w:szCs w:val="18"/>
              </w:rPr>
              <w:t>676303</w:t>
            </w:r>
            <w:r w:rsidR="006D388F" w:rsidRPr="00F73C85">
              <w:rPr>
                <w:rFonts w:ascii="Times New Roman" w:eastAsia="Times New Roman" w:hAnsi="Times New Roman" w:cs="Times New Roman"/>
                <w:bCs/>
                <w:sz w:val="18"/>
                <w:szCs w:val="18"/>
              </w:rPr>
              <w:t>*</w:t>
            </w:r>
            <w:r w:rsidR="00062B6E" w:rsidRPr="00F73C85">
              <w:rPr>
                <w:rFonts w:ascii="Times New Roman" w:eastAsia="Times New Roman" w:hAnsi="Times New Roman" w:cs="Times New Roman"/>
                <w:bCs/>
                <w:sz w:val="18"/>
                <w:szCs w:val="18"/>
              </w:rPr>
              <w:t>**</w:t>
            </w:r>
          </w:p>
          <w:p w14:paraId="59E51724" w14:textId="77777777" w:rsidR="005E4276" w:rsidRPr="00F73C85" w:rsidRDefault="006D38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 (0,0522)</w:t>
            </w:r>
            <w:r w:rsidRPr="00F73C85">
              <w:rPr>
                <w:rFonts w:ascii="Times New Roman" w:eastAsia="Times New Roman" w:hAnsi="Times New Roman" w:cs="Times New Roman"/>
                <w:bCs/>
                <w:sz w:val="18"/>
                <w:szCs w:val="18"/>
                <w:vertAlign w:val="superscript"/>
              </w:rPr>
              <w:t xml:space="preserve"> </w:t>
            </w:r>
          </w:p>
          <w:p w14:paraId="44B5AEE6" w14:textId="77777777" w:rsidR="005E4276" w:rsidRPr="00F73C85"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r>
      <w:tr w:rsidR="005E4276" w:rsidRPr="00F73C85" w14:paraId="484A83E4"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565B6C5" w14:textId="5784EF4E"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Log(Produits alimentaires et boissons non alcoolisées)</w:t>
            </w:r>
          </w:p>
        </w:tc>
        <w:tc>
          <w:tcPr>
            <w:tcW w:w="1842" w:type="dxa"/>
            <w:shd w:val="clear" w:color="auto" w:fill="auto"/>
          </w:tcPr>
          <w:p w14:paraId="0A218DF8"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-0,893</w:t>
            </w:r>
          </w:p>
          <w:p w14:paraId="445013DF"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(0,1907)</w:t>
            </w:r>
          </w:p>
        </w:tc>
        <w:tc>
          <w:tcPr>
            <w:tcW w:w="1985" w:type="dxa"/>
            <w:shd w:val="clear" w:color="auto" w:fill="auto"/>
          </w:tcPr>
          <w:p w14:paraId="4F17355E"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-2,572**</w:t>
            </w:r>
          </w:p>
          <w:p w14:paraId="48672B71"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(0,0091)</w:t>
            </w:r>
          </w:p>
        </w:tc>
        <w:tc>
          <w:tcPr>
            <w:tcW w:w="1563" w:type="dxa"/>
            <w:shd w:val="clear" w:color="auto" w:fill="auto"/>
          </w:tcPr>
          <w:p w14:paraId="38FA7527"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0,270972</w:t>
            </w:r>
          </w:p>
          <w:p w14:paraId="7B6D309B"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(0,7562)</w:t>
            </w:r>
          </w:p>
        </w:tc>
        <w:tc>
          <w:tcPr>
            <w:tcW w:w="1768" w:type="dxa"/>
            <w:gridSpan w:val="2"/>
            <w:shd w:val="clear" w:color="auto" w:fill="auto"/>
          </w:tcPr>
          <w:p w14:paraId="26EEA98A"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-1,947470*</w:t>
            </w:r>
          </w:p>
          <w:p w14:paraId="2CEAD718"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(0,0509)</w:t>
            </w:r>
          </w:p>
        </w:tc>
      </w:tr>
      <w:tr w:rsidR="002A0CC9" w:rsidRPr="00F73C85" w14:paraId="4CE1DD20"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8DB94A8" w14:textId="141D1657" w:rsidR="002A0CC9" w:rsidRPr="00F73C85" w:rsidRDefault="002A0CC9">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Log Population totale</w:t>
            </w:r>
          </w:p>
        </w:tc>
        <w:tc>
          <w:tcPr>
            <w:tcW w:w="1842" w:type="dxa"/>
            <w:shd w:val="clear" w:color="auto" w:fill="auto"/>
          </w:tcPr>
          <w:p w14:paraId="489C6503" w14:textId="77777777" w:rsidR="002A0CC9" w:rsidRPr="00F73C85" w:rsidRDefault="00B960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-1,459056</w:t>
            </w:r>
          </w:p>
          <w:p w14:paraId="4AE2CE04" w14:textId="0F7782E3" w:rsidR="00B9601B" w:rsidRPr="00F73C85" w:rsidRDefault="00B9601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(0,54</w:t>
            </w:r>
            <w:r w:rsidR="003228A6" w:rsidRPr="00F73C85">
              <w:rPr>
                <w:rFonts w:ascii="Times New Roman" w:eastAsia="Times New Roman" w:hAnsi="Times New Roman" w:cs="Times New Roman"/>
                <w:bCs/>
                <w:sz w:val="18"/>
                <w:szCs w:val="18"/>
              </w:rPr>
              <w:t>82</w:t>
            </w:r>
          </w:p>
        </w:tc>
        <w:tc>
          <w:tcPr>
            <w:tcW w:w="1985" w:type="dxa"/>
            <w:shd w:val="clear" w:color="auto" w:fill="auto"/>
          </w:tcPr>
          <w:p w14:paraId="3B5564C2" w14:textId="577F09D5" w:rsidR="002A0CC9" w:rsidRPr="00F73C85" w:rsidRDefault="003228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-13,999</w:t>
            </w:r>
            <w:r w:rsidR="00915351" w:rsidRPr="00F73C85">
              <w:rPr>
                <w:rFonts w:ascii="Times New Roman" w:eastAsia="Times New Roman" w:hAnsi="Times New Roman" w:cs="Times New Roman"/>
                <w:bCs/>
                <w:sz w:val="18"/>
                <w:szCs w:val="18"/>
                <w:vertAlign w:val="superscript"/>
              </w:rPr>
              <w:t>**</w:t>
            </w:r>
          </w:p>
          <w:p w14:paraId="6BEF83CB" w14:textId="1D724BDE" w:rsidR="003228A6" w:rsidRPr="00F73C85" w:rsidRDefault="003228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(0,0001)</w:t>
            </w:r>
          </w:p>
          <w:p w14:paraId="7A065940" w14:textId="3C73A388" w:rsidR="003228A6" w:rsidRPr="00F73C85" w:rsidRDefault="003228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c>
          <w:tcPr>
            <w:tcW w:w="1563" w:type="dxa"/>
            <w:shd w:val="clear" w:color="auto" w:fill="auto"/>
          </w:tcPr>
          <w:p w14:paraId="7EDB48C1" w14:textId="0C03D6B9" w:rsidR="002A0CC9" w:rsidRPr="00F73C85" w:rsidRDefault="0091535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-2,595494</w:t>
            </w:r>
            <w:r w:rsidRPr="00F73C85">
              <w:rPr>
                <w:rFonts w:ascii="Times New Roman" w:eastAsia="Times New Roman" w:hAnsi="Times New Roman" w:cs="Times New Roman"/>
                <w:bCs/>
                <w:sz w:val="18"/>
                <w:szCs w:val="18"/>
                <w:vertAlign w:val="superscript"/>
              </w:rPr>
              <w:t>*</w:t>
            </w:r>
          </w:p>
          <w:p w14:paraId="609AD85F" w14:textId="4BE65C9A" w:rsidR="00915351" w:rsidRPr="00F73C85" w:rsidRDefault="0091535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(0,0988)</w:t>
            </w:r>
          </w:p>
        </w:tc>
        <w:tc>
          <w:tcPr>
            <w:tcW w:w="1768" w:type="dxa"/>
            <w:gridSpan w:val="2"/>
            <w:shd w:val="clear" w:color="auto" w:fill="auto"/>
          </w:tcPr>
          <w:p w14:paraId="2F6B928C" w14:textId="77777777" w:rsidR="002A0CC9" w:rsidRPr="00F73C85" w:rsidRDefault="002A0C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p>
        </w:tc>
      </w:tr>
      <w:tr w:rsidR="005E4276" w:rsidRPr="00F73C85" w14:paraId="47B2FDDA"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DB2A94D" w14:textId="77777777"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Log(Boissons alcoolisées, tabacs et stupéfiants)</w:t>
            </w:r>
          </w:p>
        </w:tc>
        <w:tc>
          <w:tcPr>
            <w:tcW w:w="1842" w:type="dxa"/>
            <w:shd w:val="clear" w:color="auto" w:fill="auto"/>
          </w:tcPr>
          <w:p w14:paraId="7A15E941"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-1,377*</w:t>
            </w:r>
          </w:p>
          <w:p w14:paraId="35A24D3D"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(0,0911)</w:t>
            </w:r>
          </w:p>
        </w:tc>
        <w:tc>
          <w:tcPr>
            <w:tcW w:w="1985" w:type="dxa"/>
            <w:shd w:val="clear" w:color="auto" w:fill="auto"/>
          </w:tcPr>
          <w:p w14:paraId="2E79E2EB"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-2,529**</w:t>
            </w:r>
          </w:p>
          <w:p w14:paraId="15032F56"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 xml:space="preserve">(0,0100) </w:t>
            </w:r>
          </w:p>
        </w:tc>
        <w:tc>
          <w:tcPr>
            <w:tcW w:w="1563" w:type="dxa"/>
            <w:shd w:val="clear" w:color="auto" w:fill="auto"/>
          </w:tcPr>
          <w:p w14:paraId="363BA12D"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-0,335194</w:t>
            </w:r>
          </w:p>
          <w:p w14:paraId="28A31843"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(0,5537)</w:t>
            </w:r>
          </w:p>
        </w:tc>
        <w:tc>
          <w:tcPr>
            <w:tcW w:w="1768" w:type="dxa"/>
            <w:gridSpan w:val="2"/>
            <w:shd w:val="clear" w:color="auto" w:fill="auto"/>
          </w:tcPr>
          <w:p w14:paraId="13E67ECF"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-2,470940**</w:t>
            </w:r>
          </w:p>
          <w:p w14:paraId="0C9B9515"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(0,0160)</w:t>
            </w:r>
          </w:p>
        </w:tc>
      </w:tr>
      <w:tr w:rsidR="005E4276" w:rsidRPr="00F73C85" w14:paraId="13AC6388"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8C16904" w14:textId="77777777"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Log(Logement, eau, électricité, gaz et autres combustibles)</w:t>
            </w:r>
          </w:p>
        </w:tc>
        <w:tc>
          <w:tcPr>
            <w:tcW w:w="1842" w:type="dxa"/>
            <w:shd w:val="clear" w:color="auto" w:fill="auto"/>
          </w:tcPr>
          <w:p w14:paraId="6EE6899B"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 xml:space="preserve">-0,934     </w:t>
            </w:r>
          </w:p>
          <w:p w14:paraId="1D39E045"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(0,1801)</w:t>
            </w:r>
          </w:p>
        </w:tc>
        <w:tc>
          <w:tcPr>
            <w:tcW w:w="1985" w:type="dxa"/>
            <w:shd w:val="clear" w:color="auto" w:fill="auto"/>
          </w:tcPr>
          <w:p w14:paraId="505D6C57"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-2,565 **</w:t>
            </w:r>
          </w:p>
          <w:p w14:paraId="2B122511"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(0,0092)</w:t>
            </w:r>
          </w:p>
        </w:tc>
        <w:tc>
          <w:tcPr>
            <w:tcW w:w="1563" w:type="dxa"/>
            <w:shd w:val="clear" w:color="auto" w:fill="auto"/>
          </w:tcPr>
          <w:p w14:paraId="7224C062" w14:textId="77777777" w:rsidR="005E4276" w:rsidRPr="00F73C85" w:rsidRDefault="006D38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-1,720128</w:t>
            </w:r>
          </w:p>
          <w:p w14:paraId="06F56D2F" w14:textId="77777777" w:rsidR="005E4276" w:rsidRPr="00F73C85" w:rsidRDefault="006D38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(0,7106)</w:t>
            </w:r>
          </w:p>
        </w:tc>
        <w:tc>
          <w:tcPr>
            <w:tcW w:w="1768" w:type="dxa"/>
            <w:gridSpan w:val="2"/>
            <w:shd w:val="clear" w:color="auto" w:fill="auto"/>
          </w:tcPr>
          <w:p w14:paraId="106A680A"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-4,52999**</w:t>
            </w:r>
          </w:p>
          <w:p w14:paraId="5D25F171"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(0,0083)</w:t>
            </w:r>
          </w:p>
        </w:tc>
      </w:tr>
      <w:tr w:rsidR="005E4276" w:rsidRPr="00F73C85" w14:paraId="53E798A6" w14:textId="77777777" w:rsidTr="008372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577305F6" w14:textId="77777777" w:rsidR="005E4276" w:rsidRPr="00F73C85" w:rsidRDefault="006D388F">
            <w:pPr>
              <w:spacing w:line="360" w:lineRule="auto"/>
              <w:jc w:val="both"/>
              <w:rPr>
                <w:rFonts w:ascii="Times New Roman" w:eastAsia="Times New Roman" w:hAnsi="Times New Roman" w:cs="Times New Roman"/>
                <w:b w:val="0"/>
                <w:sz w:val="18"/>
                <w:szCs w:val="18"/>
              </w:rPr>
            </w:pPr>
            <w:r w:rsidRPr="00F73C85">
              <w:rPr>
                <w:rFonts w:ascii="Times New Roman" w:eastAsia="Times New Roman" w:hAnsi="Times New Roman" w:cs="Times New Roman"/>
                <w:b w:val="0"/>
                <w:sz w:val="18"/>
                <w:szCs w:val="18"/>
              </w:rPr>
              <w:t>Log(Santé et Education)</w:t>
            </w:r>
          </w:p>
        </w:tc>
        <w:tc>
          <w:tcPr>
            <w:tcW w:w="1842" w:type="dxa"/>
            <w:shd w:val="clear" w:color="auto" w:fill="auto"/>
          </w:tcPr>
          <w:p w14:paraId="72B898FD"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 xml:space="preserve">-0,588  </w:t>
            </w:r>
          </w:p>
          <w:p w14:paraId="2ED20DF5"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(0,2813)</w:t>
            </w:r>
          </w:p>
        </w:tc>
        <w:tc>
          <w:tcPr>
            <w:tcW w:w="1985" w:type="dxa"/>
            <w:shd w:val="clear" w:color="auto" w:fill="auto"/>
          </w:tcPr>
          <w:p w14:paraId="4B6E4725"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-2,185**</w:t>
            </w:r>
          </w:p>
          <w:p w14:paraId="60AC39CB"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vertAlign w:val="superscript"/>
              </w:rPr>
            </w:pPr>
            <w:r w:rsidRPr="00F73C85">
              <w:rPr>
                <w:rFonts w:ascii="Times New Roman" w:eastAsia="Times New Roman" w:hAnsi="Times New Roman" w:cs="Times New Roman"/>
                <w:bCs/>
                <w:sz w:val="18"/>
                <w:szCs w:val="18"/>
              </w:rPr>
              <w:t>(0,0205)</w:t>
            </w:r>
          </w:p>
        </w:tc>
        <w:tc>
          <w:tcPr>
            <w:tcW w:w="1563" w:type="dxa"/>
            <w:shd w:val="clear" w:color="auto" w:fill="auto"/>
          </w:tcPr>
          <w:p w14:paraId="4A321B67"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-1,422941</w:t>
            </w:r>
          </w:p>
          <w:p w14:paraId="7F522584" w14:textId="77777777" w:rsidR="005E4276" w:rsidRPr="00F73C8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(0,8274)</w:t>
            </w:r>
          </w:p>
        </w:tc>
        <w:tc>
          <w:tcPr>
            <w:tcW w:w="1768" w:type="dxa"/>
            <w:gridSpan w:val="2"/>
            <w:shd w:val="clear" w:color="auto" w:fill="auto"/>
          </w:tcPr>
          <w:p w14:paraId="0D7636C3"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-2,21900**</w:t>
            </w:r>
          </w:p>
          <w:p w14:paraId="0B1F896C" w14:textId="77777777" w:rsidR="005E4276" w:rsidRPr="00F73C8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(0,0284)</w:t>
            </w:r>
          </w:p>
        </w:tc>
      </w:tr>
      <w:tr w:rsidR="005E4276" w:rsidRPr="00F73C85" w14:paraId="4379F5C7" w14:textId="77777777" w:rsidTr="0083724B">
        <w:trPr>
          <w:trHeight w:val="22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76D7FCC8" w14:textId="77777777" w:rsidR="005E4276" w:rsidRPr="00F73C85" w:rsidRDefault="006D388F">
            <w:pPr>
              <w:spacing w:line="360" w:lineRule="auto"/>
              <w:jc w:val="both"/>
              <w:rPr>
                <w:rFonts w:ascii="Times New Roman" w:eastAsia="Times New Roman" w:hAnsi="Times New Roman" w:cs="Times New Roman"/>
                <w:b w:val="0"/>
                <w:sz w:val="18"/>
                <w:szCs w:val="18"/>
                <w:lang w:val="fr-FR"/>
              </w:rPr>
            </w:pPr>
            <w:r w:rsidRPr="00F73C85">
              <w:rPr>
                <w:rFonts w:ascii="Times New Roman" w:eastAsia="Times New Roman" w:hAnsi="Times New Roman" w:cs="Times New Roman"/>
                <w:b w:val="0"/>
                <w:sz w:val="18"/>
                <w:szCs w:val="18"/>
                <w:lang w:val="fr-FR"/>
              </w:rPr>
              <w:t>Log(Transport, information et communication)</w:t>
            </w:r>
          </w:p>
        </w:tc>
        <w:tc>
          <w:tcPr>
            <w:tcW w:w="1842" w:type="dxa"/>
            <w:shd w:val="clear" w:color="auto" w:fill="auto"/>
          </w:tcPr>
          <w:p w14:paraId="570974BF"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-1,330549</w:t>
            </w:r>
          </w:p>
          <w:p w14:paraId="20D0B967"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(0,1644)</w:t>
            </w:r>
          </w:p>
        </w:tc>
        <w:tc>
          <w:tcPr>
            <w:tcW w:w="1985" w:type="dxa"/>
            <w:shd w:val="clear" w:color="auto" w:fill="auto"/>
          </w:tcPr>
          <w:p w14:paraId="02655B1F"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-2,945907**</w:t>
            </w:r>
          </w:p>
          <w:p w14:paraId="0565584E"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(0,0010)</w:t>
            </w:r>
          </w:p>
        </w:tc>
        <w:tc>
          <w:tcPr>
            <w:tcW w:w="1563" w:type="dxa"/>
            <w:shd w:val="clear" w:color="auto" w:fill="auto"/>
          </w:tcPr>
          <w:p w14:paraId="1BF969FA" w14:textId="77777777" w:rsidR="005E4276" w:rsidRPr="00F73C85" w:rsidRDefault="006D38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-2,011951**</w:t>
            </w:r>
          </w:p>
          <w:p w14:paraId="4A636AC9" w14:textId="77777777" w:rsidR="005E4276" w:rsidRPr="00F73C85" w:rsidRDefault="006D38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(0,0444)</w:t>
            </w:r>
          </w:p>
        </w:tc>
        <w:tc>
          <w:tcPr>
            <w:tcW w:w="1768" w:type="dxa"/>
            <w:gridSpan w:val="2"/>
            <w:shd w:val="clear" w:color="auto" w:fill="auto"/>
          </w:tcPr>
          <w:p w14:paraId="63047CD8"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-1,437529</w:t>
            </w:r>
          </w:p>
          <w:p w14:paraId="3E364821" w14:textId="77777777" w:rsidR="005E4276" w:rsidRPr="00F73C8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rPr>
            </w:pPr>
            <w:r w:rsidRPr="00F73C85">
              <w:rPr>
                <w:rFonts w:ascii="Times New Roman" w:eastAsia="Times New Roman" w:hAnsi="Times New Roman" w:cs="Times New Roman"/>
                <w:bCs/>
                <w:sz w:val="18"/>
                <w:szCs w:val="18"/>
              </w:rPr>
              <w:t>(0,1367)</w:t>
            </w:r>
          </w:p>
        </w:tc>
      </w:tr>
    </w:tbl>
    <w:p w14:paraId="38D69A53" w14:textId="2B89F2E6" w:rsidR="005E4276" w:rsidRPr="00256989" w:rsidRDefault="00DA4D22">
      <w:pPr>
        <w:spacing w:line="240" w:lineRule="auto"/>
        <w:jc w:val="both"/>
        <w:rPr>
          <w:rFonts w:ascii="Times New Roman" w:eastAsia="Times New Roman" w:hAnsi="Times New Roman" w:cs="Times New Roman"/>
          <w:color w:val="000000"/>
          <w:sz w:val="20"/>
          <w:szCs w:val="20"/>
          <w:lang w:val="fr-FR"/>
        </w:rPr>
      </w:pPr>
      <w:r w:rsidRPr="00256989">
        <w:rPr>
          <w:rFonts w:ascii="Times New Roman" w:eastAsia="Times New Roman" w:hAnsi="Times New Roman" w:cs="Times New Roman"/>
          <w:color w:val="000000"/>
          <w:sz w:val="20"/>
          <w:szCs w:val="20"/>
          <w:lang w:val="fr-FR"/>
        </w:rPr>
        <w:t>NB :</w:t>
      </w:r>
      <w:r w:rsidR="006D388F" w:rsidRPr="00256989">
        <w:rPr>
          <w:rFonts w:ascii="Times New Roman" w:eastAsia="Times New Roman" w:hAnsi="Times New Roman" w:cs="Times New Roman"/>
          <w:color w:val="000000"/>
          <w:sz w:val="20"/>
          <w:szCs w:val="20"/>
          <w:vertAlign w:val="superscript"/>
          <w:lang w:val="fr-FR"/>
        </w:rPr>
        <w:t xml:space="preserve"> ***</w:t>
      </w:r>
      <w:r w:rsidR="006D388F" w:rsidRPr="00256989">
        <w:rPr>
          <w:rFonts w:ascii="Times New Roman" w:eastAsia="Times New Roman" w:hAnsi="Times New Roman" w:cs="Times New Roman"/>
          <w:color w:val="000000"/>
          <w:sz w:val="20"/>
          <w:szCs w:val="20"/>
          <w:lang w:val="fr-FR"/>
        </w:rPr>
        <w:t>Stationnaire à 1%,</w:t>
      </w:r>
      <w:r w:rsidR="006D388F" w:rsidRPr="00256989">
        <w:rPr>
          <w:rFonts w:ascii="Times New Roman" w:eastAsia="Times New Roman" w:hAnsi="Times New Roman" w:cs="Times New Roman"/>
          <w:color w:val="000000"/>
          <w:sz w:val="20"/>
          <w:szCs w:val="20"/>
          <w:vertAlign w:val="superscript"/>
          <w:lang w:val="fr-FR"/>
        </w:rPr>
        <w:t xml:space="preserve"> **</w:t>
      </w:r>
      <w:r w:rsidR="006D388F" w:rsidRPr="00256989">
        <w:rPr>
          <w:rFonts w:ascii="Times New Roman" w:eastAsia="Times New Roman" w:hAnsi="Times New Roman" w:cs="Times New Roman"/>
          <w:color w:val="000000"/>
          <w:sz w:val="20"/>
          <w:szCs w:val="20"/>
          <w:lang w:val="fr-FR"/>
        </w:rPr>
        <w:t>Stationnaire à 5%,</w:t>
      </w:r>
      <w:r w:rsidR="006D388F" w:rsidRPr="00256989">
        <w:rPr>
          <w:rFonts w:ascii="Times New Roman" w:eastAsia="Times New Roman" w:hAnsi="Times New Roman" w:cs="Times New Roman"/>
          <w:color w:val="000000"/>
          <w:sz w:val="20"/>
          <w:szCs w:val="20"/>
          <w:vertAlign w:val="superscript"/>
          <w:lang w:val="fr-FR"/>
        </w:rPr>
        <w:t xml:space="preserve"> *</w:t>
      </w:r>
      <w:r w:rsidR="006D388F" w:rsidRPr="00256989">
        <w:rPr>
          <w:rFonts w:ascii="Times New Roman" w:eastAsia="Times New Roman" w:hAnsi="Times New Roman" w:cs="Times New Roman"/>
          <w:color w:val="000000"/>
          <w:sz w:val="20"/>
          <w:szCs w:val="20"/>
          <w:lang w:val="fr-FR"/>
        </w:rPr>
        <w:t>Stationnaire à 10%, les valeurs entre les parenthèses représentent les P-values, I (0), I (1) indiquent respectivement que la variable est stationnaire à niveau ou intégré d’ordre 1,</w:t>
      </w:r>
    </w:p>
    <w:p w14:paraId="1BEB437D" w14:textId="11C65710" w:rsidR="005E4276" w:rsidRDefault="006D388F">
      <w:pPr>
        <w:spacing w:line="240" w:lineRule="auto"/>
        <w:jc w:val="both"/>
        <w:rPr>
          <w:rFonts w:ascii="Times New Roman" w:eastAsia="Times New Roman" w:hAnsi="Times New Roman" w:cs="Times New Roman"/>
          <w:sz w:val="20"/>
          <w:szCs w:val="20"/>
          <w:lang w:val="fr-FR"/>
        </w:rPr>
      </w:pPr>
      <w:r w:rsidRPr="00256989">
        <w:rPr>
          <w:rFonts w:ascii="Times New Roman" w:eastAsia="Times New Roman" w:hAnsi="Times New Roman" w:cs="Times New Roman"/>
          <w:b/>
          <w:sz w:val="20"/>
          <w:szCs w:val="20"/>
          <w:lang w:val="fr-FR"/>
        </w:rPr>
        <w:t xml:space="preserve"> </w:t>
      </w:r>
      <w:r w:rsidR="00DA4D22" w:rsidRPr="00256989">
        <w:rPr>
          <w:rFonts w:ascii="Times New Roman" w:eastAsia="Times New Roman" w:hAnsi="Times New Roman" w:cs="Times New Roman"/>
          <w:b/>
          <w:sz w:val="20"/>
          <w:szCs w:val="20"/>
          <w:lang w:val="fr-FR"/>
        </w:rPr>
        <w:t>Source</w:t>
      </w:r>
      <w:r w:rsidR="00DA4D22" w:rsidRPr="00256989">
        <w:rPr>
          <w:rFonts w:ascii="Times New Roman" w:eastAsia="Times New Roman" w:hAnsi="Times New Roman" w:cs="Times New Roman"/>
          <w:sz w:val="20"/>
          <w:szCs w:val="20"/>
          <w:lang w:val="fr-FR"/>
        </w:rPr>
        <w:t xml:space="preserve"> :</w:t>
      </w:r>
      <w:r w:rsidRPr="00256989">
        <w:rPr>
          <w:rFonts w:ascii="Times New Roman" w:eastAsia="Times New Roman" w:hAnsi="Times New Roman" w:cs="Times New Roman"/>
          <w:sz w:val="20"/>
          <w:szCs w:val="20"/>
          <w:lang w:val="fr-FR"/>
        </w:rPr>
        <w:t xml:space="preserve"> Construit par l’auteur à partir des données de WDI (2022), INSD (2023), DGI (2022)</w:t>
      </w:r>
      <w:r w:rsidRPr="00256989">
        <w:rPr>
          <w:rFonts w:ascii="Arial" w:eastAsia="Arial" w:hAnsi="Arial" w:cs="Arial"/>
          <w:sz w:val="18"/>
          <w:szCs w:val="18"/>
          <w:lang w:val="fr-FR"/>
        </w:rPr>
        <w:br/>
      </w:r>
    </w:p>
    <w:p w14:paraId="5308EB50" w14:textId="77777777" w:rsidR="0083724B" w:rsidRPr="00256989" w:rsidRDefault="0083724B">
      <w:pPr>
        <w:spacing w:line="240" w:lineRule="auto"/>
        <w:jc w:val="both"/>
        <w:rPr>
          <w:rFonts w:ascii="Times New Roman" w:eastAsia="Times New Roman" w:hAnsi="Times New Roman" w:cs="Times New Roman"/>
          <w:sz w:val="20"/>
          <w:szCs w:val="20"/>
          <w:lang w:val="fr-FR"/>
        </w:rPr>
      </w:pPr>
    </w:p>
    <w:bookmarkEnd w:id="7"/>
    <w:p w14:paraId="50C20C9B" w14:textId="7D6B8F27" w:rsidR="003904B9" w:rsidRPr="00256989" w:rsidRDefault="003904B9" w:rsidP="003904B9">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lastRenderedPageBreak/>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.2.2 Test de multicolinéarité</w:t>
      </w:r>
    </w:p>
    <w:p w14:paraId="3C8F129D" w14:textId="45ED83D0" w:rsidR="003904B9" w:rsidRDefault="003904B9" w:rsidP="003904B9">
      <w:pPr>
        <w:spacing w:line="360" w:lineRule="auto"/>
        <w:jc w:val="both"/>
        <w:rPr>
          <w:rFonts w:ascii="Times New Roman" w:eastAsia="Times New Roman" w:hAnsi="Times New Roman" w:cs="Times New Roman"/>
          <w:sz w:val="24"/>
          <w:szCs w:val="24"/>
          <w:lang w:val="fr-FR"/>
        </w:rPr>
      </w:pPr>
      <w:r w:rsidRPr="002D692F">
        <w:rPr>
          <w:rFonts w:ascii="Times New Roman" w:eastAsia="Times New Roman" w:hAnsi="Times New Roman" w:cs="Times New Roman"/>
          <w:sz w:val="24"/>
          <w:szCs w:val="24"/>
          <w:lang w:val="fr-FR"/>
        </w:rPr>
        <w:t>La multicolinéarité désigne le fait qu’une des variables explicatives d’un modèle est une combinaison linéaire d’une ou plusieurs autres variables explicatives introduite</w:t>
      </w:r>
      <w:r w:rsidR="00CA47A8">
        <w:rPr>
          <w:rFonts w:ascii="Times New Roman" w:eastAsia="Times New Roman" w:hAnsi="Times New Roman" w:cs="Times New Roman"/>
          <w:sz w:val="24"/>
          <w:szCs w:val="24"/>
          <w:lang w:val="fr-FR"/>
        </w:rPr>
        <w:t>s</w:t>
      </w:r>
      <w:r w:rsidRPr="002D692F">
        <w:rPr>
          <w:rFonts w:ascii="Times New Roman" w:eastAsia="Times New Roman" w:hAnsi="Times New Roman" w:cs="Times New Roman"/>
          <w:sz w:val="24"/>
          <w:szCs w:val="24"/>
          <w:lang w:val="fr-FR"/>
        </w:rPr>
        <w:t xml:space="preserve"> dans le même modèle. Sa présence cause donc un problème lors des estimations des différents modèles et conduit à des estimations peu fiables et instables des coefficients de régression. Dans la littérature, il existe plusieurs mesures de la multicolinéarité. De ce fait, la matrice de colinéarité permet de tester la multicolinéarité entre les différentes variables où selon Field </w:t>
      </w:r>
      <w:r w:rsidR="002507FF">
        <w:rPr>
          <w:rFonts w:ascii="Times New Roman" w:eastAsia="Times New Roman" w:hAnsi="Times New Roman" w:cs="Times New Roman"/>
          <w:sz w:val="24"/>
          <w:szCs w:val="24"/>
          <w:lang w:val="fr-FR"/>
        </w:rPr>
        <w:t>(</w:t>
      </w:r>
      <w:r w:rsidRPr="002D692F">
        <w:rPr>
          <w:rFonts w:ascii="Times New Roman" w:eastAsia="Times New Roman" w:hAnsi="Times New Roman" w:cs="Times New Roman"/>
          <w:sz w:val="24"/>
          <w:szCs w:val="24"/>
          <w:lang w:val="fr-FR"/>
        </w:rPr>
        <w:t xml:space="preserve">2005), si dans la matrice de corrélation, au moins deux </w:t>
      </w:r>
      <w:r w:rsidR="00CA47A8">
        <w:rPr>
          <w:rFonts w:ascii="Times New Roman" w:eastAsia="Times New Roman" w:hAnsi="Times New Roman" w:cs="Times New Roman"/>
          <w:sz w:val="24"/>
          <w:szCs w:val="24"/>
          <w:lang w:val="fr-FR"/>
        </w:rPr>
        <w:t xml:space="preserve">(02) </w:t>
      </w:r>
      <w:r w:rsidRPr="002D692F">
        <w:rPr>
          <w:rFonts w:ascii="Times New Roman" w:eastAsia="Times New Roman" w:hAnsi="Times New Roman" w:cs="Times New Roman"/>
          <w:sz w:val="24"/>
          <w:szCs w:val="24"/>
          <w:lang w:val="fr-FR"/>
        </w:rPr>
        <w:t xml:space="preserve">variables ont des coefficients de corrélation qui excèdent 0,8 alors il y a présomption de </w:t>
      </w:r>
      <w:r w:rsidR="00C07CBB" w:rsidRPr="002D692F">
        <w:rPr>
          <w:rFonts w:ascii="Times New Roman" w:eastAsia="Times New Roman" w:hAnsi="Times New Roman" w:cs="Times New Roman"/>
          <w:sz w:val="24"/>
          <w:szCs w:val="24"/>
          <w:lang w:val="fr-FR"/>
        </w:rPr>
        <w:t>multicolinéarité</w:t>
      </w:r>
      <w:r w:rsidRPr="002D692F">
        <w:rPr>
          <w:rFonts w:ascii="Times New Roman" w:eastAsia="Times New Roman" w:hAnsi="Times New Roman" w:cs="Times New Roman"/>
          <w:sz w:val="24"/>
          <w:szCs w:val="24"/>
          <w:lang w:val="fr-FR"/>
        </w:rPr>
        <w:t>. Également, l’approche la plus classique consiste à examiner les facteurs d’inflation de la variance (VIF). Pour Allison (2012), il est appelé facteurs d’inflation de variance car il estime à quel point la variance d’un coefficient est gonflée en raison de la dépendance linéaire avec d’autres prédicteurs. Dans ce sens, Miles (2005) prévoit que la valeur de VIF ne doit pas être supérieure à 10.</w:t>
      </w:r>
      <w:r w:rsidR="00166CC9">
        <w:rPr>
          <w:rFonts w:ascii="Times New Roman" w:eastAsia="Times New Roman" w:hAnsi="Times New Roman" w:cs="Times New Roman"/>
          <w:sz w:val="24"/>
          <w:szCs w:val="24"/>
          <w:lang w:val="fr-FR"/>
        </w:rPr>
        <w:t xml:space="preserve"> Les résultats de la matrice de corrélation sont consignés dans le tableau 3. A partir du tableau, nous pouvons conclure que les coefficients de toutes les variables sont inférieurs à 0,8 sauf le coefficient de la relation entre le taux effectif de la TVA et le taux effectif de l’IUTS. En conséquence, ces variables seront estimé</w:t>
      </w:r>
      <w:r w:rsidR="00C6563D">
        <w:rPr>
          <w:rFonts w:ascii="Times New Roman" w:eastAsia="Times New Roman" w:hAnsi="Times New Roman" w:cs="Times New Roman"/>
          <w:sz w:val="24"/>
          <w:szCs w:val="24"/>
          <w:lang w:val="fr-FR"/>
        </w:rPr>
        <w:t>e</w:t>
      </w:r>
      <w:r w:rsidR="00166CC9">
        <w:rPr>
          <w:rFonts w:ascii="Times New Roman" w:eastAsia="Times New Roman" w:hAnsi="Times New Roman" w:cs="Times New Roman"/>
          <w:sz w:val="24"/>
          <w:szCs w:val="24"/>
          <w:lang w:val="fr-FR"/>
        </w:rPr>
        <w:t>s séparément.</w:t>
      </w:r>
    </w:p>
    <w:p w14:paraId="548B94A2" w14:textId="48745E8B" w:rsidR="00DF2805" w:rsidRDefault="00DF2805" w:rsidP="003904B9">
      <w:pPr>
        <w:spacing w:line="360" w:lineRule="auto"/>
        <w:jc w:val="both"/>
        <w:rPr>
          <w:rFonts w:ascii="Times New Roman" w:eastAsia="Times New Roman" w:hAnsi="Times New Roman" w:cs="Times New Roman"/>
          <w:sz w:val="24"/>
          <w:szCs w:val="24"/>
          <w:lang w:val="fr-FR"/>
        </w:rPr>
      </w:pPr>
    </w:p>
    <w:p w14:paraId="28119DD8" w14:textId="77777777" w:rsidR="00786FC7" w:rsidRDefault="00786FC7" w:rsidP="003904B9">
      <w:pPr>
        <w:spacing w:line="360" w:lineRule="auto"/>
        <w:jc w:val="both"/>
        <w:rPr>
          <w:rFonts w:ascii="Times New Roman" w:eastAsia="Times New Roman" w:hAnsi="Times New Roman" w:cs="Times New Roman"/>
          <w:sz w:val="24"/>
          <w:szCs w:val="24"/>
          <w:lang w:val="fr-FR"/>
        </w:rPr>
      </w:pPr>
    </w:p>
    <w:p w14:paraId="595FFECE" w14:textId="7A1B3738" w:rsidR="00786FC7" w:rsidRDefault="00786FC7" w:rsidP="003904B9">
      <w:pPr>
        <w:spacing w:line="360" w:lineRule="auto"/>
        <w:jc w:val="both"/>
        <w:rPr>
          <w:rFonts w:ascii="Times New Roman" w:eastAsia="Times New Roman" w:hAnsi="Times New Roman" w:cs="Times New Roman"/>
          <w:sz w:val="24"/>
          <w:szCs w:val="24"/>
          <w:lang w:val="fr-FR"/>
        </w:rPr>
      </w:pPr>
    </w:p>
    <w:p w14:paraId="25DDD394" w14:textId="77777777" w:rsidR="002A05A0" w:rsidRDefault="002A05A0" w:rsidP="00F54D62">
      <w:pPr>
        <w:tabs>
          <w:tab w:val="left" w:pos="7640"/>
        </w:tabs>
        <w:spacing w:line="360" w:lineRule="auto"/>
        <w:jc w:val="both"/>
        <w:rPr>
          <w:rFonts w:ascii="Times New Roman" w:eastAsia="Times New Roman" w:hAnsi="Times New Roman" w:cs="Times New Roman"/>
          <w:sz w:val="24"/>
          <w:szCs w:val="24"/>
          <w:lang w:val="fr-FR"/>
        </w:rPr>
      </w:pPr>
    </w:p>
    <w:p w14:paraId="11B4BD37" w14:textId="77777777" w:rsidR="002A05A0" w:rsidRDefault="002A05A0" w:rsidP="00F54D62">
      <w:pPr>
        <w:tabs>
          <w:tab w:val="left" w:pos="7640"/>
        </w:tabs>
        <w:spacing w:line="360" w:lineRule="auto"/>
        <w:jc w:val="both"/>
        <w:rPr>
          <w:rFonts w:ascii="Times New Roman" w:eastAsia="Times New Roman" w:hAnsi="Times New Roman" w:cs="Times New Roman"/>
          <w:sz w:val="24"/>
          <w:szCs w:val="24"/>
          <w:lang w:val="fr-FR"/>
        </w:rPr>
      </w:pPr>
    </w:p>
    <w:p w14:paraId="68053FC2" w14:textId="77777777" w:rsidR="002A05A0" w:rsidRDefault="002A05A0" w:rsidP="00F54D62">
      <w:pPr>
        <w:tabs>
          <w:tab w:val="left" w:pos="7640"/>
        </w:tabs>
        <w:spacing w:line="360" w:lineRule="auto"/>
        <w:jc w:val="both"/>
        <w:rPr>
          <w:rFonts w:ascii="Times New Roman" w:eastAsia="Times New Roman" w:hAnsi="Times New Roman" w:cs="Times New Roman"/>
          <w:sz w:val="24"/>
          <w:szCs w:val="24"/>
          <w:lang w:val="fr-FR"/>
        </w:rPr>
      </w:pPr>
    </w:p>
    <w:p w14:paraId="5489EA75" w14:textId="77777777" w:rsidR="00991641" w:rsidRDefault="00991641" w:rsidP="00F54D62">
      <w:pPr>
        <w:tabs>
          <w:tab w:val="left" w:pos="7640"/>
        </w:tabs>
        <w:spacing w:line="360" w:lineRule="auto"/>
        <w:jc w:val="both"/>
        <w:rPr>
          <w:rFonts w:ascii="Times New Roman" w:eastAsia="Times New Roman" w:hAnsi="Times New Roman" w:cs="Times New Roman"/>
          <w:sz w:val="24"/>
          <w:szCs w:val="24"/>
          <w:lang w:val="fr-FR"/>
        </w:rPr>
      </w:pPr>
    </w:p>
    <w:p w14:paraId="3EDA1FBA" w14:textId="77777777" w:rsidR="00991641" w:rsidRDefault="00991641" w:rsidP="00F54D62">
      <w:pPr>
        <w:tabs>
          <w:tab w:val="left" w:pos="7640"/>
        </w:tabs>
        <w:spacing w:line="360" w:lineRule="auto"/>
        <w:jc w:val="both"/>
        <w:rPr>
          <w:rFonts w:ascii="Times New Roman" w:eastAsia="Times New Roman" w:hAnsi="Times New Roman" w:cs="Times New Roman"/>
          <w:sz w:val="24"/>
          <w:szCs w:val="24"/>
          <w:lang w:val="fr-FR"/>
        </w:rPr>
      </w:pPr>
    </w:p>
    <w:p w14:paraId="099F8182" w14:textId="77777777" w:rsidR="00991641" w:rsidRDefault="00991641" w:rsidP="00F54D62">
      <w:pPr>
        <w:tabs>
          <w:tab w:val="left" w:pos="7640"/>
        </w:tabs>
        <w:spacing w:line="360" w:lineRule="auto"/>
        <w:jc w:val="both"/>
        <w:rPr>
          <w:rFonts w:ascii="Times New Roman" w:eastAsia="Times New Roman" w:hAnsi="Times New Roman" w:cs="Times New Roman"/>
          <w:sz w:val="24"/>
          <w:szCs w:val="24"/>
          <w:lang w:val="fr-FR"/>
        </w:rPr>
      </w:pPr>
    </w:p>
    <w:p w14:paraId="51E818EF" w14:textId="77777777" w:rsidR="0083724B" w:rsidRDefault="0083724B" w:rsidP="00F54D62">
      <w:pPr>
        <w:tabs>
          <w:tab w:val="left" w:pos="7640"/>
        </w:tabs>
        <w:spacing w:line="360" w:lineRule="auto"/>
        <w:jc w:val="both"/>
        <w:rPr>
          <w:rFonts w:ascii="Times New Roman" w:eastAsia="Times New Roman" w:hAnsi="Times New Roman" w:cs="Times New Roman"/>
          <w:sz w:val="24"/>
          <w:szCs w:val="24"/>
          <w:lang w:val="fr-FR"/>
        </w:rPr>
      </w:pPr>
    </w:p>
    <w:p w14:paraId="33CBC0B3" w14:textId="3841DDD5" w:rsidR="00F54D62" w:rsidRDefault="00C6563D" w:rsidP="00F54D62">
      <w:pPr>
        <w:tabs>
          <w:tab w:val="left" w:pos="7640"/>
        </w:tabs>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p>
    <w:p w14:paraId="57C9E6E7" w14:textId="1476FCC5" w:rsidR="003904B9" w:rsidRPr="00F54D62" w:rsidRDefault="003904B9" w:rsidP="00F54D62">
      <w:pPr>
        <w:tabs>
          <w:tab w:val="left" w:pos="7640"/>
        </w:tabs>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i/>
          <w:sz w:val="24"/>
          <w:szCs w:val="24"/>
          <w:lang w:val="fr-FR"/>
        </w:rPr>
        <w:lastRenderedPageBreak/>
        <w:t xml:space="preserve">Tableau </w:t>
      </w:r>
      <w:r w:rsidR="00FF4C8E" w:rsidRPr="00256989">
        <w:rPr>
          <w:rFonts w:ascii="Times New Roman" w:eastAsia="Times New Roman" w:hAnsi="Times New Roman" w:cs="Times New Roman"/>
          <w:i/>
          <w:sz w:val="24"/>
          <w:szCs w:val="24"/>
          <w:lang w:val="fr-FR"/>
        </w:rPr>
        <w:t>3 :</w:t>
      </w:r>
      <w:r w:rsidRPr="00256989">
        <w:rPr>
          <w:rFonts w:ascii="Times New Roman" w:eastAsia="Times New Roman" w:hAnsi="Times New Roman" w:cs="Times New Roman"/>
          <w:i/>
          <w:sz w:val="24"/>
          <w:szCs w:val="24"/>
          <w:lang w:val="fr-FR"/>
        </w:rPr>
        <w:t xml:space="preserve"> </w:t>
      </w:r>
      <w:r w:rsidR="002A6096">
        <w:rPr>
          <w:rFonts w:ascii="Times New Roman" w:eastAsia="Times New Roman" w:hAnsi="Times New Roman" w:cs="Times New Roman"/>
          <w:i/>
          <w:sz w:val="24"/>
          <w:szCs w:val="24"/>
          <w:lang w:val="fr-FR"/>
        </w:rPr>
        <w:t>Matrice de corrélation</w:t>
      </w:r>
    </w:p>
    <w:tbl>
      <w:tblPr>
        <w:tblStyle w:val="TableauListe6Couleur"/>
        <w:tblW w:w="10561" w:type="dxa"/>
        <w:tblLayout w:type="fixed"/>
        <w:tblLook w:val="04A0" w:firstRow="1" w:lastRow="0" w:firstColumn="1" w:lastColumn="0" w:noHBand="0" w:noVBand="1"/>
      </w:tblPr>
      <w:tblGrid>
        <w:gridCol w:w="1674"/>
        <w:gridCol w:w="1259"/>
        <w:gridCol w:w="1259"/>
        <w:gridCol w:w="984"/>
        <w:gridCol w:w="1114"/>
        <w:gridCol w:w="1119"/>
        <w:gridCol w:w="1119"/>
        <w:gridCol w:w="840"/>
        <w:gridCol w:w="1193"/>
      </w:tblGrid>
      <w:tr w:rsidR="00765FDB" w14:paraId="528BA77D" w14:textId="77777777" w:rsidTr="00B77E60">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674" w:type="dxa"/>
            <w:tcBorders>
              <w:bottom w:val="single" w:sz="24" w:space="0" w:color="auto"/>
            </w:tcBorders>
            <w:shd w:val="clear" w:color="auto" w:fill="auto"/>
          </w:tcPr>
          <w:p w14:paraId="4E8B0C58" w14:textId="03B679B9" w:rsidR="007A6EE3" w:rsidRDefault="007A6EE3" w:rsidP="003904B9">
            <w:pPr>
              <w:spacing w:line="360" w:lineRule="auto"/>
              <w:jc w:val="both"/>
              <w:rPr>
                <w:rFonts w:ascii="Times New Roman" w:eastAsia="Times New Roman" w:hAnsi="Times New Roman" w:cs="Times New Roman"/>
                <w:i/>
                <w:sz w:val="24"/>
                <w:szCs w:val="24"/>
                <w:lang w:val="fr-FR"/>
              </w:rPr>
            </w:pPr>
          </w:p>
        </w:tc>
        <w:tc>
          <w:tcPr>
            <w:tcW w:w="1259" w:type="dxa"/>
            <w:tcBorders>
              <w:bottom w:val="single" w:sz="24" w:space="0" w:color="auto"/>
            </w:tcBorders>
            <w:shd w:val="clear" w:color="auto" w:fill="auto"/>
          </w:tcPr>
          <w:p w14:paraId="47656821" w14:textId="4D0FB960"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1</w:t>
            </w:r>
          </w:p>
        </w:tc>
        <w:tc>
          <w:tcPr>
            <w:tcW w:w="1259" w:type="dxa"/>
            <w:tcBorders>
              <w:bottom w:val="single" w:sz="24" w:space="0" w:color="auto"/>
            </w:tcBorders>
            <w:shd w:val="clear" w:color="auto" w:fill="auto"/>
          </w:tcPr>
          <w:p w14:paraId="1858A3DD" w14:textId="00434A27"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2</w:t>
            </w:r>
          </w:p>
        </w:tc>
        <w:tc>
          <w:tcPr>
            <w:tcW w:w="984" w:type="dxa"/>
            <w:tcBorders>
              <w:bottom w:val="single" w:sz="24" w:space="0" w:color="auto"/>
            </w:tcBorders>
            <w:shd w:val="clear" w:color="auto" w:fill="auto"/>
          </w:tcPr>
          <w:p w14:paraId="1B932204" w14:textId="4766025C"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3</w:t>
            </w:r>
          </w:p>
        </w:tc>
        <w:tc>
          <w:tcPr>
            <w:tcW w:w="1114" w:type="dxa"/>
            <w:tcBorders>
              <w:bottom w:val="single" w:sz="24" w:space="0" w:color="auto"/>
            </w:tcBorders>
            <w:shd w:val="clear" w:color="auto" w:fill="auto"/>
          </w:tcPr>
          <w:p w14:paraId="768CA6ED" w14:textId="44EF205B"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4</w:t>
            </w:r>
          </w:p>
        </w:tc>
        <w:tc>
          <w:tcPr>
            <w:tcW w:w="1119" w:type="dxa"/>
            <w:tcBorders>
              <w:bottom w:val="single" w:sz="24" w:space="0" w:color="auto"/>
            </w:tcBorders>
            <w:shd w:val="clear" w:color="auto" w:fill="auto"/>
          </w:tcPr>
          <w:p w14:paraId="0CECCA23" w14:textId="6D48AD35"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5</w:t>
            </w:r>
          </w:p>
        </w:tc>
        <w:tc>
          <w:tcPr>
            <w:tcW w:w="1119" w:type="dxa"/>
            <w:tcBorders>
              <w:bottom w:val="single" w:sz="24" w:space="0" w:color="auto"/>
            </w:tcBorders>
            <w:shd w:val="clear" w:color="auto" w:fill="auto"/>
          </w:tcPr>
          <w:p w14:paraId="731353E3" w14:textId="4F533C06"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6</w:t>
            </w:r>
          </w:p>
        </w:tc>
        <w:tc>
          <w:tcPr>
            <w:tcW w:w="840" w:type="dxa"/>
            <w:tcBorders>
              <w:bottom w:val="single" w:sz="24" w:space="0" w:color="auto"/>
            </w:tcBorders>
            <w:shd w:val="clear" w:color="auto" w:fill="auto"/>
          </w:tcPr>
          <w:p w14:paraId="47862DFD" w14:textId="7A773EDF"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7</w:t>
            </w:r>
          </w:p>
        </w:tc>
        <w:tc>
          <w:tcPr>
            <w:tcW w:w="1193" w:type="dxa"/>
            <w:tcBorders>
              <w:bottom w:val="single" w:sz="24" w:space="0" w:color="auto"/>
            </w:tcBorders>
            <w:shd w:val="clear" w:color="auto" w:fill="auto"/>
          </w:tcPr>
          <w:p w14:paraId="019F2CF0" w14:textId="505C46C2" w:rsidR="007A6EE3" w:rsidRPr="00166CC9" w:rsidRDefault="00786FC7" w:rsidP="003904B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8</w:t>
            </w:r>
          </w:p>
        </w:tc>
      </w:tr>
      <w:tr w:rsidR="00786FC7" w14:paraId="0FC1A9A7" w14:textId="77777777" w:rsidTr="00B77E60">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1674" w:type="dxa"/>
            <w:tcBorders>
              <w:top w:val="single" w:sz="24" w:space="0" w:color="auto"/>
            </w:tcBorders>
            <w:shd w:val="clear" w:color="auto" w:fill="auto"/>
          </w:tcPr>
          <w:p w14:paraId="52A53802" w14:textId="3CC8DD90"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w:t>
            </w:r>
            <w:r w:rsidR="00D0242B" w:rsidRPr="0048236F">
              <w:rPr>
                <w:rFonts w:ascii="Times New Roman" w:eastAsia="Times New Roman" w:hAnsi="Times New Roman" w:cs="Times New Roman"/>
                <w:sz w:val="24"/>
                <w:szCs w:val="24"/>
                <w:lang w:val="fr-FR"/>
              </w:rPr>
              <w:t>Consommation finale des ménages</w:t>
            </w:r>
          </w:p>
        </w:tc>
        <w:tc>
          <w:tcPr>
            <w:tcW w:w="1259" w:type="dxa"/>
            <w:tcBorders>
              <w:top w:val="single" w:sz="24" w:space="0" w:color="auto"/>
            </w:tcBorders>
            <w:shd w:val="clear" w:color="auto" w:fill="auto"/>
          </w:tcPr>
          <w:p w14:paraId="2762829D" w14:textId="0F46FC26" w:rsidR="007A6EE3" w:rsidRPr="0048236F" w:rsidRDefault="00E63865"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1259" w:type="dxa"/>
            <w:tcBorders>
              <w:top w:val="single" w:sz="24" w:space="0" w:color="auto"/>
            </w:tcBorders>
            <w:shd w:val="clear" w:color="auto" w:fill="auto"/>
          </w:tcPr>
          <w:p w14:paraId="09398B5E" w14:textId="717AA227" w:rsidR="007A6EE3" w:rsidRPr="0048236F" w:rsidRDefault="00D507FE"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w:t>
            </w:r>
            <w:r w:rsidR="00166172" w:rsidRPr="0048236F">
              <w:rPr>
                <w:rFonts w:ascii="Times New Roman" w:eastAsia="Times New Roman" w:hAnsi="Times New Roman" w:cs="Times New Roman"/>
                <w:sz w:val="24"/>
                <w:szCs w:val="24"/>
                <w:lang w:val="fr-FR"/>
              </w:rPr>
              <w:t>3</w:t>
            </w:r>
          </w:p>
        </w:tc>
        <w:tc>
          <w:tcPr>
            <w:tcW w:w="984" w:type="dxa"/>
            <w:tcBorders>
              <w:top w:val="single" w:sz="24" w:space="0" w:color="auto"/>
            </w:tcBorders>
            <w:shd w:val="clear" w:color="auto" w:fill="auto"/>
          </w:tcPr>
          <w:p w14:paraId="7FA44FD0" w14:textId="1B1F2DE0" w:rsidR="007A6EE3" w:rsidRPr="0048236F" w:rsidRDefault="00166172"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0,76</w:t>
            </w:r>
          </w:p>
        </w:tc>
        <w:tc>
          <w:tcPr>
            <w:tcW w:w="1114" w:type="dxa"/>
            <w:tcBorders>
              <w:top w:val="single" w:sz="24" w:space="0" w:color="auto"/>
            </w:tcBorders>
            <w:shd w:val="clear" w:color="auto" w:fill="auto"/>
          </w:tcPr>
          <w:p w14:paraId="5D96E761" w14:textId="6879DF51" w:rsidR="007A6EE3" w:rsidRPr="0048236F" w:rsidRDefault="00D7184D"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-0,39</w:t>
            </w:r>
          </w:p>
        </w:tc>
        <w:tc>
          <w:tcPr>
            <w:tcW w:w="1119" w:type="dxa"/>
            <w:tcBorders>
              <w:top w:val="single" w:sz="24" w:space="0" w:color="auto"/>
            </w:tcBorders>
            <w:shd w:val="clear" w:color="auto" w:fill="auto"/>
          </w:tcPr>
          <w:p w14:paraId="01376828" w14:textId="46E4ABF2" w:rsidR="007A6EE3" w:rsidRPr="0048236F" w:rsidRDefault="00D127C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0,34</w:t>
            </w:r>
          </w:p>
        </w:tc>
        <w:tc>
          <w:tcPr>
            <w:tcW w:w="1119" w:type="dxa"/>
            <w:tcBorders>
              <w:top w:val="single" w:sz="24" w:space="0" w:color="auto"/>
            </w:tcBorders>
            <w:shd w:val="clear" w:color="auto" w:fill="auto"/>
          </w:tcPr>
          <w:p w14:paraId="45A379EF" w14:textId="6257FAAC" w:rsidR="007A6EE3" w:rsidRPr="0048236F" w:rsidRDefault="002D787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w:t>
            </w:r>
            <w:r w:rsidR="00A0105B" w:rsidRPr="0048236F">
              <w:rPr>
                <w:rFonts w:ascii="Times New Roman" w:eastAsia="Times New Roman" w:hAnsi="Times New Roman" w:cs="Times New Roman"/>
                <w:sz w:val="24"/>
                <w:szCs w:val="24"/>
                <w:lang w:val="fr-FR"/>
              </w:rPr>
              <w:t>77</w:t>
            </w:r>
          </w:p>
        </w:tc>
        <w:tc>
          <w:tcPr>
            <w:tcW w:w="840" w:type="dxa"/>
            <w:tcBorders>
              <w:top w:val="single" w:sz="24" w:space="0" w:color="auto"/>
            </w:tcBorders>
            <w:shd w:val="clear" w:color="auto" w:fill="auto"/>
          </w:tcPr>
          <w:p w14:paraId="2B899088" w14:textId="5F87777B" w:rsidR="007A6EE3" w:rsidRPr="0048236F" w:rsidRDefault="002060DC"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0,73</w:t>
            </w:r>
          </w:p>
        </w:tc>
        <w:tc>
          <w:tcPr>
            <w:tcW w:w="1193" w:type="dxa"/>
            <w:tcBorders>
              <w:top w:val="single" w:sz="24" w:space="0" w:color="auto"/>
            </w:tcBorders>
            <w:shd w:val="clear" w:color="auto" w:fill="auto"/>
          </w:tcPr>
          <w:p w14:paraId="577A7404" w14:textId="7082C98A" w:rsidR="007A6EE3" w:rsidRPr="0048236F" w:rsidRDefault="00DA7CA1"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0,75</w:t>
            </w:r>
          </w:p>
        </w:tc>
      </w:tr>
      <w:tr w:rsidR="00765FDB" w14:paraId="5DF4F461" w14:textId="77777777" w:rsidTr="00B77E60">
        <w:trPr>
          <w:trHeight w:val="861"/>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14:paraId="13962A3C" w14:textId="36ACC807"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w:t>
            </w:r>
            <w:r w:rsidR="00D0242B" w:rsidRPr="0048236F">
              <w:rPr>
                <w:rFonts w:ascii="Times New Roman" w:eastAsia="Times New Roman" w:hAnsi="Times New Roman" w:cs="Times New Roman"/>
                <w:sz w:val="24"/>
                <w:szCs w:val="24"/>
                <w:lang w:val="fr-FR"/>
              </w:rPr>
              <w:t>Taux effectif de l’IUTS</w:t>
            </w:r>
          </w:p>
        </w:tc>
        <w:tc>
          <w:tcPr>
            <w:tcW w:w="1259" w:type="dxa"/>
            <w:shd w:val="clear" w:color="auto" w:fill="auto"/>
          </w:tcPr>
          <w:p w14:paraId="02DF0CFA" w14:textId="1F5883A8" w:rsidR="007A6EE3" w:rsidRPr="0048236F" w:rsidRDefault="00D507FE"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0,73</w:t>
            </w:r>
          </w:p>
        </w:tc>
        <w:tc>
          <w:tcPr>
            <w:tcW w:w="1259" w:type="dxa"/>
            <w:shd w:val="clear" w:color="auto" w:fill="auto"/>
          </w:tcPr>
          <w:p w14:paraId="420189BE" w14:textId="6768E6C1" w:rsidR="007A6EE3" w:rsidRPr="0048236F" w:rsidRDefault="00E63865"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984" w:type="dxa"/>
            <w:shd w:val="clear" w:color="auto" w:fill="auto"/>
          </w:tcPr>
          <w:p w14:paraId="500E1D55" w14:textId="6B44F60F" w:rsidR="007A6EE3" w:rsidRPr="00260654" w:rsidRDefault="00166172"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val="fr-FR"/>
              </w:rPr>
            </w:pPr>
            <w:r w:rsidRPr="0048236F">
              <w:rPr>
                <w:rFonts w:ascii="Times New Roman" w:eastAsia="Times New Roman" w:hAnsi="Times New Roman" w:cs="Times New Roman"/>
                <w:sz w:val="24"/>
                <w:szCs w:val="24"/>
                <w:lang w:val="fr-FR"/>
              </w:rPr>
              <w:t>0,91</w:t>
            </w:r>
            <w:r w:rsidR="00260654">
              <w:rPr>
                <w:rFonts w:ascii="Times New Roman" w:eastAsia="Times New Roman" w:hAnsi="Times New Roman" w:cs="Times New Roman"/>
                <w:sz w:val="24"/>
                <w:szCs w:val="24"/>
                <w:vertAlign w:val="superscript"/>
                <w:lang w:val="fr-FR"/>
              </w:rPr>
              <w:t>*</w:t>
            </w:r>
          </w:p>
        </w:tc>
        <w:tc>
          <w:tcPr>
            <w:tcW w:w="1114" w:type="dxa"/>
            <w:shd w:val="clear" w:color="auto" w:fill="auto"/>
          </w:tcPr>
          <w:p w14:paraId="48883885" w14:textId="30004F92" w:rsidR="007A6EE3" w:rsidRPr="0048236F" w:rsidRDefault="00D7184D"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-0,38</w:t>
            </w:r>
          </w:p>
        </w:tc>
        <w:tc>
          <w:tcPr>
            <w:tcW w:w="1119" w:type="dxa"/>
            <w:shd w:val="clear" w:color="auto" w:fill="auto"/>
          </w:tcPr>
          <w:p w14:paraId="2CED1CB6" w14:textId="64A07B53" w:rsidR="007A6EE3" w:rsidRPr="0048236F" w:rsidRDefault="00D127C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-0,02</w:t>
            </w:r>
          </w:p>
        </w:tc>
        <w:tc>
          <w:tcPr>
            <w:tcW w:w="1119" w:type="dxa"/>
            <w:shd w:val="clear" w:color="auto" w:fill="auto"/>
          </w:tcPr>
          <w:p w14:paraId="1F733628" w14:textId="11F5611F" w:rsidR="007A6EE3" w:rsidRPr="0048236F" w:rsidRDefault="00A0105B"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0,78</w:t>
            </w:r>
          </w:p>
        </w:tc>
        <w:tc>
          <w:tcPr>
            <w:tcW w:w="840" w:type="dxa"/>
            <w:shd w:val="clear" w:color="auto" w:fill="auto"/>
          </w:tcPr>
          <w:p w14:paraId="21F14D50" w14:textId="02096E5C" w:rsidR="007A6EE3" w:rsidRPr="0048236F" w:rsidRDefault="002060DC"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0,78</w:t>
            </w:r>
          </w:p>
        </w:tc>
        <w:tc>
          <w:tcPr>
            <w:tcW w:w="1193" w:type="dxa"/>
            <w:shd w:val="clear" w:color="auto" w:fill="auto"/>
          </w:tcPr>
          <w:p w14:paraId="412FB30E" w14:textId="50C589B9" w:rsidR="007A6EE3" w:rsidRPr="0048236F" w:rsidRDefault="00DA7CA1"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0,73</w:t>
            </w:r>
          </w:p>
        </w:tc>
      </w:tr>
      <w:tr w:rsidR="00786FC7" w14:paraId="6A3A0996" w14:textId="77777777" w:rsidTr="00B77E60">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14:paraId="19501458" w14:textId="2DFD666C"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3.</w:t>
            </w:r>
            <w:r w:rsidR="00F77250" w:rsidRPr="0048236F">
              <w:rPr>
                <w:rFonts w:ascii="Times New Roman" w:eastAsia="Times New Roman" w:hAnsi="Times New Roman" w:cs="Times New Roman"/>
                <w:sz w:val="24"/>
                <w:szCs w:val="24"/>
                <w:lang w:val="fr-FR"/>
              </w:rPr>
              <w:t>Taux effectif de la TVA</w:t>
            </w:r>
          </w:p>
        </w:tc>
        <w:tc>
          <w:tcPr>
            <w:tcW w:w="1259" w:type="dxa"/>
            <w:shd w:val="clear" w:color="auto" w:fill="auto"/>
          </w:tcPr>
          <w:p w14:paraId="3029250C" w14:textId="35EE8525" w:rsidR="007A6EE3" w:rsidRPr="0048236F" w:rsidRDefault="00696F6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0,76</w:t>
            </w:r>
          </w:p>
        </w:tc>
        <w:tc>
          <w:tcPr>
            <w:tcW w:w="1259" w:type="dxa"/>
            <w:shd w:val="clear" w:color="auto" w:fill="auto"/>
          </w:tcPr>
          <w:p w14:paraId="357F163A" w14:textId="4FA08766" w:rsidR="007A6EE3" w:rsidRPr="00260654" w:rsidRDefault="00166172"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lang w:val="fr-FR"/>
              </w:rPr>
            </w:pPr>
            <w:r w:rsidRPr="0048236F">
              <w:rPr>
                <w:rFonts w:ascii="Times New Roman" w:eastAsia="Times New Roman" w:hAnsi="Times New Roman" w:cs="Times New Roman"/>
                <w:sz w:val="24"/>
                <w:szCs w:val="24"/>
                <w:lang w:val="fr-FR"/>
              </w:rPr>
              <w:t>0,91</w:t>
            </w:r>
            <w:r w:rsidR="00260654">
              <w:rPr>
                <w:rFonts w:ascii="Times New Roman" w:eastAsia="Times New Roman" w:hAnsi="Times New Roman" w:cs="Times New Roman"/>
                <w:sz w:val="24"/>
                <w:szCs w:val="24"/>
                <w:vertAlign w:val="superscript"/>
                <w:lang w:val="fr-FR"/>
              </w:rPr>
              <w:t>*</w:t>
            </w:r>
          </w:p>
        </w:tc>
        <w:tc>
          <w:tcPr>
            <w:tcW w:w="984" w:type="dxa"/>
            <w:shd w:val="clear" w:color="auto" w:fill="auto"/>
          </w:tcPr>
          <w:p w14:paraId="678472E1" w14:textId="0CA67C99" w:rsidR="007A6EE3" w:rsidRPr="0048236F" w:rsidRDefault="00E63865"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1114" w:type="dxa"/>
            <w:shd w:val="clear" w:color="auto" w:fill="auto"/>
          </w:tcPr>
          <w:p w14:paraId="5F380A56" w14:textId="6D0E578F" w:rsidR="007A6EE3" w:rsidRPr="0048236F" w:rsidRDefault="00D7184D"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-0,32</w:t>
            </w:r>
          </w:p>
        </w:tc>
        <w:tc>
          <w:tcPr>
            <w:tcW w:w="1119" w:type="dxa"/>
            <w:shd w:val="clear" w:color="auto" w:fill="auto"/>
          </w:tcPr>
          <w:p w14:paraId="03F174F7" w14:textId="3D3DDA6C" w:rsidR="007A6EE3" w:rsidRPr="0048236F" w:rsidRDefault="00D127C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-0,13</w:t>
            </w:r>
          </w:p>
        </w:tc>
        <w:tc>
          <w:tcPr>
            <w:tcW w:w="1119" w:type="dxa"/>
            <w:shd w:val="clear" w:color="auto" w:fill="auto"/>
          </w:tcPr>
          <w:p w14:paraId="6120D489" w14:textId="0EC8434F" w:rsidR="007A6EE3" w:rsidRPr="0048236F" w:rsidRDefault="00A0105B"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0,65</w:t>
            </w:r>
          </w:p>
        </w:tc>
        <w:tc>
          <w:tcPr>
            <w:tcW w:w="840" w:type="dxa"/>
            <w:shd w:val="clear" w:color="auto" w:fill="auto"/>
          </w:tcPr>
          <w:p w14:paraId="43867D70" w14:textId="45320FCA" w:rsidR="007A6EE3" w:rsidRPr="0048236F" w:rsidRDefault="003004F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0,60</w:t>
            </w:r>
          </w:p>
        </w:tc>
        <w:tc>
          <w:tcPr>
            <w:tcW w:w="1193" w:type="dxa"/>
            <w:shd w:val="clear" w:color="auto" w:fill="auto"/>
          </w:tcPr>
          <w:p w14:paraId="1986FA39" w14:textId="083A805D" w:rsidR="007A6EE3" w:rsidRPr="0048236F" w:rsidRDefault="00DA7CA1"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0,78</w:t>
            </w:r>
          </w:p>
        </w:tc>
      </w:tr>
      <w:tr w:rsidR="00765FDB" w14:paraId="5453A14F" w14:textId="77777777" w:rsidTr="00B77E60">
        <w:trPr>
          <w:trHeight w:val="427"/>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14:paraId="4F8EB820" w14:textId="71DF205C"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4.</w:t>
            </w:r>
            <w:r w:rsidR="00F77250" w:rsidRPr="0048236F">
              <w:rPr>
                <w:rFonts w:ascii="Times New Roman" w:eastAsia="Times New Roman" w:hAnsi="Times New Roman" w:cs="Times New Roman"/>
                <w:sz w:val="24"/>
                <w:szCs w:val="24"/>
                <w:lang w:val="fr-FR"/>
              </w:rPr>
              <w:t>Inflation</w:t>
            </w:r>
          </w:p>
        </w:tc>
        <w:tc>
          <w:tcPr>
            <w:tcW w:w="1259" w:type="dxa"/>
            <w:shd w:val="clear" w:color="auto" w:fill="auto"/>
          </w:tcPr>
          <w:p w14:paraId="313A8E66" w14:textId="48017F80" w:rsidR="007A6EE3" w:rsidRPr="0048236F" w:rsidRDefault="00786FC7"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00696F6A" w:rsidRPr="0048236F">
              <w:rPr>
                <w:rFonts w:ascii="Times New Roman" w:eastAsia="Times New Roman" w:hAnsi="Times New Roman" w:cs="Times New Roman"/>
                <w:sz w:val="24"/>
                <w:szCs w:val="24"/>
                <w:lang w:val="fr-FR"/>
              </w:rPr>
              <w:t>0,39</w:t>
            </w:r>
          </w:p>
        </w:tc>
        <w:tc>
          <w:tcPr>
            <w:tcW w:w="1259" w:type="dxa"/>
            <w:shd w:val="clear" w:color="auto" w:fill="auto"/>
          </w:tcPr>
          <w:p w14:paraId="2E75B2AD" w14:textId="7802D2FA" w:rsidR="007A6EE3" w:rsidRPr="0048236F" w:rsidRDefault="00F36259"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-0,38</w:t>
            </w:r>
          </w:p>
        </w:tc>
        <w:tc>
          <w:tcPr>
            <w:tcW w:w="984" w:type="dxa"/>
            <w:shd w:val="clear" w:color="auto" w:fill="auto"/>
          </w:tcPr>
          <w:p w14:paraId="74546598" w14:textId="4C50457C" w:rsidR="007A6EE3" w:rsidRPr="0048236F" w:rsidRDefault="00D7184D"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-0,32</w:t>
            </w:r>
          </w:p>
        </w:tc>
        <w:tc>
          <w:tcPr>
            <w:tcW w:w="1114" w:type="dxa"/>
            <w:shd w:val="clear" w:color="auto" w:fill="auto"/>
          </w:tcPr>
          <w:p w14:paraId="64CA74BF" w14:textId="661A14AA" w:rsidR="007A6EE3" w:rsidRPr="0048236F" w:rsidRDefault="00E63865"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1119" w:type="dxa"/>
            <w:shd w:val="clear" w:color="auto" w:fill="auto"/>
          </w:tcPr>
          <w:p w14:paraId="45EDBF65" w14:textId="7FEFD167" w:rsidR="007A6EE3" w:rsidRPr="0048236F" w:rsidRDefault="00D127C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0,32</w:t>
            </w:r>
          </w:p>
        </w:tc>
        <w:tc>
          <w:tcPr>
            <w:tcW w:w="1119" w:type="dxa"/>
            <w:shd w:val="clear" w:color="auto" w:fill="auto"/>
          </w:tcPr>
          <w:p w14:paraId="4CD450C5" w14:textId="110A08F6" w:rsidR="007A6EE3" w:rsidRPr="0048236F" w:rsidRDefault="00A0105B"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-0,37</w:t>
            </w:r>
          </w:p>
        </w:tc>
        <w:tc>
          <w:tcPr>
            <w:tcW w:w="840" w:type="dxa"/>
            <w:shd w:val="clear" w:color="auto" w:fill="auto"/>
          </w:tcPr>
          <w:p w14:paraId="082B6F8F" w14:textId="225A61A7" w:rsidR="007A6EE3" w:rsidRPr="0048236F" w:rsidRDefault="003004F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-0,33</w:t>
            </w:r>
          </w:p>
        </w:tc>
        <w:tc>
          <w:tcPr>
            <w:tcW w:w="1193" w:type="dxa"/>
            <w:shd w:val="clear" w:color="auto" w:fill="auto"/>
          </w:tcPr>
          <w:p w14:paraId="05637A33" w14:textId="6D7D1A66" w:rsidR="007A6EE3" w:rsidRPr="0048236F" w:rsidRDefault="00DA7CA1"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-0,40</w:t>
            </w:r>
          </w:p>
        </w:tc>
      </w:tr>
      <w:tr w:rsidR="00786FC7" w14:paraId="4EE85246" w14:textId="77777777" w:rsidTr="00B77E6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14:paraId="2760490A" w14:textId="0149D9AE"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5.Taux</w:t>
            </w:r>
            <w:r w:rsidR="00F77250" w:rsidRPr="0048236F">
              <w:rPr>
                <w:rFonts w:ascii="Times New Roman" w:eastAsia="Times New Roman" w:hAnsi="Times New Roman" w:cs="Times New Roman"/>
                <w:sz w:val="24"/>
                <w:szCs w:val="24"/>
                <w:lang w:val="fr-FR"/>
              </w:rPr>
              <w:t xml:space="preserve"> d’intérêt</w:t>
            </w:r>
          </w:p>
        </w:tc>
        <w:tc>
          <w:tcPr>
            <w:tcW w:w="1259" w:type="dxa"/>
            <w:shd w:val="clear" w:color="auto" w:fill="auto"/>
          </w:tcPr>
          <w:p w14:paraId="33DEC958" w14:textId="0825D8E1" w:rsidR="007A6EE3" w:rsidRPr="0048236F" w:rsidRDefault="00696F6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0,34</w:t>
            </w:r>
          </w:p>
        </w:tc>
        <w:tc>
          <w:tcPr>
            <w:tcW w:w="1259" w:type="dxa"/>
            <w:shd w:val="clear" w:color="auto" w:fill="auto"/>
          </w:tcPr>
          <w:p w14:paraId="04DEFE1A" w14:textId="0B701C12" w:rsidR="007A6EE3" w:rsidRPr="0048236F" w:rsidRDefault="00F36259"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-0,02</w:t>
            </w:r>
          </w:p>
        </w:tc>
        <w:tc>
          <w:tcPr>
            <w:tcW w:w="984" w:type="dxa"/>
            <w:shd w:val="clear" w:color="auto" w:fill="auto"/>
          </w:tcPr>
          <w:p w14:paraId="79C6E9B5" w14:textId="14F3631B" w:rsidR="007A6EE3" w:rsidRPr="0048236F" w:rsidRDefault="00D7184D"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-0,13</w:t>
            </w:r>
          </w:p>
        </w:tc>
        <w:tc>
          <w:tcPr>
            <w:tcW w:w="1114" w:type="dxa"/>
            <w:shd w:val="clear" w:color="auto" w:fill="auto"/>
          </w:tcPr>
          <w:p w14:paraId="5F00C2C8" w14:textId="4F1878A5" w:rsidR="007A6EE3" w:rsidRPr="0048236F" w:rsidRDefault="00D127C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-0,32</w:t>
            </w:r>
          </w:p>
        </w:tc>
        <w:tc>
          <w:tcPr>
            <w:tcW w:w="1119" w:type="dxa"/>
            <w:shd w:val="clear" w:color="auto" w:fill="auto"/>
          </w:tcPr>
          <w:p w14:paraId="3B3D6094" w14:textId="1F3207BA" w:rsidR="007A6EE3" w:rsidRPr="0048236F" w:rsidRDefault="00E63865"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1119" w:type="dxa"/>
            <w:shd w:val="clear" w:color="auto" w:fill="auto"/>
          </w:tcPr>
          <w:p w14:paraId="3CAED326" w14:textId="4C763912" w:rsidR="007A6EE3" w:rsidRPr="0048236F" w:rsidRDefault="00A0105B"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0,36</w:t>
            </w:r>
          </w:p>
        </w:tc>
        <w:tc>
          <w:tcPr>
            <w:tcW w:w="840" w:type="dxa"/>
            <w:shd w:val="clear" w:color="auto" w:fill="auto"/>
          </w:tcPr>
          <w:p w14:paraId="19E73A4A" w14:textId="531E8B37" w:rsidR="007A6EE3" w:rsidRPr="0048236F" w:rsidRDefault="009409BE"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0,26</w:t>
            </w:r>
          </w:p>
        </w:tc>
        <w:tc>
          <w:tcPr>
            <w:tcW w:w="1193" w:type="dxa"/>
            <w:shd w:val="clear" w:color="auto" w:fill="auto"/>
          </w:tcPr>
          <w:p w14:paraId="56B3E86C" w14:textId="1B01CC7B" w:rsidR="007A6EE3" w:rsidRPr="0048236F" w:rsidRDefault="00835117"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0,21</w:t>
            </w:r>
          </w:p>
        </w:tc>
      </w:tr>
      <w:tr w:rsidR="00765FDB" w14:paraId="6DAB74EE" w14:textId="77777777" w:rsidTr="00B77E60">
        <w:trPr>
          <w:trHeight w:val="861"/>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14:paraId="41A91581" w14:textId="24960DC0"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6.</w:t>
            </w:r>
            <w:r w:rsidR="00F77250" w:rsidRPr="0048236F">
              <w:rPr>
                <w:rFonts w:ascii="Times New Roman" w:eastAsia="Times New Roman" w:hAnsi="Times New Roman" w:cs="Times New Roman"/>
                <w:sz w:val="24"/>
                <w:szCs w:val="24"/>
                <w:lang w:val="fr-FR"/>
              </w:rPr>
              <w:t>Taux</w:t>
            </w:r>
            <w:r w:rsidR="00166CC9">
              <w:rPr>
                <w:rFonts w:ascii="Times New Roman" w:eastAsia="Times New Roman" w:hAnsi="Times New Roman" w:cs="Times New Roman"/>
                <w:sz w:val="24"/>
                <w:szCs w:val="24"/>
                <w:lang w:val="fr-FR"/>
              </w:rPr>
              <w:t xml:space="preserve"> </w:t>
            </w:r>
            <w:r w:rsidR="00F77250" w:rsidRPr="0048236F">
              <w:rPr>
                <w:rFonts w:ascii="Times New Roman" w:eastAsia="Times New Roman" w:hAnsi="Times New Roman" w:cs="Times New Roman"/>
                <w:sz w:val="24"/>
                <w:szCs w:val="24"/>
                <w:lang w:val="fr-FR"/>
              </w:rPr>
              <w:t>de chômage</w:t>
            </w:r>
          </w:p>
        </w:tc>
        <w:tc>
          <w:tcPr>
            <w:tcW w:w="1259" w:type="dxa"/>
            <w:shd w:val="clear" w:color="auto" w:fill="auto"/>
          </w:tcPr>
          <w:p w14:paraId="0EAADA0C" w14:textId="71D524E6" w:rsidR="007A6EE3" w:rsidRPr="0048236F" w:rsidRDefault="004A3888"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0,77</w:t>
            </w:r>
          </w:p>
        </w:tc>
        <w:tc>
          <w:tcPr>
            <w:tcW w:w="1259" w:type="dxa"/>
            <w:shd w:val="clear" w:color="auto" w:fill="auto"/>
          </w:tcPr>
          <w:p w14:paraId="4B7BAC37" w14:textId="50D116B3" w:rsidR="007A6EE3" w:rsidRPr="0048236F" w:rsidRDefault="00F36259"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0,78</w:t>
            </w:r>
          </w:p>
        </w:tc>
        <w:tc>
          <w:tcPr>
            <w:tcW w:w="984" w:type="dxa"/>
            <w:shd w:val="clear" w:color="auto" w:fill="auto"/>
          </w:tcPr>
          <w:p w14:paraId="628A9A1D" w14:textId="1255281F" w:rsidR="007A6EE3" w:rsidRPr="0048236F" w:rsidRDefault="00D7184D"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0,65</w:t>
            </w:r>
          </w:p>
        </w:tc>
        <w:tc>
          <w:tcPr>
            <w:tcW w:w="1114" w:type="dxa"/>
            <w:shd w:val="clear" w:color="auto" w:fill="auto"/>
          </w:tcPr>
          <w:p w14:paraId="7A472618" w14:textId="30FD3A3C" w:rsidR="007A6EE3" w:rsidRPr="0048236F" w:rsidRDefault="00D127C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-0,37</w:t>
            </w:r>
          </w:p>
        </w:tc>
        <w:tc>
          <w:tcPr>
            <w:tcW w:w="1119" w:type="dxa"/>
            <w:shd w:val="clear" w:color="auto" w:fill="auto"/>
          </w:tcPr>
          <w:p w14:paraId="168D6593" w14:textId="5CFC6146" w:rsidR="007A6EE3" w:rsidRPr="0048236F" w:rsidRDefault="00D127C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0,36</w:t>
            </w:r>
          </w:p>
        </w:tc>
        <w:tc>
          <w:tcPr>
            <w:tcW w:w="1119" w:type="dxa"/>
            <w:shd w:val="clear" w:color="auto" w:fill="auto"/>
          </w:tcPr>
          <w:p w14:paraId="497E7FCF" w14:textId="7664539B" w:rsidR="007A6EE3" w:rsidRPr="0048236F" w:rsidRDefault="00E63865"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840" w:type="dxa"/>
            <w:shd w:val="clear" w:color="auto" w:fill="auto"/>
          </w:tcPr>
          <w:p w14:paraId="14FA0603" w14:textId="7E3F6CB6" w:rsidR="007A6EE3" w:rsidRPr="0048236F" w:rsidRDefault="009409BE"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w:t>
            </w:r>
            <w:r w:rsidR="00406CEC" w:rsidRPr="0048236F">
              <w:rPr>
                <w:rFonts w:ascii="Times New Roman" w:eastAsia="Times New Roman" w:hAnsi="Times New Roman" w:cs="Times New Roman"/>
                <w:sz w:val="24"/>
                <w:szCs w:val="24"/>
                <w:lang w:val="fr-FR"/>
              </w:rPr>
              <w:t>76</w:t>
            </w:r>
          </w:p>
        </w:tc>
        <w:tc>
          <w:tcPr>
            <w:tcW w:w="1193" w:type="dxa"/>
            <w:shd w:val="clear" w:color="auto" w:fill="auto"/>
          </w:tcPr>
          <w:p w14:paraId="56C56473" w14:textId="33528F92" w:rsidR="007A6EE3" w:rsidRPr="0048236F" w:rsidRDefault="00835117"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0,66</w:t>
            </w:r>
          </w:p>
        </w:tc>
      </w:tr>
      <w:tr w:rsidR="00786FC7" w14:paraId="6CA8FC5D" w14:textId="77777777" w:rsidTr="00B77E60">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14:paraId="65B1B08A" w14:textId="579EB488" w:rsidR="007A6EE3"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7.</w:t>
            </w:r>
            <w:r w:rsidR="00F77250" w:rsidRPr="0048236F">
              <w:rPr>
                <w:rFonts w:ascii="Times New Roman" w:eastAsia="Times New Roman" w:hAnsi="Times New Roman" w:cs="Times New Roman"/>
                <w:sz w:val="24"/>
                <w:szCs w:val="24"/>
                <w:lang w:val="fr-FR"/>
              </w:rPr>
              <w:t>Population totale</w:t>
            </w:r>
          </w:p>
        </w:tc>
        <w:tc>
          <w:tcPr>
            <w:tcW w:w="1259" w:type="dxa"/>
            <w:shd w:val="clear" w:color="auto" w:fill="auto"/>
          </w:tcPr>
          <w:p w14:paraId="6CCE957E" w14:textId="1CFDFA30" w:rsidR="007A6EE3" w:rsidRPr="0048236F" w:rsidRDefault="004A3888"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0,73</w:t>
            </w:r>
          </w:p>
        </w:tc>
        <w:tc>
          <w:tcPr>
            <w:tcW w:w="1259" w:type="dxa"/>
            <w:shd w:val="clear" w:color="auto" w:fill="auto"/>
          </w:tcPr>
          <w:p w14:paraId="4C49EA2D" w14:textId="2E13CBCB" w:rsidR="007A6EE3" w:rsidRPr="0048236F" w:rsidRDefault="00F36259"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0,78</w:t>
            </w:r>
          </w:p>
        </w:tc>
        <w:tc>
          <w:tcPr>
            <w:tcW w:w="984" w:type="dxa"/>
            <w:shd w:val="clear" w:color="auto" w:fill="auto"/>
          </w:tcPr>
          <w:p w14:paraId="4AA98D4C" w14:textId="0F38F41C" w:rsidR="007A6EE3" w:rsidRPr="0048236F" w:rsidRDefault="00D7184D"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0,60</w:t>
            </w:r>
          </w:p>
        </w:tc>
        <w:tc>
          <w:tcPr>
            <w:tcW w:w="1114" w:type="dxa"/>
            <w:shd w:val="clear" w:color="auto" w:fill="auto"/>
          </w:tcPr>
          <w:p w14:paraId="659E8B5A" w14:textId="3572827A" w:rsidR="007A6EE3" w:rsidRPr="0048236F" w:rsidRDefault="00D127C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-0,33</w:t>
            </w:r>
          </w:p>
        </w:tc>
        <w:tc>
          <w:tcPr>
            <w:tcW w:w="1119" w:type="dxa"/>
            <w:shd w:val="clear" w:color="auto" w:fill="auto"/>
          </w:tcPr>
          <w:p w14:paraId="0E54E75F" w14:textId="6BD4464B" w:rsidR="007A6EE3" w:rsidRPr="0048236F" w:rsidRDefault="00D127CA"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0,26</w:t>
            </w:r>
          </w:p>
        </w:tc>
        <w:tc>
          <w:tcPr>
            <w:tcW w:w="1119" w:type="dxa"/>
            <w:shd w:val="clear" w:color="auto" w:fill="auto"/>
          </w:tcPr>
          <w:p w14:paraId="6A3CDBA9" w14:textId="2220287D" w:rsidR="007A6EE3" w:rsidRPr="0048236F" w:rsidRDefault="00A0105B"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0,76</w:t>
            </w:r>
          </w:p>
        </w:tc>
        <w:tc>
          <w:tcPr>
            <w:tcW w:w="840" w:type="dxa"/>
            <w:shd w:val="clear" w:color="auto" w:fill="auto"/>
          </w:tcPr>
          <w:p w14:paraId="3BC3CC6B" w14:textId="13E2B527" w:rsidR="007A6EE3" w:rsidRPr="0048236F" w:rsidRDefault="00E63865"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c>
          <w:tcPr>
            <w:tcW w:w="1193" w:type="dxa"/>
            <w:shd w:val="clear" w:color="auto" w:fill="auto"/>
          </w:tcPr>
          <w:p w14:paraId="6185FF88" w14:textId="4E4E79AA" w:rsidR="007A6EE3" w:rsidRPr="0048236F" w:rsidRDefault="00835117" w:rsidP="003904B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0,69</w:t>
            </w:r>
          </w:p>
        </w:tc>
      </w:tr>
      <w:tr w:rsidR="00765FDB" w14:paraId="6B9309E5" w14:textId="77777777" w:rsidTr="00B77E60">
        <w:trPr>
          <w:trHeight w:val="427"/>
        </w:trPr>
        <w:tc>
          <w:tcPr>
            <w:cnfStyle w:val="001000000000" w:firstRow="0" w:lastRow="0" w:firstColumn="1" w:lastColumn="0" w:oddVBand="0" w:evenVBand="0" w:oddHBand="0" w:evenHBand="0" w:firstRowFirstColumn="0" w:firstRowLastColumn="0" w:lastRowFirstColumn="0" w:lastRowLastColumn="0"/>
            <w:tcW w:w="1674" w:type="dxa"/>
            <w:tcBorders>
              <w:bottom w:val="single" w:sz="24" w:space="0" w:color="auto"/>
            </w:tcBorders>
            <w:shd w:val="clear" w:color="auto" w:fill="auto"/>
          </w:tcPr>
          <w:p w14:paraId="1174C3B1" w14:textId="703D95C2" w:rsidR="00DF2805" w:rsidRPr="0048236F" w:rsidRDefault="00786FC7" w:rsidP="003904B9">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 Revenu</w:t>
            </w:r>
          </w:p>
        </w:tc>
        <w:tc>
          <w:tcPr>
            <w:tcW w:w="1259" w:type="dxa"/>
            <w:tcBorders>
              <w:bottom w:val="single" w:sz="24" w:space="0" w:color="auto"/>
            </w:tcBorders>
            <w:shd w:val="clear" w:color="auto" w:fill="auto"/>
          </w:tcPr>
          <w:p w14:paraId="47841F76" w14:textId="3FCA7B36" w:rsidR="00DF2805" w:rsidRPr="0048236F" w:rsidRDefault="00DA7CA1"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0,75</w:t>
            </w:r>
          </w:p>
        </w:tc>
        <w:tc>
          <w:tcPr>
            <w:tcW w:w="1259" w:type="dxa"/>
            <w:tcBorders>
              <w:bottom w:val="single" w:sz="24" w:space="0" w:color="auto"/>
            </w:tcBorders>
            <w:shd w:val="clear" w:color="auto" w:fill="auto"/>
          </w:tcPr>
          <w:p w14:paraId="32B7DA9E" w14:textId="3D3204CC" w:rsidR="00DF2805" w:rsidRPr="0048236F" w:rsidRDefault="00F36259"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0,73</w:t>
            </w:r>
          </w:p>
        </w:tc>
        <w:tc>
          <w:tcPr>
            <w:tcW w:w="984" w:type="dxa"/>
            <w:tcBorders>
              <w:bottom w:val="single" w:sz="24" w:space="0" w:color="auto"/>
            </w:tcBorders>
            <w:shd w:val="clear" w:color="auto" w:fill="auto"/>
          </w:tcPr>
          <w:p w14:paraId="524AB6B0" w14:textId="1F078D90" w:rsidR="00DF2805" w:rsidRPr="0048236F" w:rsidRDefault="00D7184D"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0,78</w:t>
            </w:r>
          </w:p>
        </w:tc>
        <w:tc>
          <w:tcPr>
            <w:tcW w:w="1114" w:type="dxa"/>
            <w:tcBorders>
              <w:bottom w:val="single" w:sz="24" w:space="0" w:color="auto"/>
            </w:tcBorders>
            <w:shd w:val="clear" w:color="auto" w:fill="auto"/>
          </w:tcPr>
          <w:p w14:paraId="174F6F3B" w14:textId="64054C08" w:rsidR="00DF2805" w:rsidRPr="0048236F" w:rsidRDefault="00D127C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-0,40</w:t>
            </w:r>
          </w:p>
        </w:tc>
        <w:tc>
          <w:tcPr>
            <w:tcW w:w="1119" w:type="dxa"/>
            <w:tcBorders>
              <w:bottom w:val="single" w:sz="24" w:space="0" w:color="auto"/>
            </w:tcBorders>
            <w:shd w:val="clear" w:color="auto" w:fill="auto"/>
          </w:tcPr>
          <w:p w14:paraId="5D6AF67C" w14:textId="3894D4C9" w:rsidR="00DF2805" w:rsidRPr="0048236F" w:rsidRDefault="00D127CA"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0,21</w:t>
            </w:r>
          </w:p>
        </w:tc>
        <w:tc>
          <w:tcPr>
            <w:tcW w:w="1119" w:type="dxa"/>
            <w:tcBorders>
              <w:bottom w:val="single" w:sz="24" w:space="0" w:color="auto"/>
            </w:tcBorders>
            <w:shd w:val="clear" w:color="auto" w:fill="auto"/>
          </w:tcPr>
          <w:p w14:paraId="6B7EDAE5" w14:textId="48893023" w:rsidR="00DF2805" w:rsidRPr="0048236F" w:rsidRDefault="002060DC"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0,66</w:t>
            </w:r>
          </w:p>
        </w:tc>
        <w:tc>
          <w:tcPr>
            <w:tcW w:w="840" w:type="dxa"/>
            <w:tcBorders>
              <w:bottom w:val="single" w:sz="24" w:space="0" w:color="auto"/>
            </w:tcBorders>
            <w:shd w:val="clear" w:color="auto" w:fill="auto"/>
          </w:tcPr>
          <w:p w14:paraId="7CA079F3" w14:textId="1BEB2DD7" w:rsidR="00DF2805" w:rsidRPr="0048236F" w:rsidRDefault="00406CEC"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0,69</w:t>
            </w:r>
          </w:p>
        </w:tc>
        <w:tc>
          <w:tcPr>
            <w:tcW w:w="1193" w:type="dxa"/>
            <w:tcBorders>
              <w:bottom w:val="single" w:sz="24" w:space="0" w:color="auto"/>
            </w:tcBorders>
            <w:shd w:val="clear" w:color="auto" w:fill="auto"/>
          </w:tcPr>
          <w:p w14:paraId="33735BBC" w14:textId="17AE398B" w:rsidR="00DF2805" w:rsidRPr="0048236F" w:rsidRDefault="00E63865" w:rsidP="003904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48236F">
              <w:rPr>
                <w:rFonts w:ascii="Times New Roman" w:eastAsia="Times New Roman" w:hAnsi="Times New Roman" w:cs="Times New Roman"/>
                <w:sz w:val="24"/>
                <w:szCs w:val="24"/>
                <w:lang w:val="fr-FR"/>
              </w:rPr>
              <w:t>1,00</w:t>
            </w:r>
          </w:p>
        </w:tc>
      </w:tr>
    </w:tbl>
    <w:p w14:paraId="3E6AD26A" w14:textId="186D876E" w:rsidR="00166CC9" w:rsidRPr="00166CC9" w:rsidRDefault="003904B9">
      <w:pPr>
        <w:spacing w:line="360" w:lineRule="auto"/>
        <w:jc w:val="both"/>
        <w:rPr>
          <w:rFonts w:ascii="Times New Roman" w:eastAsia="Times New Roman" w:hAnsi="Times New Roman" w:cs="Times New Roman"/>
          <w:sz w:val="20"/>
          <w:szCs w:val="20"/>
          <w:lang w:val="fr-FR"/>
        </w:rPr>
      </w:pPr>
      <w:r w:rsidRPr="00256989">
        <w:rPr>
          <w:rFonts w:ascii="Times New Roman" w:eastAsia="Times New Roman" w:hAnsi="Times New Roman" w:cs="Times New Roman"/>
          <w:sz w:val="20"/>
          <w:szCs w:val="20"/>
          <w:lang w:val="fr-FR"/>
        </w:rPr>
        <w:t>Source</w:t>
      </w:r>
      <w:r w:rsidR="00CA47A8">
        <w:rPr>
          <w:rFonts w:ascii="Times New Roman" w:eastAsia="Times New Roman" w:hAnsi="Times New Roman" w:cs="Times New Roman"/>
          <w:sz w:val="20"/>
          <w:szCs w:val="20"/>
          <w:lang w:val="fr-FR"/>
        </w:rPr>
        <w:t xml:space="preserve"> </w:t>
      </w:r>
      <w:r w:rsidRPr="00256989">
        <w:rPr>
          <w:rFonts w:ascii="Times New Roman" w:eastAsia="Times New Roman" w:hAnsi="Times New Roman" w:cs="Times New Roman"/>
          <w:sz w:val="20"/>
          <w:szCs w:val="20"/>
          <w:lang w:val="fr-FR"/>
        </w:rPr>
        <w:t>: Construit par l’auteur à partir des données WDI (2022), DGI (2023)</w:t>
      </w:r>
    </w:p>
    <w:p w14:paraId="4CCD2BD6" w14:textId="39372D1B" w:rsidR="005E4276" w:rsidRPr="00256989" w:rsidRDefault="006D388F">
      <w:pPr>
        <w:spacing w:line="360" w:lineRule="auto"/>
        <w:jc w:val="both"/>
        <w:rPr>
          <w:rFonts w:ascii="Times New Roman" w:eastAsia="Times New Roman" w:hAnsi="Times New Roman" w:cs="Times New Roman"/>
          <w:b/>
          <w:sz w:val="24"/>
          <w:szCs w:val="24"/>
          <w:lang w:val="fr-FR"/>
        </w:rPr>
      </w:pPr>
      <w:bookmarkStart w:id="8" w:name="_Hlk189836885"/>
      <w:r w:rsidRPr="00256989">
        <w:rPr>
          <w:rFonts w:ascii="Times New Roman" w:eastAsia="Times New Roman" w:hAnsi="Times New Roman" w:cs="Times New Roman"/>
          <w:b/>
          <w:sz w:val="24"/>
          <w:szCs w:val="24"/>
          <w:lang w:val="fr-FR"/>
        </w:rPr>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.2.</w:t>
      </w:r>
      <w:r w:rsidR="003904B9" w:rsidRPr="00256989">
        <w:rPr>
          <w:rFonts w:ascii="Times New Roman" w:eastAsia="Times New Roman" w:hAnsi="Times New Roman" w:cs="Times New Roman"/>
          <w:b/>
          <w:sz w:val="24"/>
          <w:szCs w:val="24"/>
          <w:lang w:val="fr-FR"/>
        </w:rPr>
        <w:t>3</w:t>
      </w:r>
      <w:r w:rsidRPr="00256989">
        <w:rPr>
          <w:rFonts w:ascii="Times New Roman" w:eastAsia="Times New Roman" w:hAnsi="Times New Roman" w:cs="Times New Roman"/>
          <w:b/>
          <w:sz w:val="24"/>
          <w:szCs w:val="24"/>
          <w:lang w:val="fr-FR"/>
        </w:rPr>
        <w:t xml:space="preserve"> Test de cointégration</w:t>
      </w:r>
    </w:p>
    <w:p w14:paraId="76179BF6" w14:textId="623F315C"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 test de cointégration est une technique statistique utilisée en économétrie pour analyser les relations à long terme entre des séries temporelles. L'hypothèse fondamentale de ce test est qu'il examine si une combinaison linéaire des séries temporelles individuelles est stationnaire. Si une telle combinaison existe, cela suggère qu'il y a une relation à long terme entre les séries temporelles individuelles, même si elles peuvent fluctuer de manière indépendante à court terme. Parmi les différents tests de cointégration, nous avons le test de cointégration de Johansen (1988,1991), le test de Pesaran et al (2001) ou le test de cointégration aux bornes (test de cointégration de Bounds). L’approche de test </w:t>
      </w:r>
      <w:r w:rsidR="001C0458" w:rsidRPr="00256989">
        <w:rPr>
          <w:rFonts w:ascii="Times New Roman" w:eastAsia="Times New Roman" w:hAnsi="Times New Roman" w:cs="Times New Roman"/>
          <w:sz w:val="24"/>
          <w:szCs w:val="24"/>
          <w:lang w:val="fr-FR"/>
        </w:rPr>
        <w:t>aux bornes ou le test de Pesaran et al (2001)</w:t>
      </w:r>
      <w:r w:rsidRPr="00256989">
        <w:rPr>
          <w:rFonts w:ascii="Times New Roman" w:eastAsia="Times New Roman" w:hAnsi="Times New Roman" w:cs="Times New Roman"/>
          <w:sz w:val="24"/>
          <w:szCs w:val="24"/>
          <w:lang w:val="fr-FR"/>
        </w:rPr>
        <w:t xml:space="preserve"> a été utilisée pour déterminer la </w:t>
      </w:r>
      <w:r w:rsidRPr="00256989">
        <w:rPr>
          <w:rFonts w:ascii="Times New Roman" w:eastAsia="Times New Roman" w:hAnsi="Times New Roman" w:cs="Times New Roman"/>
          <w:sz w:val="24"/>
          <w:szCs w:val="24"/>
          <w:lang w:val="fr-FR"/>
        </w:rPr>
        <w:lastRenderedPageBreak/>
        <w:t>présence de cointégration entre les séries dans cette recherche</w:t>
      </w:r>
      <w:r w:rsidR="001C0458" w:rsidRPr="00256989">
        <w:rPr>
          <w:rFonts w:ascii="Times New Roman" w:eastAsia="Times New Roman" w:hAnsi="Times New Roman" w:cs="Times New Roman"/>
          <w:sz w:val="24"/>
          <w:szCs w:val="24"/>
          <w:lang w:val="fr-FR"/>
        </w:rPr>
        <w:t xml:space="preserve"> car les </w:t>
      </w:r>
      <w:r w:rsidR="00CA47A8" w:rsidRPr="00CA47A8">
        <w:rPr>
          <w:rFonts w:ascii="Times New Roman" w:eastAsia="Times New Roman" w:hAnsi="Times New Roman" w:cs="Times New Roman"/>
          <w:sz w:val="24"/>
          <w:szCs w:val="24"/>
          <w:lang w:val="fr-FR"/>
        </w:rPr>
        <w:t>séries</w:t>
      </w:r>
      <w:r w:rsidR="001C0458" w:rsidRPr="00256989">
        <w:rPr>
          <w:rFonts w:ascii="Times New Roman" w:eastAsia="Times New Roman" w:hAnsi="Times New Roman" w:cs="Times New Roman"/>
          <w:sz w:val="24"/>
          <w:szCs w:val="24"/>
          <w:lang w:val="fr-FR"/>
        </w:rPr>
        <w:t xml:space="preserve"> ne sont pas intégrées de même ordre</w:t>
      </w:r>
      <w:r w:rsidRPr="00256989">
        <w:rPr>
          <w:rFonts w:ascii="Times New Roman" w:eastAsia="Times New Roman" w:hAnsi="Times New Roman" w:cs="Times New Roman"/>
          <w:sz w:val="24"/>
          <w:szCs w:val="24"/>
          <w:lang w:val="fr-FR"/>
        </w:rPr>
        <w:t>. Ce test est basé sur le F-statistiques communes avec une hypothèse nulle d’absence de cointégration. Le principe de ce test repose sur la comparaison de la valeur statistique avec la bonde inférieure et de la bonde supérieure pour les différents seuils de significativité.</w:t>
      </w:r>
    </w:p>
    <w:p w14:paraId="799B3C9A" w14:textId="77777777" w:rsidR="00E023D1"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Si la statistique F calculée est supérieure à la valeur critique supérieure, on rejette l’hypothèse nulle d’absence de cointégration. En revanche, si la statistique F est inférieure à la valeur inférieure critique, on accepte l’hypothèse nulle. Toutefois, si la statistique F se situe entre les valeurs bornes, le résultat est peu concluant.</w:t>
      </w:r>
    </w:p>
    <w:p w14:paraId="63C465FB" w14:textId="356500B4" w:rsidR="00FD781E" w:rsidRPr="00256989" w:rsidRDefault="00E023D1">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Les résultats du test de cointégration dans les deux (2) modèles confirment l’existence d’une relation de cointégration entre les séries car les valeurs de F-statistiques des deux modèles </w:t>
      </w:r>
      <w:r>
        <w:rPr>
          <w:rFonts w:ascii="Times New Roman" w:eastAsia="Times New Roman" w:hAnsi="Times New Roman" w:cs="Times New Roman"/>
          <w:sz w:val="24"/>
          <w:szCs w:val="24"/>
          <w:lang w:val="fr-FR"/>
        </w:rPr>
        <w:t xml:space="preserve">qui sont respectivement </w:t>
      </w:r>
      <w:r>
        <w:rPr>
          <w:rFonts w:ascii="Times New Roman" w:eastAsia="Times New Roman" w:hAnsi="Times New Roman" w:cs="Times New Roman"/>
          <w:sz w:val="24"/>
          <w:szCs w:val="24"/>
        </w:rPr>
        <w:t>4,888485</w:t>
      </w:r>
      <w:r>
        <w:rPr>
          <w:rFonts w:ascii="Times New Roman" w:eastAsia="Times New Roman" w:hAnsi="Times New Roman" w:cs="Times New Roman"/>
          <w:sz w:val="24"/>
          <w:szCs w:val="24"/>
          <w:lang w:val="fr-FR"/>
        </w:rPr>
        <w:t xml:space="preserve"> et </w:t>
      </w:r>
      <w:r>
        <w:rPr>
          <w:rFonts w:ascii="Times New Roman" w:eastAsia="Times New Roman" w:hAnsi="Times New Roman" w:cs="Times New Roman"/>
          <w:sz w:val="24"/>
          <w:szCs w:val="24"/>
        </w:rPr>
        <w:t>7,419998</w:t>
      </w:r>
      <w:r>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sont supérieures à la valeur de bonde supérieur pour tout seuil conventionnelle (1%, 5% et 10%). Par conséquent, on rejette l’hypothèse nulle d’absence de cointégration. Nous concluons alors à l’existence de la cointégration entre les variables dans les 2 modèles. Cependant, cela donne la possibilité d’estimer les effets de court et de long terme.</w:t>
      </w:r>
      <w:r w:rsidR="006D388F" w:rsidRPr="00256989">
        <w:rPr>
          <w:rFonts w:ascii="Times New Roman" w:eastAsia="Times New Roman" w:hAnsi="Times New Roman" w:cs="Times New Roman"/>
          <w:sz w:val="24"/>
          <w:szCs w:val="24"/>
          <w:lang w:val="fr-FR"/>
        </w:rPr>
        <w:t xml:space="preserve"> Les résultats du tableau sont consignés dans le tableau </w:t>
      </w:r>
      <w:r w:rsidR="00E66692">
        <w:rPr>
          <w:rFonts w:ascii="Times New Roman" w:eastAsia="Times New Roman" w:hAnsi="Times New Roman" w:cs="Times New Roman"/>
          <w:sz w:val="24"/>
          <w:szCs w:val="24"/>
          <w:lang w:val="fr-FR"/>
        </w:rPr>
        <w:t>4</w:t>
      </w:r>
      <w:r w:rsidR="006D388F" w:rsidRPr="00256989">
        <w:rPr>
          <w:rFonts w:ascii="Times New Roman" w:eastAsia="Times New Roman" w:hAnsi="Times New Roman" w:cs="Times New Roman"/>
          <w:sz w:val="24"/>
          <w:szCs w:val="24"/>
          <w:lang w:val="fr-FR"/>
        </w:rPr>
        <w:t>.</w:t>
      </w:r>
    </w:p>
    <w:p w14:paraId="2D9B53A6" w14:textId="42110864" w:rsidR="005E4276" w:rsidRPr="00256989" w:rsidRDefault="006D388F">
      <w:pPr>
        <w:spacing w:line="360" w:lineRule="auto"/>
        <w:jc w:val="both"/>
        <w:rPr>
          <w:rFonts w:ascii="Times New Roman" w:eastAsia="Times New Roman" w:hAnsi="Times New Roman" w:cs="Times New Roman"/>
          <w:i/>
          <w:sz w:val="24"/>
          <w:szCs w:val="24"/>
          <w:lang w:val="fr-FR"/>
        </w:rPr>
      </w:pPr>
      <w:r w:rsidRPr="00256989">
        <w:rPr>
          <w:rFonts w:ascii="Times New Roman" w:eastAsia="Times New Roman" w:hAnsi="Times New Roman" w:cs="Times New Roman"/>
          <w:i/>
          <w:sz w:val="24"/>
          <w:szCs w:val="24"/>
          <w:lang w:val="fr-FR"/>
        </w:rPr>
        <w:t>Tableau : Test de cointégration</w:t>
      </w:r>
      <w:r w:rsidR="00E22CA5" w:rsidRPr="00256989">
        <w:rPr>
          <w:rFonts w:ascii="Times New Roman" w:eastAsia="Times New Roman" w:hAnsi="Times New Roman" w:cs="Times New Roman"/>
          <w:i/>
          <w:sz w:val="24"/>
          <w:szCs w:val="24"/>
          <w:lang w:val="fr-FR"/>
        </w:rPr>
        <w:t xml:space="preserve"> aux bornes</w:t>
      </w:r>
      <w:r w:rsidRPr="00256989">
        <w:rPr>
          <w:rFonts w:ascii="Times New Roman" w:eastAsia="Times New Roman" w:hAnsi="Times New Roman" w:cs="Times New Roman"/>
          <w:i/>
          <w:sz w:val="24"/>
          <w:szCs w:val="24"/>
          <w:lang w:val="fr-FR"/>
        </w:rPr>
        <w:t xml:space="preserve"> de Pesaran et al (2001)</w:t>
      </w:r>
    </w:p>
    <w:tbl>
      <w:tblPr>
        <w:tblStyle w:val="8"/>
        <w:tblW w:w="9456" w:type="dxa"/>
        <w:tblInd w:w="0" w:type="dxa"/>
        <w:tblBorders>
          <w:top w:val="single" w:sz="4" w:space="0" w:color="000000"/>
          <w:bottom w:val="single" w:sz="4" w:space="0" w:color="000000"/>
        </w:tblBorders>
        <w:tblLayout w:type="fixed"/>
        <w:tblLook w:val="04A0" w:firstRow="1" w:lastRow="0" w:firstColumn="1" w:lastColumn="0" w:noHBand="0" w:noVBand="1"/>
      </w:tblPr>
      <w:tblGrid>
        <w:gridCol w:w="1124"/>
        <w:gridCol w:w="1428"/>
        <w:gridCol w:w="2977"/>
        <w:gridCol w:w="1842"/>
        <w:gridCol w:w="2085"/>
      </w:tblGrid>
      <w:tr w:rsidR="005E4276" w14:paraId="00AAD0BA" w14:textId="77777777" w:rsidTr="00FF4C8E">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24" w:type="dxa"/>
            <w:vMerge w:val="restart"/>
          </w:tcPr>
          <w:p w14:paraId="3AE4C74C"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Modèle</w:t>
            </w:r>
          </w:p>
        </w:tc>
        <w:tc>
          <w:tcPr>
            <w:tcW w:w="1428" w:type="dxa"/>
            <w:vMerge w:val="restart"/>
          </w:tcPr>
          <w:p w14:paraId="75BE7DBB" w14:textId="77777777" w:rsidR="005E427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F-Statistiques</w:t>
            </w:r>
          </w:p>
        </w:tc>
        <w:tc>
          <w:tcPr>
            <w:tcW w:w="2977" w:type="dxa"/>
            <w:vMerge w:val="restart"/>
          </w:tcPr>
          <w:p w14:paraId="27EA67F2" w14:textId="2FD576E1" w:rsidR="005E427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Seuil</w:t>
            </w:r>
            <w:r w:rsidR="00FF4C8E">
              <w:rPr>
                <w:rFonts w:ascii="Times New Roman" w:eastAsia="Times New Roman" w:hAnsi="Times New Roman" w:cs="Times New Roman"/>
                <w:sz w:val="24"/>
                <w:szCs w:val="24"/>
              </w:rPr>
              <w:t xml:space="preserve"> de significativité</w:t>
            </w:r>
          </w:p>
        </w:tc>
        <w:tc>
          <w:tcPr>
            <w:tcW w:w="3927" w:type="dxa"/>
            <w:gridSpan w:val="2"/>
            <w:tcBorders>
              <w:bottom w:val="single" w:sz="12" w:space="0" w:color="000000"/>
            </w:tcBorders>
            <w:shd w:val="clear" w:color="auto" w:fill="auto"/>
          </w:tcPr>
          <w:p w14:paraId="66A26FE0" w14:textId="77777777" w:rsidR="005E427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Limites des valeurs critiques</w:t>
            </w:r>
          </w:p>
        </w:tc>
      </w:tr>
      <w:tr w:rsidR="005E4276" w14:paraId="5009FDD6" w14:textId="77777777" w:rsidTr="00FF4C8E">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124" w:type="dxa"/>
            <w:vMerge/>
          </w:tcPr>
          <w:p w14:paraId="341615B6" w14:textId="77777777" w:rsidR="005E4276" w:rsidRDefault="005E427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28" w:type="dxa"/>
            <w:vMerge/>
          </w:tcPr>
          <w:p w14:paraId="4E4BAC0D" w14:textId="77777777" w:rsidR="005E4276" w:rsidRDefault="005E4276">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977" w:type="dxa"/>
            <w:vMerge/>
          </w:tcPr>
          <w:p w14:paraId="48145842" w14:textId="77777777" w:rsidR="005E4276" w:rsidRDefault="005E4276">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42" w:type="dxa"/>
            <w:tcBorders>
              <w:top w:val="single" w:sz="12" w:space="0" w:color="000000"/>
              <w:bottom w:val="single" w:sz="12" w:space="0" w:color="000000"/>
            </w:tcBorders>
            <w:shd w:val="clear" w:color="auto" w:fill="auto"/>
          </w:tcPr>
          <w:p w14:paraId="4F8AC2ED" w14:textId="2E8DF240"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Bonde inférieur </w:t>
            </w:r>
            <w:r w:rsidR="00FF4C8E">
              <w:rPr>
                <w:rFonts w:ascii="Times New Roman" w:eastAsia="Times New Roman" w:hAnsi="Times New Roman" w:cs="Times New Roman"/>
                <w:sz w:val="24"/>
                <w:szCs w:val="24"/>
              </w:rPr>
              <w:t>I (</w:t>
            </w:r>
            <w:r>
              <w:rPr>
                <w:rFonts w:ascii="Times New Roman" w:eastAsia="Times New Roman" w:hAnsi="Times New Roman" w:cs="Times New Roman"/>
                <w:sz w:val="24"/>
                <w:szCs w:val="24"/>
              </w:rPr>
              <w:t>0)</w:t>
            </w:r>
          </w:p>
        </w:tc>
        <w:tc>
          <w:tcPr>
            <w:tcW w:w="2085" w:type="dxa"/>
            <w:tcBorders>
              <w:bottom w:val="single" w:sz="12" w:space="0" w:color="000000"/>
            </w:tcBorders>
            <w:shd w:val="clear" w:color="auto" w:fill="auto"/>
          </w:tcPr>
          <w:p w14:paraId="1964EDF8" w14:textId="70EE769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Bonde </w:t>
            </w:r>
            <w:r w:rsidR="009C1E90">
              <w:rPr>
                <w:rFonts w:ascii="Times New Roman" w:eastAsia="Times New Roman" w:hAnsi="Times New Roman" w:cs="Times New Roman"/>
                <w:sz w:val="24"/>
                <w:szCs w:val="24"/>
              </w:rPr>
              <w:t>supérieur I (</w:t>
            </w:r>
            <w:r>
              <w:rPr>
                <w:rFonts w:ascii="Times New Roman" w:eastAsia="Times New Roman" w:hAnsi="Times New Roman" w:cs="Times New Roman"/>
                <w:sz w:val="24"/>
                <w:szCs w:val="24"/>
              </w:rPr>
              <w:t>1)</w:t>
            </w:r>
          </w:p>
        </w:tc>
      </w:tr>
      <w:tr w:rsidR="005E4276" w14:paraId="59819DB7" w14:textId="77777777" w:rsidTr="00FF4C8E">
        <w:tc>
          <w:tcPr>
            <w:cnfStyle w:val="001000000000" w:firstRow="0" w:lastRow="0" w:firstColumn="1" w:lastColumn="0" w:oddVBand="0" w:evenVBand="0" w:oddHBand="0" w:evenHBand="0" w:firstRowFirstColumn="0" w:firstRowLastColumn="0" w:lastRowFirstColumn="0" w:lastRowLastColumn="0"/>
            <w:tcW w:w="1124" w:type="dxa"/>
            <w:tcBorders>
              <w:top w:val="single" w:sz="12" w:space="0" w:color="000000"/>
            </w:tcBorders>
          </w:tcPr>
          <w:p w14:paraId="2A5BE42B"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Modèle1</w:t>
            </w:r>
          </w:p>
        </w:tc>
        <w:tc>
          <w:tcPr>
            <w:tcW w:w="1428" w:type="dxa"/>
            <w:tcBorders>
              <w:top w:val="single" w:sz="12" w:space="0" w:color="000000"/>
            </w:tcBorders>
          </w:tcPr>
          <w:p w14:paraId="224D0EE7" w14:textId="20CF8353"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w:eastAsia="Arial" w:hAnsi="Arial" w:cs="Arial"/>
                <w:sz w:val="18"/>
                <w:szCs w:val="18"/>
              </w:rPr>
              <w:br/>
            </w:r>
            <w:r w:rsidR="00486043">
              <w:rPr>
                <w:rFonts w:ascii="Times New Roman" w:eastAsia="Times New Roman" w:hAnsi="Times New Roman" w:cs="Times New Roman"/>
                <w:sz w:val="24"/>
                <w:szCs w:val="24"/>
              </w:rPr>
              <w:t xml:space="preserve">  4,888485</w:t>
            </w:r>
          </w:p>
          <w:p w14:paraId="01418020" w14:textId="77777777" w:rsidR="005E4276" w:rsidRDefault="005E427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48DCF4AF" w14:textId="77777777"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w:eastAsia="Arial" w:hAnsi="Arial" w:cs="Arial"/>
                <w:sz w:val="18"/>
                <w:szCs w:val="18"/>
              </w:rPr>
              <w:br/>
            </w:r>
          </w:p>
        </w:tc>
        <w:tc>
          <w:tcPr>
            <w:tcW w:w="2977" w:type="dxa"/>
            <w:tcBorders>
              <w:top w:val="single" w:sz="12" w:space="0" w:color="000000"/>
            </w:tcBorders>
            <w:shd w:val="clear" w:color="auto" w:fill="auto"/>
          </w:tcPr>
          <w:p w14:paraId="5FA3CC18" w14:textId="77777777"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p w14:paraId="29D996F4" w14:textId="77777777"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14:paraId="1B80C724" w14:textId="77777777"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42" w:type="dxa"/>
            <w:tcBorders>
              <w:top w:val="single" w:sz="12" w:space="0" w:color="000000"/>
            </w:tcBorders>
          </w:tcPr>
          <w:p w14:paraId="366461E8" w14:textId="04FB4980" w:rsidR="005E4276" w:rsidRDefault="0033010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1,99</w:t>
            </w:r>
          </w:p>
          <w:p w14:paraId="440CD31A" w14:textId="4A157EEC"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0107">
              <w:rPr>
                <w:rFonts w:ascii="Times New Roman" w:eastAsia="Times New Roman" w:hAnsi="Times New Roman" w:cs="Times New Roman"/>
                <w:sz w:val="24"/>
                <w:szCs w:val="24"/>
              </w:rPr>
              <w:t xml:space="preserve">             2,27</w:t>
            </w:r>
          </w:p>
          <w:p w14:paraId="3B0B73C6" w14:textId="4EC9AC34" w:rsidR="005E4276" w:rsidRDefault="0033010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w:t>
            </w:r>
          </w:p>
        </w:tc>
        <w:tc>
          <w:tcPr>
            <w:tcW w:w="2085" w:type="dxa"/>
            <w:tcBorders>
              <w:top w:val="single" w:sz="12" w:space="0" w:color="000000"/>
            </w:tcBorders>
          </w:tcPr>
          <w:p w14:paraId="416538EA" w14:textId="45F93A8B" w:rsidR="005E4276" w:rsidRDefault="0033010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2,94</w:t>
            </w:r>
          </w:p>
          <w:p w14:paraId="63453582" w14:textId="36DE8DD8" w:rsidR="005E4276" w:rsidRDefault="0033010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3,28</w:t>
            </w:r>
          </w:p>
          <w:p w14:paraId="7122A785" w14:textId="4B53CEDF" w:rsidR="005E4276" w:rsidRDefault="0033010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3,99</w:t>
            </w:r>
          </w:p>
        </w:tc>
      </w:tr>
      <w:tr w:rsidR="005E4276" w14:paraId="1664E5DC" w14:textId="77777777" w:rsidTr="00FF4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bottom w:val="single" w:sz="12" w:space="0" w:color="000000"/>
            </w:tcBorders>
            <w:shd w:val="clear" w:color="auto" w:fill="auto"/>
          </w:tcPr>
          <w:p w14:paraId="5C8C4DD2"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Modèle2</w:t>
            </w:r>
          </w:p>
        </w:tc>
        <w:tc>
          <w:tcPr>
            <w:tcW w:w="1428" w:type="dxa"/>
            <w:tcBorders>
              <w:bottom w:val="single" w:sz="12" w:space="0" w:color="000000"/>
            </w:tcBorders>
            <w:shd w:val="clear" w:color="auto" w:fill="auto"/>
          </w:tcPr>
          <w:p w14:paraId="0D92510D" w14:textId="4044D6CE" w:rsidR="005E4276" w:rsidRDefault="0085409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7,419998</w:t>
            </w:r>
          </w:p>
        </w:tc>
        <w:tc>
          <w:tcPr>
            <w:tcW w:w="2977" w:type="dxa"/>
            <w:tcBorders>
              <w:bottom w:val="single" w:sz="12" w:space="0" w:color="000000"/>
            </w:tcBorders>
            <w:shd w:val="clear" w:color="auto" w:fill="auto"/>
          </w:tcPr>
          <w:p w14:paraId="413C1872" w14:textId="7777777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p w14:paraId="39829426" w14:textId="7777777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14:paraId="617A3B43" w14:textId="7777777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842" w:type="dxa"/>
            <w:tcBorders>
              <w:bottom w:val="single" w:sz="12" w:space="0" w:color="000000"/>
            </w:tcBorders>
            <w:shd w:val="clear" w:color="auto" w:fill="auto"/>
          </w:tcPr>
          <w:p w14:paraId="294061CB" w14:textId="5A8C785F" w:rsidR="005E4276" w:rsidRDefault="0033010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1,99</w:t>
            </w:r>
          </w:p>
          <w:p w14:paraId="25F4642B" w14:textId="170C0CA6" w:rsidR="005E4276" w:rsidRDefault="0033010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2,27</w:t>
            </w:r>
          </w:p>
          <w:p w14:paraId="2BB37AAC" w14:textId="2811BC8D" w:rsidR="005E4276" w:rsidRDefault="0033010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w:t>
            </w:r>
          </w:p>
        </w:tc>
        <w:tc>
          <w:tcPr>
            <w:tcW w:w="2085" w:type="dxa"/>
            <w:tcBorders>
              <w:bottom w:val="single" w:sz="12" w:space="0" w:color="000000"/>
            </w:tcBorders>
            <w:shd w:val="clear" w:color="auto" w:fill="auto"/>
          </w:tcPr>
          <w:p w14:paraId="1F75E30A" w14:textId="5F51D32C" w:rsidR="005E4276" w:rsidRDefault="0048604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2,94</w:t>
            </w:r>
          </w:p>
          <w:p w14:paraId="0893C636" w14:textId="79E776B3" w:rsidR="005E4276" w:rsidRDefault="0033010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3,28</w:t>
            </w:r>
          </w:p>
          <w:p w14:paraId="2827B559" w14:textId="4FCA63AC" w:rsidR="005E4276" w:rsidRDefault="0033010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3,99</w:t>
            </w:r>
          </w:p>
        </w:tc>
      </w:tr>
    </w:tbl>
    <w:p w14:paraId="37D2EA2F"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Source: Construit par l’auteur</w:t>
      </w:r>
      <w:r>
        <w:rPr>
          <w:rFonts w:ascii="Times New Roman" w:eastAsia="Times New Roman" w:hAnsi="Times New Roman" w:cs="Times New Roman"/>
          <w:sz w:val="24"/>
          <w:szCs w:val="24"/>
        </w:rPr>
        <w:t>.</w:t>
      </w:r>
    </w:p>
    <w:p w14:paraId="7AFDF520" w14:textId="0519A93B" w:rsidR="00BB3984"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Les résultats du test de cointégration dans les deux (2) modèles confirment l’existence d’une relation de cointégration entre les séries car les valeurs de F-statistiques des deux modèles </w:t>
      </w:r>
      <w:r w:rsidR="002441EA">
        <w:rPr>
          <w:rFonts w:ascii="Times New Roman" w:eastAsia="Times New Roman" w:hAnsi="Times New Roman" w:cs="Times New Roman"/>
          <w:sz w:val="24"/>
          <w:szCs w:val="24"/>
          <w:lang w:val="fr-FR"/>
        </w:rPr>
        <w:t xml:space="preserve">qui sont </w:t>
      </w:r>
      <w:r w:rsidR="002441EA">
        <w:rPr>
          <w:rFonts w:ascii="Times New Roman" w:eastAsia="Times New Roman" w:hAnsi="Times New Roman" w:cs="Times New Roman"/>
          <w:sz w:val="24"/>
          <w:szCs w:val="24"/>
          <w:lang w:val="fr-FR"/>
        </w:rPr>
        <w:lastRenderedPageBreak/>
        <w:t xml:space="preserve">respectivement </w:t>
      </w:r>
      <w:r w:rsidR="002441EA">
        <w:rPr>
          <w:rFonts w:ascii="Times New Roman" w:eastAsia="Times New Roman" w:hAnsi="Times New Roman" w:cs="Times New Roman"/>
          <w:sz w:val="24"/>
          <w:szCs w:val="24"/>
        </w:rPr>
        <w:t>4,888485</w:t>
      </w:r>
      <w:r w:rsidR="002441EA">
        <w:rPr>
          <w:rFonts w:ascii="Times New Roman" w:eastAsia="Times New Roman" w:hAnsi="Times New Roman" w:cs="Times New Roman"/>
          <w:sz w:val="24"/>
          <w:szCs w:val="24"/>
          <w:lang w:val="fr-FR"/>
        </w:rPr>
        <w:t xml:space="preserve"> et </w:t>
      </w:r>
      <w:r w:rsidR="002441EA">
        <w:rPr>
          <w:rFonts w:ascii="Times New Roman" w:eastAsia="Times New Roman" w:hAnsi="Times New Roman" w:cs="Times New Roman"/>
          <w:sz w:val="24"/>
          <w:szCs w:val="24"/>
        </w:rPr>
        <w:t>7,419998</w:t>
      </w:r>
      <w:r w:rsidR="00C86F81">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sont supérieures à la valeur de bonde supérieur pour tout seuil conventionnelle (1%, 5% et 10%). Par conséquent, on rejette l’hypothèse nulle d’absence de cointégration. Nous concluons alors</w:t>
      </w:r>
      <w:r w:rsidR="00A85EA8" w:rsidRPr="00256989">
        <w:rPr>
          <w:rFonts w:ascii="Times New Roman" w:eastAsia="Times New Roman" w:hAnsi="Times New Roman" w:cs="Times New Roman"/>
          <w:sz w:val="24"/>
          <w:szCs w:val="24"/>
          <w:lang w:val="fr-FR"/>
        </w:rPr>
        <w:t xml:space="preserve"> à</w:t>
      </w:r>
      <w:r w:rsidRPr="00256989">
        <w:rPr>
          <w:rFonts w:ascii="Times New Roman" w:eastAsia="Times New Roman" w:hAnsi="Times New Roman" w:cs="Times New Roman"/>
          <w:sz w:val="24"/>
          <w:szCs w:val="24"/>
          <w:lang w:val="fr-FR"/>
        </w:rPr>
        <w:t xml:space="preserve"> l’existence de la cointégration entre les variables dans les 2 modèles. Cependant, cela donne la possibilité d’estimer les effets de court et de long terme.</w:t>
      </w:r>
      <w:bookmarkEnd w:id="8"/>
    </w:p>
    <w:p w14:paraId="2F890263" w14:textId="77777777" w:rsidR="00B77E60" w:rsidRPr="00C86F81" w:rsidRDefault="00B77E60">
      <w:pPr>
        <w:spacing w:line="360" w:lineRule="auto"/>
        <w:jc w:val="both"/>
        <w:rPr>
          <w:rFonts w:ascii="Times New Roman" w:eastAsia="Times New Roman" w:hAnsi="Times New Roman" w:cs="Times New Roman"/>
          <w:sz w:val="24"/>
          <w:szCs w:val="24"/>
          <w:lang w:val="fr-FR"/>
        </w:rPr>
      </w:pPr>
    </w:p>
    <w:p w14:paraId="726E5C09" w14:textId="2BEDD2BC" w:rsidR="00153ED3" w:rsidRPr="00256989" w:rsidRDefault="006D388F">
      <w:pPr>
        <w:spacing w:line="360" w:lineRule="auto"/>
        <w:jc w:val="both"/>
        <w:rPr>
          <w:rFonts w:ascii="Times New Roman" w:eastAsia="Times New Roman" w:hAnsi="Times New Roman" w:cs="Times New Roman"/>
          <w:b/>
          <w:sz w:val="24"/>
          <w:szCs w:val="24"/>
          <w:lang w:val="fr-FR"/>
        </w:rPr>
      </w:pPr>
      <w:bookmarkStart w:id="9" w:name="_Hlk189836969"/>
      <w:r w:rsidRPr="00256989">
        <w:rPr>
          <w:rFonts w:ascii="Times New Roman" w:eastAsia="Times New Roman" w:hAnsi="Times New Roman" w:cs="Times New Roman"/>
          <w:b/>
          <w:sz w:val="24"/>
          <w:szCs w:val="24"/>
          <w:lang w:val="fr-FR"/>
        </w:rPr>
        <w:t>I</w:t>
      </w:r>
      <w:r w:rsidR="0045278B">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 xml:space="preserve">.3. Présentations </w:t>
      </w:r>
      <w:r w:rsidR="0045278B">
        <w:rPr>
          <w:rFonts w:ascii="Times New Roman" w:eastAsia="Times New Roman" w:hAnsi="Times New Roman" w:cs="Times New Roman"/>
          <w:b/>
          <w:sz w:val="24"/>
          <w:szCs w:val="24"/>
          <w:lang w:val="fr-FR"/>
        </w:rPr>
        <w:t xml:space="preserve">et interprétation des </w:t>
      </w:r>
      <w:r w:rsidR="0045278B" w:rsidRPr="00256989">
        <w:rPr>
          <w:rFonts w:ascii="Times New Roman" w:eastAsia="Times New Roman" w:hAnsi="Times New Roman" w:cs="Times New Roman"/>
          <w:b/>
          <w:sz w:val="24"/>
          <w:szCs w:val="24"/>
          <w:lang w:val="fr-FR"/>
        </w:rPr>
        <w:t>résultats d’estimation</w:t>
      </w:r>
    </w:p>
    <w:p w14:paraId="1D8213DE" w14:textId="40FFEB1B"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Cette </w:t>
      </w:r>
      <w:r w:rsidR="0007570E" w:rsidRPr="00256989">
        <w:rPr>
          <w:rFonts w:ascii="Times New Roman" w:eastAsia="Times New Roman" w:hAnsi="Times New Roman" w:cs="Times New Roman"/>
          <w:sz w:val="24"/>
          <w:szCs w:val="24"/>
          <w:lang w:val="fr-FR"/>
        </w:rPr>
        <w:t>sous-section</w:t>
      </w:r>
      <w:r w:rsidRPr="00256989">
        <w:rPr>
          <w:rFonts w:ascii="Times New Roman" w:eastAsia="Times New Roman" w:hAnsi="Times New Roman" w:cs="Times New Roman"/>
          <w:sz w:val="24"/>
          <w:szCs w:val="24"/>
          <w:lang w:val="fr-FR"/>
        </w:rPr>
        <w:t xml:space="preserve"> consiste à présenter les résultats de nos estimations suivi des interprétations économétriques et discussions.</w:t>
      </w:r>
    </w:p>
    <w:p w14:paraId="2240FE4C" w14:textId="14217517" w:rsidR="005E4276" w:rsidRPr="00256989" w:rsidRDefault="006D388F">
      <w:pPr>
        <w:spacing w:line="360" w:lineRule="auto"/>
        <w:jc w:val="both"/>
        <w:rPr>
          <w:rFonts w:ascii="Times New Roman" w:eastAsia="Times New Roman" w:hAnsi="Times New Roman" w:cs="Times New Roman"/>
          <w:b/>
          <w:sz w:val="24"/>
          <w:szCs w:val="24"/>
          <w:lang w:val="fr-FR"/>
        </w:rPr>
      </w:pPr>
      <w:r w:rsidRPr="00256989">
        <w:rPr>
          <w:rFonts w:ascii="Times New Roman" w:eastAsia="Times New Roman" w:hAnsi="Times New Roman" w:cs="Times New Roman"/>
          <w:b/>
          <w:sz w:val="24"/>
          <w:szCs w:val="24"/>
          <w:lang w:val="fr-FR"/>
        </w:rPr>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.3.1 Présentations des résultats</w:t>
      </w:r>
    </w:p>
    <w:p w14:paraId="348B8EB8" w14:textId="11DE6233" w:rsidR="008B7DC5"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Cette section présente les résultats de nos estimations. Le tableau 5 expose les résultats de nos estimations de court terme. La relation à court terme se réfère à la dynamique immédiate entre les variables dans le modèle. La colonne 1 montre les</w:t>
      </w:r>
      <w:r w:rsidR="00787070" w:rsidRPr="00256989">
        <w:rPr>
          <w:rFonts w:ascii="Times New Roman" w:eastAsia="Times New Roman" w:hAnsi="Times New Roman" w:cs="Times New Roman"/>
          <w:sz w:val="24"/>
          <w:szCs w:val="24"/>
          <w:lang w:val="fr-FR"/>
        </w:rPr>
        <w:t xml:space="preserve"> résultats de l’estimation</w:t>
      </w:r>
      <w:r w:rsidRPr="00256989">
        <w:rPr>
          <w:rFonts w:ascii="Times New Roman" w:eastAsia="Times New Roman" w:hAnsi="Times New Roman" w:cs="Times New Roman"/>
          <w:sz w:val="24"/>
          <w:szCs w:val="24"/>
          <w:lang w:val="fr-FR"/>
        </w:rPr>
        <w:t xml:space="preserve"> de l’effet de l’IUTS sur les dépenses de consommation finale des ménages tandis que la colonne 2 met en évidence les estimations sur l’effet de la TVA sur ces dépenses.</w:t>
      </w:r>
    </w:p>
    <w:p w14:paraId="76FE32E3" w14:textId="77777777" w:rsidR="00937DE6" w:rsidRDefault="00937DE6">
      <w:pPr>
        <w:spacing w:line="360" w:lineRule="auto"/>
        <w:jc w:val="both"/>
        <w:rPr>
          <w:rFonts w:ascii="Times New Roman" w:eastAsia="Times New Roman" w:hAnsi="Times New Roman" w:cs="Times New Roman"/>
          <w:sz w:val="24"/>
          <w:szCs w:val="24"/>
          <w:lang w:val="fr-FR"/>
        </w:rPr>
      </w:pPr>
    </w:p>
    <w:p w14:paraId="4FC9CA8E" w14:textId="77777777" w:rsidR="00937DE6" w:rsidRDefault="00937DE6">
      <w:pPr>
        <w:spacing w:line="360" w:lineRule="auto"/>
        <w:jc w:val="both"/>
        <w:rPr>
          <w:rFonts w:ascii="Times New Roman" w:eastAsia="Times New Roman" w:hAnsi="Times New Roman" w:cs="Times New Roman"/>
          <w:sz w:val="24"/>
          <w:szCs w:val="24"/>
          <w:lang w:val="fr-FR"/>
        </w:rPr>
      </w:pPr>
    </w:p>
    <w:p w14:paraId="66A9282A" w14:textId="77777777" w:rsidR="00937DE6" w:rsidRDefault="00937DE6">
      <w:pPr>
        <w:spacing w:line="360" w:lineRule="auto"/>
        <w:jc w:val="both"/>
        <w:rPr>
          <w:rFonts w:ascii="Times New Roman" w:eastAsia="Times New Roman" w:hAnsi="Times New Roman" w:cs="Times New Roman"/>
          <w:sz w:val="24"/>
          <w:szCs w:val="24"/>
          <w:lang w:val="fr-FR"/>
        </w:rPr>
      </w:pPr>
    </w:p>
    <w:p w14:paraId="7B54CB4F" w14:textId="77777777" w:rsidR="00937DE6" w:rsidRDefault="00937DE6">
      <w:pPr>
        <w:spacing w:line="360" w:lineRule="auto"/>
        <w:jc w:val="both"/>
        <w:rPr>
          <w:rFonts w:ascii="Times New Roman" w:eastAsia="Times New Roman" w:hAnsi="Times New Roman" w:cs="Times New Roman"/>
          <w:sz w:val="24"/>
          <w:szCs w:val="24"/>
          <w:lang w:val="fr-FR"/>
        </w:rPr>
      </w:pPr>
    </w:p>
    <w:p w14:paraId="5F92A06D" w14:textId="77777777" w:rsidR="00937DE6" w:rsidRDefault="00937DE6">
      <w:pPr>
        <w:spacing w:line="360" w:lineRule="auto"/>
        <w:jc w:val="both"/>
        <w:rPr>
          <w:rFonts w:ascii="Times New Roman" w:eastAsia="Times New Roman" w:hAnsi="Times New Roman" w:cs="Times New Roman"/>
          <w:sz w:val="24"/>
          <w:szCs w:val="24"/>
          <w:lang w:val="fr-FR"/>
        </w:rPr>
      </w:pPr>
    </w:p>
    <w:p w14:paraId="60119D20" w14:textId="77777777" w:rsidR="00937DE6" w:rsidRDefault="00937DE6">
      <w:pPr>
        <w:spacing w:line="360" w:lineRule="auto"/>
        <w:jc w:val="both"/>
        <w:rPr>
          <w:rFonts w:ascii="Times New Roman" w:eastAsia="Times New Roman" w:hAnsi="Times New Roman" w:cs="Times New Roman"/>
          <w:sz w:val="24"/>
          <w:szCs w:val="24"/>
          <w:lang w:val="fr-FR"/>
        </w:rPr>
      </w:pPr>
    </w:p>
    <w:p w14:paraId="5ABA2A6D" w14:textId="77777777" w:rsidR="00937DE6" w:rsidRDefault="00937DE6">
      <w:pPr>
        <w:spacing w:line="360" w:lineRule="auto"/>
        <w:jc w:val="both"/>
        <w:rPr>
          <w:rFonts w:ascii="Times New Roman" w:eastAsia="Times New Roman" w:hAnsi="Times New Roman" w:cs="Times New Roman"/>
          <w:sz w:val="24"/>
          <w:szCs w:val="24"/>
          <w:lang w:val="fr-FR"/>
        </w:rPr>
      </w:pPr>
    </w:p>
    <w:p w14:paraId="206750E2" w14:textId="77777777" w:rsidR="00937DE6" w:rsidRDefault="00937DE6">
      <w:pPr>
        <w:spacing w:line="360" w:lineRule="auto"/>
        <w:jc w:val="both"/>
        <w:rPr>
          <w:rFonts w:ascii="Times New Roman" w:eastAsia="Times New Roman" w:hAnsi="Times New Roman" w:cs="Times New Roman"/>
          <w:sz w:val="24"/>
          <w:szCs w:val="24"/>
          <w:lang w:val="fr-FR"/>
        </w:rPr>
      </w:pPr>
    </w:p>
    <w:p w14:paraId="5EB91648" w14:textId="77777777" w:rsidR="00937DE6" w:rsidRDefault="00937DE6">
      <w:pPr>
        <w:spacing w:line="360" w:lineRule="auto"/>
        <w:jc w:val="both"/>
        <w:rPr>
          <w:rFonts w:ascii="Times New Roman" w:eastAsia="Times New Roman" w:hAnsi="Times New Roman" w:cs="Times New Roman"/>
          <w:sz w:val="24"/>
          <w:szCs w:val="24"/>
          <w:lang w:val="fr-FR"/>
        </w:rPr>
      </w:pPr>
    </w:p>
    <w:p w14:paraId="26B48EC9" w14:textId="77777777" w:rsidR="00937DE6" w:rsidRDefault="00937DE6">
      <w:pPr>
        <w:spacing w:line="360" w:lineRule="auto"/>
        <w:jc w:val="both"/>
        <w:rPr>
          <w:rFonts w:ascii="Times New Roman" w:eastAsia="Times New Roman" w:hAnsi="Times New Roman" w:cs="Times New Roman"/>
          <w:sz w:val="24"/>
          <w:szCs w:val="24"/>
          <w:lang w:val="fr-FR"/>
        </w:rPr>
      </w:pPr>
    </w:p>
    <w:p w14:paraId="6C19789A" w14:textId="77777777" w:rsidR="00937DE6" w:rsidRPr="00256989" w:rsidRDefault="00937DE6">
      <w:pPr>
        <w:spacing w:line="360" w:lineRule="auto"/>
        <w:jc w:val="both"/>
        <w:rPr>
          <w:rFonts w:ascii="Times New Roman" w:eastAsia="Times New Roman" w:hAnsi="Times New Roman" w:cs="Times New Roman"/>
          <w:sz w:val="24"/>
          <w:szCs w:val="24"/>
          <w:lang w:val="fr-FR"/>
        </w:rPr>
      </w:pPr>
    </w:p>
    <w:p w14:paraId="6ACA6F83" w14:textId="5AA8521A" w:rsidR="005E4276" w:rsidRPr="00256989" w:rsidRDefault="006D388F">
      <w:pPr>
        <w:spacing w:line="360" w:lineRule="auto"/>
        <w:jc w:val="both"/>
        <w:rPr>
          <w:rFonts w:ascii="Times New Roman" w:eastAsia="Times New Roman" w:hAnsi="Times New Roman" w:cs="Times New Roman"/>
          <w:i/>
          <w:sz w:val="24"/>
          <w:szCs w:val="24"/>
          <w:lang w:val="fr-FR"/>
        </w:rPr>
      </w:pPr>
      <w:bookmarkStart w:id="10" w:name="_Hlk189837108"/>
      <w:bookmarkEnd w:id="9"/>
      <w:r w:rsidRPr="00256989">
        <w:rPr>
          <w:rFonts w:ascii="Times New Roman" w:eastAsia="Times New Roman" w:hAnsi="Times New Roman" w:cs="Times New Roman"/>
          <w:i/>
          <w:sz w:val="24"/>
          <w:szCs w:val="24"/>
          <w:lang w:val="fr-FR"/>
        </w:rPr>
        <w:lastRenderedPageBreak/>
        <w:t xml:space="preserve">Tableau </w:t>
      </w:r>
      <w:r w:rsidR="00C86F81" w:rsidRPr="00256989">
        <w:rPr>
          <w:rFonts w:ascii="Times New Roman" w:eastAsia="Times New Roman" w:hAnsi="Times New Roman" w:cs="Times New Roman"/>
          <w:i/>
          <w:sz w:val="24"/>
          <w:szCs w:val="24"/>
          <w:lang w:val="fr-FR"/>
        </w:rPr>
        <w:t>5 :</w:t>
      </w:r>
      <w:r w:rsidRPr="00256989">
        <w:rPr>
          <w:rFonts w:ascii="Times New Roman" w:eastAsia="Times New Roman" w:hAnsi="Times New Roman" w:cs="Times New Roman"/>
          <w:i/>
          <w:sz w:val="24"/>
          <w:szCs w:val="24"/>
          <w:lang w:val="fr-FR"/>
        </w:rPr>
        <w:t xml:space="preserve"> Résultats d’estimation de la relation de court terme</w:t>
      </w:r>
    </w:p>
    <w:tbl>
      <w:tblPr>
        <w:tblStyle w:val="7"/>
        <w:tblW w:w="9350" w:type="dxa"/>
        <w:tblInd w:w="0" w:type="dxa"/>
        <w:tblBorders>
          <w:top w:val="single" w:sz="4" w:space="0" w:color="000000"/>
          <w:bottom w:val="single" w:sz="4" w:space="0" w:color="000000"/>
        </w:tblBorders>
        <w:tblLayout w:type="fixed"/>
        <w:tblLook w:val="04A0" w:firstRow="1" w:lastRow="0" w:firstColumn="1" w:lastColumn="0" w:noHBand="0" w:noVBand="1"/>
      </w:tblPr>
      <w:tblGrid>
        <w:gridCol w:w="3539"/>
        <w:gridCol w:w="2694"/>
        <w:gridCol w:w="3117"/>
      </w:tblGrid>
      <w:tr w:rsidR="005E4276" w:rsidRPr="00937DE6" w14:paraId="26CDF27F" w14:textId="77777777" w:rsidTr="005E4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324EB93" w14:textId="77777777" w:rsidR="005E4276" w:rsidRPr="00937DE6" w:rsidRDefault="006D388F">
            <w:pPr>
              <w:spacing w:line="360" w:lineRule="auto"/>
              <w:jc w:val="both"/>
              <w:rPr>
                <w:rFonts w:ascii="Times New Roman" w:eastAsia="Times New Roman" w:hAnsi="Times New Roman" w:cs="Times New Roman"/>
                <w:sz w:val="20"/>
                <w:szCs w:val="20"/>
              </w:rPr>
            </w:pPr>
            <w:bookmarkStart w:id="11" w:name="_Hlk199162361"/>
            <w:r w:rsidRPr="00937DE6">
              <w:rPr>
                <w:rFonts w:ascii="Times New Roman" w:eastAsia="Times New Roman" w:hAnsi="Times New Roman" w:cs="Times New Roman"/>
                <w:sz w:val="20"/>
                <w:szCs w:val="20"/>
              </w:rPr>
              <w:t>Variables</w:t>
            </w:r>
          </w:p>
        </w:tc>
        <w:tc>
          <w:tcPr>
            <w:tcW w:w="2694" w:type="dxa"/>
            <w:shd w:val="clear" w:color="auto" w:fill="auto"/>
          </w:tcPr>
          <w:p w14:paraId="6A6E5153" w14:textId="0B00FBD9" w:rsidR="005E4276" w:rsidRPr="00937DE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Modèle 1</w:t>
            </w:r>
          </w:p>
        </w:tc>
        <w:tc>
          <w:tcPr>
            <w:tcW w:w="3117" w:type="dxa"/>
            <w:shd w:val="clear" w:color="auto" w:fill="auto"/>
          </w:tcPr>
          <w:p w14:paraId="2532BEC9" w14:textId="77777777" w:rsidR="005E4276" w:rsidRPr="00937DE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Modèle 2</w:t>
            </w:r>
          </w:p>
        </w:tc>
      </w:tr>
      <w:tr w:rsidR="005E4276" w:rsidRPr="00937DE6" w14:paraId="076693CD"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3618524" w14:textId="27AE9687" w:rsidR="005E4276" w:rsidRPr="00937DE6" w:rsidRDefault="006D388F">
            <w:pPr>
              <w:spacing w:line="360" w:lineRule="auto"/>
              <w:jc w:val="both"/>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 xml:space="preserve">D(Log consommation </w:t>
            </w:r>
            <w:r w:rsidR="00991641" w:rsidRPr="00937DE6">
              <w:rPr>
                <w:rFonts w:ascii="Times New Roman" w:eastAsia="Times New Roman" w:hAnsi="Times New Roman" w:cs="Times New Roman"/>
                <w:sz w:val="20"/>
                <w:szCs w:val="20"/>
              </w:rPr>
              <w:t xml:space="preserve">finale </w:t>
            </w:r>
            <w:r w:rsidR="00991641" w:rsidRPr="00937DE6">
              <w:rPr>
                <w:rFonts w:ascii="Times New Roman" w:eastAsia="Times New Roman" w:hAnsi="Times New Roman" w:cs="Times New Roman"/>
                <w:b w:val="0"/>
                <w:sz w:val="20"/>
                <w:szCs w:val="20"/>
              </w:rPr>
              <w:t>(</w:t>
            </w:r>
            <w:r w:rsidRPr="00937DE6">
              <w:rPr>
                <w:rFonts w:ascii="Times New Roman" w:eastAsia="Times New Roman" w:hAnsi="Times New Roman" w:cs="Times New Roman"/>
                <w:sz w:val="20"/>
                <w:szCs w:val="20"/>
              </w:rPr>
              <w:t>-1))</w:t>
            </w:r>
          </w:p>
        </w:tc>
        <w:tc>
          <w:tcPr>
            <w:tcW w:w="2694" w:type="dxa"/>
            <w:shd w:val="clear" w:color="auto" w:fill="auto"/>
          </w:tcPr>
          <w:p w14:paraId="2F3D9025" w14:textId="183A04C1"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w:t>
            </w:r>
            <w:r w:rsidR="00A23B7D" w:rsidRPr="00937DE6">
              <w:rPr>
                <w:rFonts w:ascii="Times New Roman" w:eastAsia="Times New Roman" w:hAnsi="Times New Roman" w:cs="Times New Roman"/>
                <w:sz w:val="20"/>
                <w:szCs w:val="20"/>
              </w:rPr>
              <w:t>391616</w:t>
            </w:r>
            <w:r w:rsidRPr="00937DE6">
              <w:rPr>
                <w:rFonts w:ascii="Times New Roman" w:eastAsia="Times New Roman" w:hAnsi="Times New Roman" w:cs="Times New Roman"/>
                <w:sz w:val="20"/>
                <w:szCs w:val="20"/>
                <w:vertAlign w:val="superscript"/>
              </w:rPr>
              <w:t>***</w:t>
            </w:r>
          </w:p>
          <w:p w14:paraId="67CF9BA7" w14:textId="0556A409"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A23B7D" w:rsidRPr="00937DE6">
              <w:rPr>
                <w:rFonts w:ascii="Times New Roman" w:eastAsia="Times New Roman" w:hAnsi="Times New Roman" w:cs="Times New Roman"/>
                <w:sz w:val="20"/>
                <w:szCs w:val="20"/>
              </w:rPr>
              <w:t>82877</w:t>
            </w:r>
            <w:r w:rsidRPr="00937DE6">
              <w:rPr>
                <w:rFonts w:ascii="Times New Roman" w:eastAsia="Times New Roman" w:hAnsi="Times New Roman" w:cs="Times New Roman"/>
                <w:sz w:val="20"/>
                <w:szCs w:val="20"/>
              </w:rPr>
              <w:t>)</w:t>
            </w:r>
          </w:p>
        </w:tc>
        <w:tc>
          <w:tcPr>
            <w:tcW w:w="3117" w:type="dxa"/>
            <w:shd w:val="clear" w:color="auto" w:fill="auto"/>
          </w:tcPr>
          <w:p w14:paraId="19980F67" w14:textId="0EDF0433" w:rsidR="005E4276" w:rsidRPr="00937DE6" w:rsidRDefault="009156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0,309969</w:t>
            </w:r>
            <w:r w:rsidRPr="00937DE6">
              <w:rPr>
                <w:rFonts w:ascii="Times New Roman" w:eastAsia="Times New Roman" w:hAnsi="Times New Roman" w:cs="Times New Roman"/>
                <w:sz w:val="20"/>
                <w:szCs w:val="20"/>
                <w:vertAlign w:val="superscript"/>
              </w:rPr>
              <w:t>**</w:t>
            </w:r>
          </w:p>
          <w:p w14:paraId="2293490F" w14:textId="30702AF7" w:rsidR="0091563C" w:rsidRPr="00937DE6" w:rsidRDefault="009156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(0,119242)</w:t>
            </w:r>
          </w:p>
        </w:tc>
      </w:tr>
      <w:tr w:rsidR="005E4276" w:rsidRPr="00937DE6" w14:paraId="5BFA409C"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540E0AA" w14:textId="77777777"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D(taux effectif de l’IUTS)</w:t>
            </w:r>
          </w:p>
        </w:tc>
        <w:tc>
          <w:tcPr>
            <w:tcW w:w="2694" w:type="dxa"/>
            <w:shd w:val="clear" w:color="auto" w:fill="auto"/>
          </w:tcPr>
          <w:p w14:paraId="24F78E49" w14:textId="2D36F8D1"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w:t>
            </w:r>
            <w:r w:rsidR="00A23B7D" w:rsidRPr="00937DE6">
              <w:rPr>
                <w:rFonts w:ascii="Times New Roman" w:eastAsia="Times New Roman" w:hAnsi="Times New Roman" w:cs="Times New Roman"/>
                <w:sz w:val="20"/>
                <w:szCs w:val="20"/>
              </w:rPr>
              <w:t>018940</w:t>
            </w:r>
            <w:r w:rsidRPr="00937DE6">
              <w:rPr>
                <w:rFonts w:ascii="Times New Roman" w:eastAsia="Times New Roman" w:hAnsi="Times New Roman" w:cs="Times New Roman"/>
                <w:sz w:val="20"/>
                <w:szCs w:val="20"/>
                <w:vertAlign w:val="superscript"/>
              </w:rPr>
              <w:t>***</w:t>
            </w:r>
          </w:p>
          <w:p w14:paraId="481A46A8" w14:textId="3F563D69"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w:t>
            </w:r>
            <w:r w:rsidR="00A23B7D" w:rsidRPr="00937DE6">
              <w:rPr>
                <w:rFonts w:ascii="Times New Roman" w:eastAsia="Times New Roman" w:hAnsi="Times New Roman" w:cs="Times New Roman"/>
                <w:sz w:val="20"/>
                <w:szCs w:val="20"/>
              </w:rPr>
              <w:t>003465)</w:t>
            </w:r>
          </w:p>
        </w:tc>
        <w:tc>
          <w:tcPr>
            <w:tcW w:w="3117" w:type="dxa"/>
            <w:shd w:val="clear" w:color="auto" w:fill="auto"/>
          </w:tcPr>
          <w:p w14:paraId="33158774" w14:textId="71879F8C" w:rsidR="0091563C" w:rsidRPr="00937DE6" w:rsidRDefault="009156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E4276" w:rsidRPr="00937DE6" w14:paraId="3FD5C854"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A8D87DA" w14:textId="77777777"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D(taux effectif de l’IUTS(-1))</w:t>
            </w:r>
          </w:p>
        </w:tc>
        <w:tc>
          <w:tcPr>
            <w:tcW w:w="2694" w:type="dxa"/>
            <w:shd w:val="clear" w:color="auto" w:fill="auto"/>
          </w:tcPr>
          <w:p w14:paraId="12A16E3F" w14:textId="65FE8181" w:rsidR="005E4276" w:rsidRPr="00937DE6" w:rsidRDefault="00A23B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-0,022600</w:t>
            </w:r>
            <w:r w:rsidR="006D388F" w:rsidRPr="00937DE6">
              <w:rPr>
                <w:rFonts w:ascii="Times New Roman" w:eastAsia="Times New Roman" w:hAnsi="Times New Roman" w:cs="Times New Roman"/>
                <w:sz w:val="20"/>
                <w:szCs w:val="20"/>
                <w:vertAlign w:val="superscript"/>
              </w:rPr>
              <w:t>***</w:t>
            </w:r>
          </w:p>
          <w:p w14:paraId="560F1544" w14:textId="6864CC9E"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A23B7D" w:rsidRPr="00937DE6">
              <w:rPr>
                <w:rFonts w:ascii="Times New Roman" w:eastAsia="Times New Roman" w:hAnsi="Times New Roman" w:cs="Times New Roman"/>
                <w:sz w:val="20"/>
                <w:szCs w:val="20"/>
              </w:rPr>
              <w:t>04180</w:t>
            </w:r>
            <w:r w:rsidRPr="00937DE6">
              <w:rPr>
                <w:rFonts w:ascii="Times New Roman" w:eastAsia="Times New Roman" w:hAnsi="Times New Roman" w:cs="Times New Roman"/>
                <w:sz w:val="20"/>
                <w:szCs w:val="20"/>
              </w:rPr>
              <w:t>)</w:t>
            </w:r>
          </w:p>
        </w:tc>
        <w:tc>
          <w:tcPr>
            <w:tcW w:w="3117" w:type="dxa"/>
            <w:shd w:val="clear" w:color="auto" w:fill="auto"/>
          </w:tcPr>
          <w:p w14:paraId="1BAFBC41" w14:textId="77777777" w:rsidR="005E4276" w:rsidRPr="00937DE6"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E4276" w:rsidRPr="00937DE6" w14:paraId="4073A69B"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77319A2" w14:textId="77777777" w:rsidR="005E4276" w:rsidRPr="00937DE6" w:rsidRDefault="006D388F">
            <w:pPr>
              <w:spacing w:line="360" w:lineRule="auto"/>
              <w:jc w:val="both"/>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D(Inflation)</w:t>
            </w:r>
          </w:p>
        </w:tc>
        <w:tc>
          <w:tcPr>
            <w:tcW w:w="2694" w:type="dxa"/>
            <w:shd w:val="clear" w:color="auto" w:fill="auto"/>
          </w:tcPr>
          <w:p w14:paraId="65AB0A88" w14:textId="37595F23" w:rsidR="005E4276" w:rsidRPr="00937DE6"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0,00</w:t>
            </w:r>
            <w:r w:rsidR="00A23B7D" w:rsidRPr="00937DE6">
              <w:rPr>
                <w:rFonts w:ascii="Times New Roman" w:eastAsia="Times New Roman" w:hAnsi="Times New Roman" w:cs="Times New Roman"/>
                <w:sz w:val="20"/>
                <w:szCs w:val="20"/>
              </w:rPr>
              <w:t>3120</w:t>
            </w:r>
            <w:r w:rsidRPr="00937DE6">
              <w:rPr>
                <w:rFonts w:ascii="Times New Roman" w:eastAsia="Times New Roman" w:hAnsi="Times New Roman" w:cs="Times New Roman"/>
                <w:sz w:val="20"/>
                <w:szCs w:val="20"/>
                <w:vertAlign w:val="superscript"/>
              </w:rPr>
              <w:t>**</w:t>
            </w:r>
            <w:r w:rsidR="00A23B7D" w:rsidRPr="00937DE6">
              <w:rPr>
                <w:rFonts w:ascii="Times New Roman" w:eastAsia="Times New Roman" w:hAnsi="Times New Roman" w:cs="Times New Roman"/>
                <w:sz w:val="20"/>
                <w:szCs w:val="20"/>
                <w:vertAlign w:val="superscript"/>
              </w:rPr>
              <w:t>*</w:t>
            </w:r>
          </w:p>
          <w:p w14:paraId="6DBFE376" w14:textId="4B0989D5"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A23B7D" w:rsidRPr="00937DE6">
              <w:rPr>
                <w:rFonts w:ascii="Times New Roman" w:eastAsia="Times New Roman" w:hAnsi="Times New Roman" w:cs="Times New Roman"/>
                <w:sz w:val="20"/>
                <w:szCs w:val="20"/>
              </w:rPr>
              <w:t>0457</w:t>
            </w:r>
            <w:r w:rsidRPr="00937DE6">
              <w:rPr>
                <w:rFonts w:ascii="Times New Roman" w:eastAsia="Times New Roman" w:hAnsi="Times New Roman" w:cs="Times New Roman"/>
                <w:sz w:val="20"/>
                <w:szCs w:val="20"/>
              </w:rPr>
              <w:t>)</w:t>
            </w:r>
          </w:p>
        </w:tc>
        <w:tc>
          <w:tcPr>
            <w:tcW w:w="3117" w:type="dxa"/>
            <w:shd w:val="clear" w:color="auto" w:fill="auto"/>
          </w:tcPr>
          <w:p w14:paraId="758620D2" w14:textId="6BF5CD03" w:rsidR="005E4276" w:rsidRPr="00937DE6" w:rsidRDefault="00A178E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0,000229</w:t>
            </w:r>
          </w:p>
          <w:p w14:paraId="35A61B57" w14:textId="7FF65314"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w:t>
            </w:r>
            <w:r w:rsidR="00A178E2" w:rsidRPr="00937DE6">
              <w:rPr>
                <w:rFonts w:ascii="Times New Roman" w:eastAsia="Times New Roman" w:hAnsi="Times New Roman" w:cs="Times New Roman"/>
                <w:sz w:val="20"/>
                <w:szCs w:val="20"/>
              </w:rPr>
              <w:t>000410</w:t>
            </w:r>
            <w:r w:rsidRPr="00937DE6">
              <w:rPr>
                <w:rFonts w:ascii="Times New Roman" w:eastAsia="Times New Roman" w:hAnsi="Times New Roman" w:cs="Times New Roman"/>
                <w:sz w:val="20"/>
                <w:szCs w:val="20"/>
              </w:rPr>
              <w:t>)</w:t>
            </w:r>
          </w:p>
        </w:tc>
      </w:tr>
      <w:tr w:rsidR="005E4276" w:rsidRPr="00937DE6" w14:paraId="0BE29554"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FCB6585" w14:textId="33E7AC5A" w:rsidR="005E4276" w:rsidRPr="00937DE6" w:rsidRDefault="006D388F">
            <w:pPr>
              <w:spacing w:line="360" w:lineRule="auto"/>
              <w:jc w:val="both"/>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D</w:t>
            </w:r>
            <w:r w:rsidR="006A7C42" w:rsidRPr="00937DE6">
              <w:rPr>
                <w:rFonts w:ascii="Times New Roman" w:eastAsia="Times New Roman" w:hAnsi="Times New Roman" w:cs="Times New Roman"/>
                <w:sz w:val="20"/>
                <w:szCs w:val="20"/>
              </w:rPr>
              <w:t>Inflation (</w:t>
            </w:r>
            <w:r w:rsidRPr="00937DE6">
              <w:rPr>
                <w:rFonts w:ascii="Times New Roman" w:eastAsia="Times New Roman" w:hAnsi="Times New Roman" w:cs="Times New Roman"/>
                <w:sz w:val="20"/>
                <w:szCs w:val="20"/>
              </w:rPr>
              <w:t>-1))</w:t>
            </w:r>
          </w:p>
        </w:tc>
        <w:tc>
          <w:tcPr>
            <w:tcW w:w="2694" w:type="dxa"/>
            <w:shd w:val="clear" w:color="auto" w:fill="auto"/>
          </w:tcPr>
          <w:p w14:paraId="290277A9" w14:textId="25EE2C5F" w:rsidR="005E4276" w:rsidRPr="00937DE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 xml:space="preserve"> -0,00</w:t>
            </w:r>
            <w:r w:rsidR="00A23B7D" w:rsidRPr="00937DE6">
              <w:rPr>
                <w:rFonts w:ascii="Times New Roman" w:eastAsia="Times New Roman" w:hAnsi="Times New Roman" w:cs="Times New Roman"/>
                <w:sz w:val="20"/>
                <w:szCs w:val="20"/>
              </w:rPr>
              <w:t>1451</w:t>
            </w:r>
            <w:r w:rsidRPr="00937DE6">
              <w:rPr>
                <w:rFonts w:ascii="Times New Roman" w:eastAsia="Times New Roman" w:hAnsi="Times New Roman" w:cs="Times New Roman"/>
                <w:sz w:val="20"/>
                <w:szCs w:val="20"/>
              </w:rPr>
              <w:t>*</w:t>
            </w:r>
            <w:r w:rsidR="00BC2015" w:rsidRPr="00937DE6">
              <w:rPr>
                <w:rFonts w:ascii="Times New Roman" w:eastAsia="Times New Roman" w:hAnsi="Times New Roman" w:cs="Times New Roman"/>
                <w:sz w:val="20"/>
                <w:szCs w:val="20"/>
              </w:rPr>
              <w:t>*</w:t>
            </w:r>
          </w:p>
          <w:p w14:paraId="5EB547CA" w14:textId="3C9E74A8"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(0,000</w:t>
            </w:r>
            <w:r w:rsidR="00BC2015" w:rsidRPr="00937DE6">
              <w:rPr>
                <w:rFonts w:ascii="Times New Roman" w:eastAsia="Times New Roman" w:hAnsi="Times New Roman" w:cs="Times New Roman"/>
                <w:sz w:val="20"/>
                <w:szCs w:val="20"/>
              </w:rPr>
              <w:t>531</w:t>
            </w:r>
            <w:r w:rsidRPr="00937DE6">
              <w:rPr>
                <w:rFonts w:ascii="Times New Roman" w:eastAsia="Times New Roman" w:hAnsi="Times New Roman" w:cs="Times New Roman"/>
                <w:sz w:val="20"/>
                <w:szCs w:val="20"/>
              </w:rPr>
              <w:t>)</w:t>
            </w:r>
          </w:p>
        </w:tc>
        <w:tc>
          <w:tcPr>
            <w:tcW w:w="3117" w:type="dxa"/>
            <w:shd w:val="clear" w:color="auto" w:fill="auto"/>
          </w:tcPr>
          <w:p w14:paraId="6B8FEF77" w14:textId="77777777" w:rsidR="005E4276" w:rsidRPr="00937DE6"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E4276" w:rsidRPr="00937DE6" w14:paraId="5E7BA27E"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E877CFA" w14:textId="77777777"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D(taux effectif de la TVA)</w:t>
            </w:r>
          </w:p>
        </w:tc>
        <w:tc>
          <w:tcPr>
            <w:tcW w:w="2694" w:type="dxa"/>
            <w:shd w:val="clear" w:color="auto" w:fill="auto"/>
          </w:tcPr>
          <w:p w14:paraId="7ED244E7" w14:textId="77777777" w:rsidR="005E4276" w:rsidRPr="00937DE6"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fr-FR"/>
              </w:rPr>
            </w:pPr>
          </w:p>
        </w:tc>
        <w:tc>
          <w:tcPr>
            <w:tcW w:w="3117" w:type="dxa"/>
            <w:shd w:val="clear" w:color="auto" w:fill="auto"/>
          </w:tcPr>
          <w:p w14:paraId="63AA5A10" w14:textId="16CAFA63"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w:t>
            </w:r>
            <w:r w:rsidR="00A178E2" w:rsidRPr="00937DE6">
              <w:rPr>
                <w:rFonts w:ascii="Times New Roman" w:eastAsia="Times New Roman" w:hAnsi="Times New Roman" w:cs="Times New Roman"/>
                <w:sz w:val="20"/>
                <w:szCs w:val="20"/>
              </w:rPr>
              <w:t>01531</w:t>
            </w:r>
            <w:r w:rsidRPr="00937DE6">
              <w:rPr>
                <w:rFonts w:ascii="Times New Roman" w:eastAsia="Times New Roman" w:hAnsi="Times New Roman" w:cs="Times New Roman"/>
                <w:sz w:val="20"/>
                <w:szCs w:val="20"/>
                <w:vertAlign w:val="superscript"/>
              </w:rPr>
              <w:t>**</w:t>
            </w:r>
          </w:p>
          <w:p w14:paraId="194DF34D" w14:textId="20076ABD"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CD0E21" w:rsidRPr="00937DE6">
              <w:rPr>
                <w:rFonts w:ascii="Times New Roman" w:eastAsia="Times New Roman" w:hAnsi="Times New Roman" w:cs="Times New Roman"/>
                <w:sz w:val="20"/>
                <w:szCs w:val="20"/>
              </w:rPr>
              <w:t>00889</w:t>
            </w:r>
            <w:r w:rsidRPr="00937DE6">
              <w:rPr>
                <w:rFonts w:ascii="Times New Roman" w:eastAsia="Times New Roman" w:hAnsi="Times New Roman" w:cs="Times New Roman"/>
                <w:sz w:val="20"/>
                <w:szCs w:val="20"/>
              </w:rPr>
              <w:t>)</w:t>
            </w:r>
          </w:p>
        </w:tc>
      </w:tr>
      <w:tr w:rsidR="005E4276" w:rsidRPr="00937DE6" w14:paraId="2C52EBF5" w14:textId="77777777" w:rsidTr="005E4276">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815AD97" w14:textId="77777777"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D(taux effectif de la TVA(-1))</w:t>
            </w:r>
          </w:p>
        </w:tc>
        <w:tc>
          <w:tcPr>
            <w:tcW w:w="2694" w:type="dxa"/>
            <w:shd w:val="clear" w:color="auto" w:fill="auto"/>
          </w:tcPr>
          <w:p w14:paraId="02B15054" w14:textId="77777777" w:rsidR="005E4276" w:rsidRPr="00937DE6" w:rsidRDefault="006D388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fr-FR"/>
              </w:rPr>
            </w:pPr>
            <w:r w:rsidRPr="00937DE6">
              <w:rPr>
                <w:rFonts w:ascii="Arial" w:eastAsia="Arial" w:hAnsi="Arial" w:cs="Arial"/>
                <w:sz w:val="20"/>
                <w:szCs w:val="20"/>
                <w:lang w:val="fr-FR"/>
              </w:rPr>
              <w:br/>
            </w:r>
          </w:p>
        </w:tc>
        <w:tc>
          <w:tcPr>
            <w:tcW w:w="3117" w:type="dxa"/>
            <w:shd w:val="clear" w:color="auto" w:fill="auto"/>
          </w:tcPr>
          <w:p w14:paraId="67634B27" w14:textId="0432BEBE"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CD0E21" w:rsidRPr="00937DE6">
              <w:rPr>
                <w:rFonts w:ascii="Times New Roman" w:eastAsia="Times New Roman" w:hAnsi="Times New Roman" w:cs="Times New Roman"/>
                <w:sz w:val="20"/>
                <w:szCs w:val="20"/>
              </w:rPr>
              <w:t>02021</w:t>
            </w:r>
          </w:p>
          <w:p w14:paraId="6747108D" w14:textId="4DBDC788"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CD0E21" w:rsidRPr="00937DE6">
              <w:rPr>
                <w:rFonts w:ascii="Times New Roman" w:eastAsia="Times New Roman" w:hAnsi="Times New Roman" w:cs="Times New Roman"/>
                <w:sz w:val="20"/>
                <w:szCs w:val="20"/>
              </w:rPr>
              <w:t>1253</w:t>
            </w:r>
            <w:r w:rsidRPr="00937DE6">
              <w:rPr>
                <w:rFonts w:ascii="Times New Roman" w:eastAsia="Times New Roman" w:hAnsi="Times New Roman" w:cs="Times New Roman"/>
                <w:sz w:val="20"/>
                <w:szCs w:val="20"/>
              </w:rPr>
              <w:t>)</w:t>
            </w:r>
          </w:p>
        </w:tc>
      </w:tr>
      <w:tr w:rsidR="005E4276" w:rsidRPr="00937DE6" w14:paraId="6F5E6EBE" w14:textId="77777777" w:rsidTr="005E4276">
        <w:trPr>
          <w:trHeight w:val="70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432DDB7" w14:textId="77777777" w:rsidR="005E4276" w:rsidRPr="00937DE6" w:rsidRDefault="006D388F">
            <w:pPr>
              <w:spacing w:line="360" w:lineRule="auto"/>
              <w:jc w:val="both"/>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D(Taux d’intérêt)</w:t>
            </w:r>
          </w:p>
        </w:tc>
        <w:tc>
          <w:tcPr>
            <w:tcW w:w="2694" w:type="dxa"/>
            <w:shd w:val="clear" w:color="auto" w:fill="auto"/>
          </w:tcPr>
          <w:p w14:paraId="287D3BEE" w14:textId="3D28FC19" w:rsidR="005E4276" w:rsidRPr="00937DE6"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17" w:type="dxa"/>
            <w:shd w:val="clear" w:color="auto" w:fill="auto"/>
          </w:tcPr>
          <w:p w14:paraId="3F92D6E2" w14:textId="77777777" w:rsidR="005E4276" w:rsidRPr="00937DE6" w:rsidRDefault="00CD0E2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-0,000315</w:t>
            </w:r>
          </w:p>
          <w:p w14:paraId="6770D9BF" w14:textId="4E168BB1" w:rsidR="00542033" w:rsidRPr="00937DE6" w:rsidRDefault="0054203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(0,000194)</w:t>
            </w:r>
          </w:p>
        </w:tc>
      </w:tr>
      <w:tr w:rsidR="005E4276" w:rsidRPr="00937DE6" w14:paraId="30EA6ED1"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4CB609E" w14:textId="77777777" w:rsidR="005E4276" w:rsidRPr="00937DE6" w:rsidRDefault="006D388F">
            <w:pPr>
              <w:spacing w:line="360" w:lineRule="auto"/>
              <w:jc w:val="both"/>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D(Taux d’intérêt(-1))</w:t>
            </w:r>
          </w:p>
        </w:tc>
        <w:tc>
          <w:tcPr>
            <w:tcW w:w="2694" w:type="dxa"/>
            <w:shd w:val="clear" w:color="auto" w:fill="auto"/>
          </w:tcPr>
          <w:p w14:paraId="0EB8A032" w14:textId="77777777" w:rsidR="005E4276" w:rsidRPr="00937DE6" w:rsidRDefault="005E4276" w:rsidP="00BC20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117" w:type="dxa"/>
            <w:shd w:val="clear" w:color="auto" w:fill="auto"/>
          </w:tcPr>
          <w:p w14:paraId="571540D5" w14:textId="05C7A712" w:rsidR="005E4276" w:rsidRPr="00937DE6" w:rsidRDefault="005420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0,001219</w:t>
            </w:r>
            <w:r w:rsidRPr="00937DE6">
              <w:rPr>
                <w:rFonts w:ascii="Times New Roman" w:eastAsia="Times New Roman" w:hAnsi="Times New Roman" w:cs="Times New Roman"/>
                <w:sz w:val="20"/>
                <w:szCs w:val="20"/>
                <w:vertAlign w:val="superscript"/>
              </w:rPr>
              <w:t>**</w:t>
            </w:r>
          </w:p>
          <w:p w14:paraId="5BE6662B" w14:textId="7EEAB562" w:rsidR="00542033" w:rsidRPr="00937DE6" w:rsidRDefault="005420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(0,000272)</w:t>
            </w:r>
          </w:p>
        </w:tc>
      </w:tr>
      <w:tr w:rsidR="005E4276" w:rsidRPr="00937DE6" w14:paraId="6038712B"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CAA10AF" w14:textId="6C7E4143" w:rsidR="005E4276" w:rsidRPr="00937DE6" w:rsidRDefault="00714E55">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D(Log taux de chômage</w:t>
            </w:r>
            <w:r w:rsidR="006D388F" w:rsidRPr="00937DE6">
              <w:rPr>
                <w:rFonts w:ascii="Times New Roman" w:eastAsia="Times New Roman" w:hAnsi="Times New Roman" w:cs="Times New Roman"/>
                <w:sz w:val="20"/>
                <w:szCs w:val="20"/>
                <w:lang w:val="fr-FR"/>
              </w:rPr>
              <w:t>)</w:t>
            </w:r>
          </w:p>
        </w:tc>
        <w:tc>
          <w:tcPr>
            <w:tcW w:w="2694" w:type="dxa"/>
            <w:shd w:val="clear" w:color="auto" w:fill="auto"/>
          </w:tcPr>
          <w:p w14:paraId="134ECB5D" w14:textId="083DC0FE" w:rsidR="005E4276" w:rsidRPr="00937DE6"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w:t>
            </w:r>
            <w:r w:rsidR="00BC2015" w:rsidRPr="00937DE6">
              <w:rPr>
                <w:rFonts w:ascii="Times New Roman" w:eastAsia="Times New Roman" w:hAnsi="Times New Roman" w:cs="Times New Roman"/>
                <w:sz w:val="20"/>
                <w:szCs w:val="20"/>
              </w:rPr>
              <w:t>03266</w:t>
            </w:r>
            <w:r w:rsidR="00BC2015" w:rsidRPr="00937DE6">
              <w:rPr>
                <w:rFonts w:ascii="Times New Roman" w:eastAsia="Times New Roman" w:hAnsi="Times New Roman" w:cs="Times New Roman"/>
                <w:sz w:val="20"/>
                <w:szCs w:val="20"/>
                <w:vertAlign w:val="superscript"/>
              </w:rPr>
              <w:t>*</w:t>
            </w:r>
          </w:p>
          <w:p w14:paraId="50DC74B1" w14:textId="77777777" w:rsidR="005E4276" w:rsidRPr="00937DE6" w:rsidRDefault="005E427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4759633" w14:textId="689DC93B"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BC2015" w:rsidRPr="00937DE6">
              <w:rPr>
                <w:rFonts w:ascii="Times New Roman" w:eastAsia="Times New Roman" w:hAnsi="Times New Roman" w:cs="Times New Roman"/>
                <w:sz w:val="20"/>
                <w:szCs w:val="20"/>
              </w:rPr>
              <w:t>01852</w:t>
            </w:r>
            <w:r w:rsidRPr="00937DE6">
              <w:rPr>
                <w:rFonts w:ascii="Times New Roman" w:eastAsia="Times New Roman" w:hAnsi="Times New Roman" w:cs="Times New Roman"/>
                <w:sz w:val="20"/>
                <w:szCs w:val="20"/>
              </w:rPr>
              <w:t>)</w:t>
            </w:r>
          </w:p>
        </w:tc>
        <w:tc>
          <w:tcPr>
            <w:tcW w:w="3117" w:type="dxa"/>
            <w:shd w:val="clear" w:color="auto" w:fill="auto"/>
          </w:tcPr>
          <w:p w14:paraId="1E0FEB96" w14:textId="3A56B8AD"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w:t>
            </w:r>
            <w:r w:rsidR="00542033" w:rsidRPr="00937DE6">
              <w:rPr>
                <w:rFonts w:ascii="Times New Roman" w:eastAsia="Times New Roman" w:hAnsi="Times New Roman" w:cs="Times New Roman"/>
                <w:sz w:val="20"/>
                <w:szCs w:val="20"/>
              </w:rPr>
              <w:t>005647</w:t>
            </w:r>
            <w:r w:rsidRPr="00937DE6">
              <w:rPr>
                <w:rFonts w:ascii="Times New Roman" w:eastAsia="Times New Roman" w:hAnsi="Times New Roman" w:cs="Times New Roman"/>
                <w:sz w:val="20"/>
                <w:szCs w:val="20"/>
                <w:vertAlign w:val="superscript"/>
              </w:rPr>
              <w:t>**</w:t>
            </w:r>
          </w:p>
          <w:p w14:paraId="63CD90CA" w14:textId="19221D45"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542033" w:rsidRPr="00937DE6">
              <w:rPr>
                <w:rFonts w:ascii="Times New Roman" w:eastAsia="Times New Roman" w:hAnsi="Times New Roman" w:cs="Times New Roman"/>
                <w:sz w:val="20"/>
                <w:szCs w:val="20"/>
              </w:rPr>
              <w:t>01966</w:t>
            </w:r>
            <w:r w:rsidRPr="00937DE6">
              <w:rPr>
                <w:rFonts w:ascii="Times New Roman" w:eastAsia="Times New Roman" w:hAnsi="Times New Roman" w:cs="Times New Roman"/>
                <w:sz w:val="20"/>
                <w:szCs w:val="20"/>
              </w:rPr>
              <w:t>)</w:t>
            </w:r>
          </w:p>
        </w:tc>
      </w:tr>
      <w:tr w:rsidR="005E4276" w:rsidRPr="00937DE6" w14:paraId="23BEC8D9"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05A6C04" w14:textId="347DF02E" w:rsidR="005E4276" w:rsidRPr="00937DE6" w:rsidRDefault="00714E55">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D(Log taux de chômage</w:t>
            </w:r>
            <w:r w:rsidR="006D388F" w:rsidRPr="00937DE6">
              <w:rPr>
                <w:rFonts w:ascii="Times New Roman" w:eastAsia="Times New Roman" w:hAnsi="Times New Roman" w:cs="Times New Roman"/>
                <w:sz w:val="20"/>
                <w:szCs w:val="20"/>
                <w:lang w:val="fr-FR"/>
              </w:rPr>
              <w:t>(-1))</w:t>
            </w:r>
          </w:p>
        </w:tc>
        <w:tc>
          <w:tcPr>
            <w:tcW w:w="2694" w:type="dxa"/>
            <w:shd w:val="clear" w:color="auto" w:fill="auto"/>
          </w:tcPr>
          <w:p w14:paraId="57EEB6C9" w14:textId="4AD5E324" w:rsidR="005E4276" w:rsidRPr="00937DE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-0,00</w:t>
            </w:r>
            <w:r w:rsidR="00BC2015" w:rsidRPr="00937DE6">
              <w:rPr>
                <w:rFonts w:ascii="Times New Roman" w:eastAsia="Times New Roman" w:hAnsi="Times New Roman" w:cs="Times New Roman"/>
                <w:sz w:val="20"/>
                <w:szCs w:val="20"/>
              </w:rPr>
              <w:t>4366</w:t>
            </w:r>
            <w:r w:rsidR="00BC2015" w:rsidRPr="00937DE6">
              <w:rPr>
                <w:rFonts w:ascii="Times New Roman" w:eastAsia="Times New Roman" w:hAnsi="Times New Roman" w:cs="Times New Roman"/>
                <w:sz w:val="20"/>
                <w:szCs w:val="20"/>
                <w:vertAlign w:val="superscript"/>
              </w:rPr>
              <w:t>**</w:t>
            </w:r>
          </w:p>
          <w:p w14:paraId="7BE7150F" w14:textId="3A109183"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BC2015" w:rsidRPr="00937DE6">
              <w:rPr>
                <w:rFonts w:ascii="Times New Roman" w:eastAsia="Times New Roman" w:hAnsi="Times New Roman" w:cs="Times New Roman"/>
                <w:sz w:val="20"/>
                <w:szCs w:val="20"/>
              </w:rPr>
              <w:t>01950</w:t>
            </w:r>
            <w:r w:rsidRPr="00937DE6">
              <w:rPr>
                <w:rFonts w:ascii="Times New Roman" w:eastAsia="Times New Roman" w:hAnsi="Times New Roman" w:cs="Times New Roman"/>
                <w:sz w:val="20"/>
                <w:szCs w:val="20"/>
              </w:rPr>
              <w:t>)</w:t>
            </w:r>
          </w:p>
        </w:tc>
        <w:tc>
          <w:tcPr>
            <w:tcW w:w="3117" w:type="dxa"/>
            <w:shd w:val="clear" w:color="auto" w:fill="auto"/>
          </w:tcPr>
          <w:p w14:paraId="6B1FCAB2" w14:textId="27C087CD" w:rsidR="005E4276" w:rsidRPr="00937DE6" w:rsidRDefault="005420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D54DD8" w:rsidRPr="00937DE6">
              <w:rPr>
                <w:rFonts w:ascii="Times New Roman" w:eastAsia="Times New Roman" w:hAnsi="Times New Roman" w:cs="Times New Roman"/>
                <w:sz w:val="20"/>
                <w:szCs w:val="20"/>
              </w:rPr>
              <w:t>1985</w:t>
            </w:r>
          </w:p>
          <w:p w14:paraId="3DAFFE62" w14:textId="389B0DE9"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2A54DE" w:rsidRPr="00937DE6">
              <w:rPr>
                <w:rFonts w:ascii="Times New Roman" w:eastAsia="Times New Roman" w:hAnsi="Times New Roman" w:cs="Times New Roman"/>
                <w:sz w:val="20"/>
                <w:szCs w:val="20"/>
              </w:rPr>
              <w:t>02018</w:t>
            </w:r>
            <w:r w:rsidRPr="00937DE6">
              <w:rPr>
                <w:rFonts w:ascii="Times New Roman" w:eastAsia="Times New Roman" w:hAnsi="Times New Roman" w:cs="Times New Roman"/>
                <w:sz w:val="20"/>
                <w:szCs w:val="20"/>
              </w:rPr>
              <w:t>)</w:t>
            </w:r>
          </w:p>
        </w:tc>
      </w:tr>
      <w:tr w:rsidR="005E4276" w:rsidRPr="00937DE6" w14:paraId="34940CB1"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92BFF1A" w14:textId="77777777"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D(Log revenu par tête)</w:t>
            </w:r>
          </w:p>
        </w:tc>
        <w:tc>
          <w:tcPr>
            <w:tcW w:w="2694" w:type="dxa"/>
            <w:shd w:val="clear" w:color="auto" w:fill="auto"/>
          </w:tcPr>
          <w:p w14:paraId="57E67338" w14:textId="39A92D5D"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w:t>
            </w:r>
            <w:r w:rsidR="00BC2015" w:rsidRPr="00937DE6">
              <w:rPr>
                <w:rFonts w:ascii="Times New Roman" w:eastAsia="Times New Roman" w:hAnsi="Times New Roman" w:cs="Times New Roman"/>
                <w:sz w:val="20"/>
                <w:szCs w:val="20"/>
              </w:rPr>
              <w:t>13113</w:t>
            </w:r>
            <w:r w:rsidR="00BC2015" w:rsidRPr="00937DE6">
              <w:rPr>
                <w:rFonts w:ascii="Times New Roman" w:eastAsia="Times New Roman" w:hAnsi="Times New Roman" w:cs="Times New Roman"/>
                <w:sz w:val="20"/>
                <w:szCs w:val="20"/>
                <w:vertAlign w:val="superscript"/>
              </w:rPr>
              <w:t>**</w:t>
            </w:r>
          </w:p>
          <w:p w14:paraId="3EDEFEF7" w14:textId="300405C6"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w:t>
            </w:r>
            <w:r w:rsidR="00BC2015" w:rsidRPr="00937DE6">
              <w:rPr>
                <w:rFonts w:ascii="Times New Roman" w:eastAsia="Times New Roman" w:hAnsi="Times New Roman" w:cs="Times New Roman"/>
                <w:sz w:val="20"/>
                <w:szCs w:val="20"/>
              </w:rPr>
              <w:t>006340</w:t>
            </w:r>
            <w:r w:rsidRPr="00937DE6">
              <w:rPr>
                <w:rFonts w:ascii="Times New Roman" w:eastAsia="Times New Roman" w:hAnsi="Times New Roman" w:cs="Times New Roman"/>
                <w:sz w:val="20"/>
                <w:szCs w:val="20"/>
              </w:rPr>
              <w:t>)</w:t>
            </w:r>
          </w:p>
        </w:tc>
        <w:tc>
          <w:tcPr>
            <w:tcW w:w="3117" w:type="dxa"/>
            <w:shd w:val="clear" w:color="auto" w:fill="auto"/>
          </w:tcPr>
          <w:p w14:paraId="0BE8187C" w14:textId="3AE2E742" w:rsidR="005E4276" w:rsidRPr="00937DE6" w:rsidRDefault="002A54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0,010612</w:t>
            </w:r>
          </w:p>
          <w:p w14:paraId="61FFFCD9" w14:textId="5DF863BF"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2A54DE" w:rsidRPr="00937DE6">
              <w:rPr>
                <w:rFonts w:ascii="Times New Roman" w:eastAsia="Times New Roman" w:hAnsi="Times New Roman" w:cs="Times New Roman"/>
                <w:sz w:val="20"/>
                <w:szCs w:val="20"/>
              </w:rPr>
              <w:t>06675</w:t>
            </w:r>
            <w:r w:rsidRPr="00937DE6">
              <w:rPr>
                <w:rFonts w:ascii="Times New Roman" w:eastAsia="Times New Roman" w:hAnsi="Times New Roman" w:cs="Times New Roman"/>
                <w:sz w:val="20"/>
                <w:szCs w:val="20"/>
              </w:rPr>
              <w:t>)</w:t>
            </w:r>
          </w:p>
        </w:tc>
      </w:tr>
      <w:tr w:rsidR="005E4276" w:rsidRPr="00937DE6" w14:paraId="3F19792B"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EB79F72" w14:textId="43E9CD6F"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 xml:space="preserve">D(Log </w:t>
            </w:r>
            <w:r w:rsidR="00BC2015" w:rsidRPr="00937DE6">
              <w:rPr>
                <w:rFonts w:ascii="Times New Roman" w:eastAsia="Times New Roman" w:hAnsi="Times New Roman" w:cs="Times New Roman"/>
                <w:sz w:val="20"/>
                <w:szCs w:val="20"/>
                <w:lang w:val="fr-FR"/>
              </w:rPr>
              <w:t xml:space="preserve">revenu par tête </w:t>
            </w:r>
            <w:r w:rsidRPr="00937DE6">
              <w:rPr>
                <w:rFonts w:ascii="Times New Roman" w:eastAsia="Times New Roman" w:hAnsi="Times New Roman" w:cs="Times New Roman"/>
                <w:sz w:val="20"/>
                <w:szCs w:val="20"/>
                <w:lang w:val="fr-FR"/>
              </w:rPr>
              <w:t>(-1))</w:t>
            </w:r>
          </w:p>
        </w:tc>
        <w:tc>
          <w:tcPr>
            <w:tcW w:w="2694" w:type="dxa"/>
            <w:shd w:val="clear" w:color="auto" w:fill="auto"/>
          </w:tcPr>
          <w:p w14:paraId="556C9448" w14:textId="765256F4" w:rsidR="005E4276" w:rsidRPr="00937DE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BC2015" w:rsidRPr="00937DE6">
              <w:rPr>
                <w:rFonts w:ascii="Times New Roman" w:eastAsia="Times New Roman" w:hAnsi="Times New Roman" w:cs="Times New Roman"/>
                <w:sz w:val="20"/>
                <w:szCs w:val="20"/>
              </w:rPr>
              <w:t>1188</w:t>
            </w:r>
          </w:p>
          <w:p w14:paraId="41816D04" w14:textId="04C0720D"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BC2015" w:rsidRPr="00937DE6">
              <w:rPr>
                <w:rFonts w:ascii="Times New Roman" w:eastAsia="Times New Roman" w:hAnsi="Times New Roman" w:cs="Times New Roman"/>
                <w:sz w:val="20"/>
                <w:szCs w:val="20"/>
              </w:rPr>
              <w:t>06296</w:t>
            </w:r>
            <w:r w:rsidRPr="00937DE6">
              <w:rPr>
                <w:rFonts w:ascii="Times New Roman" w:eastAsia="Times New Roman" w:hAnsi="Times New Roman" w:cs="Times New Roman"/>
                <w:sz w:val="20"/>
                <w:szCs w:val="20"/>
              </w:rPr>
              <w:t>)</w:t>
            </w:r>
          </w:p>
        </w:tc>
        <w:tc>
          <w:tcPr>
            <w:tcW w:w="3117" w:type="dxa"/>
            <w:shd w:val="clear" w:color="auto" w:fill="auto"/>
          </w:tcPr>
          <w:p w14:paraId="1D400AA5" w14:textId="67B037BA"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w:t>
            </w:r>
            <w:r w:rsidR="002A54DE" w:rsidRPr="00937DE6">
              <w:rPr>
                <w:rFonts w:ascii="Times New Roman" w:eastAsia="Times New Roman" w:hAnsi="Times New Roman" w:cs="Times New Roman"/>
                <w:sz w:val="20"/>
                <w:szCs w:val="20"/>
              </w:rPr>
              <w:t>18197</w:t>
            </w:r>
            <w:r w:rsidR="002A54DE" w:rsidRPr="00937DE6">
              <w:rPr>
                <w:rFonts w:ascii="Times New Roman" w:eastAsia="Times New Roman" w:hAnsi="Times New Roman" w:cs="Times New Roman"/>
                <w:sz w:val="20"/>
                <w:szCs w:val="20"/>
                <w:vertAlign w:val="superscript"/>
              </w:rPr>
              <w:t>**</w:t>
            </w:r>
          </w:p>
          <w:p w14:paraId="3CE52DC3" w14:textId="41BDD2B8"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2A54DE" w:rsidRPr="00937DE6">
              <w:rPr>
                <w:rFonts w:ascii="Times New Roman" w:eastAsia="Times New Roman" w:hAnsi="Times New Roman" w:cs="Times New Roman"/>
                <w:sz w:val="20"/>
                <w:szCs w:val="20"/>
              </w:rPr>
              <w:t>05978</w:t>
            </w:r>
            <w:r w:rsidRPr="00937DE6">
              <w:rPr>
                <w:rFonts w:ascii="Times New Roman" w:eastAsia="Times New Roman" w:hAnsi="Times New Roman" w:cs="Times New Roman"/>
                <w:sz w:val="20"/>
                <w:szCs w:val="20"/>
              </w:rPr>
              <w:t>)</w:t>
            </w:r>
          </w:p>
        </w:tc>
      </w:tr>
      <w:tr w:rsidR="005E4276" w:rsidRPr="00937DE6" w14:paraId="20C9080B"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F4A2C9A" w14:textId="459A50D0"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D(</w:t>
            </w:r>
            <w:r w:rsidR="00BC2015" w:rsidRPr="00937DE6">
              <w:rPr>
                <w:rFonts w:ascii="Times New Roman" w:eastAsia="Times New Roman" w:hAnsi="Times New Roman" w:cs="Times New Roman"/>
                <w:sz w:val="20"/>
                <w:szCs w:val="20"/>
                <w:lang w:val="fr-FR"/>
              </w:rPr>
              <w:t>LogPopTotale</w:t>
            </w:r>
            <w:r w:rsidRPr="00937DE6">
              <w:rPr>
                <w:rFonts w:ascii="Times New Roman" w:eastAsia="Times New Roman" w:hAnsi="Times New Roman" w:cs="Times New Roman"/>
                <w:sz w:val="20"/>
                <w:szCs w:val="20"/>
                <w:lang w:val="fr-FR"/>
              </w:rPr>
              <w:t>)</w:t>
            </w:r>
          </w:p>
        </w:tc>
        <w:tc>
          <w:tcPr>
            <w:tcW w:w="2694" w:type="dxa"/>
            <w:shd w:val="clear" w:color="auto" w:fill="auto"/>
          </w:tcPr>
          <w:p w14:paraId="6B9E02CF" w14:textId="1DB2D29B"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0,00</w:t>
            </w:r>
            <w:r w:rsidR="00D7017E" w:rsidRPr="00937DE6">
              <w:rPr>
                <w:rFonts w:ascii="Times New Roman" w:eastAsia="Times New Roman" w:hAnsi="Times New Roman" w:cs="Times New Roman"/>
                <w:sz w:val="20"/>
                <w:szCs w:val="20"/>
              </w:rPr>
              <w:t>0258</w:t>
            </w:r>
            <w:r w:rsidR="00D7017E" w:rsidRPr="00937DE6">
              <w:rPr>
                <w:rFonts w:ascii="Times New Roman" w:eastAsia="Times New Roman" w:hAnsi="Times New Roman" w:cs="Times New Roman"/>
                <w:sz w:val="20"/>
                <w:szCs w:val="20"/>
                <w:vertAlign w:val="superscript"/>
              </w:rPr>
              <w:t>*</w:t>
            </w:r>
          </w:p>
          <w:p w14:paraId="27DEAA80" w14:textId="217793E6"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D7017E" w:rsidRPr="00937DE6">
              <w:rPr>
                <w:rFonts w:ascii="Times New Roman" w:eastAsia="Times New Roman" w:hAnsi="Times New Roman" w:cs="Times New Roman"/>
                <w:sz w:val="20"/>
                <w:szCs w:val="20"/>
              </w:rPr>
              <w:t>4444</w:t>
            </w:r>
            <w:r w:rsidRPr="00937DE6">
              <w:rPr>
                <w:rFonts w:ascii="Times New Roman" w:eastAsia="Times New Roman" w:hAnsi="Times New Roman" w:cs="Times New Roman"/>
                <w:sz w:val="20"/>
                <w:szCs w:val="20"/>
              </w:rPr>
              <w:t>)</w:t>
            </w:r>
          </w:p>
        </w:tc>
        <w:tc>
          <w:tcPr>
            <w:tcW w:w="3117" w:type="dxa"/>
            <w:shd w:val="clear" w:color="auto" w:fill="auto"/>
          </w:tcPr>
          <w:p w14:paraId="243FA82C" w14:textId="2F0BCAFD"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w:t>
            </w:r>
            <w:r w:rsidR="002A54DE" w:rsidRPr="00937DE6">
              <w:rPr>
                <w:rFonts w:ascii="Times New Roman" w:eastAsia="Times New Roman" w:hAnsi="Times New Roman" w:cs="Times New Roman"/>
                <w:sz w:val="20"/>
                <w:szCs w:val="20"/>
              </w:rPr>
              <w:t>004163</w:t>
            </w:r>
          </w:p>
          <w:p w14:paraId="39237840" w14:textId="2329E401"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2A54DE" w:rsidRPr="00937DE6">
              <w:rPr>
                <w:rFonts w:ascii="Times New Roman" w:eastAsia="Times New Roman" w:hAnsi="Times New Roman" w:cs="Times New Roman"/>
                <w:sz w:val="20"/>
                <w:szCs w:val="20"/>
              </w:rPr>
              <w:t>04458</w:t>
            </w:r>
            <w:r w:rsidRPr="00937DE6">
              <w:rPr>
                <w:rFonts w:ascii="Times New Roman" w:eastAsia="Times New Roman" w:hAnsi="Times New Roman" w:cs="Times New Roman"/>
                <w:sz w:val="20"/>
                <w:szCs w:val="20"/>
              </w:rPr>
              <w:t>)</w:t>
            </w:r>
          </w:p>
        </w:tc>
      </w:tr>
      <w:tr w:rsidR="005E4276" w:rsidRPr="00937DE6" w14:paraId="08AAF934"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B464AD6" w14:textId="39A48CED" w:rsidR="005E4276" w:rsidRPr="00937DE6" w:rsidRDefault="006D388F">
            <w:pPr>
              <w:spacing w:line="360" w:lineRule="auto"/>
              <w:jc w:val="both"/>
              <w:rPr>
                <w:rFonts w:ascii="Times New Roman" w:eastAsia="Times New Roman" w:hAnsi="Times New Roman" w:cs="Times New Roman"/>
                <w:sz w:val="20"/>
                <w:szCs w:val="20"/>
                <w:lang w:val="fr-FR"/>
              </w:rPr>
            </w:pPr>
            <w:r w:rsidRPr="00937DE6">
              <w:rPr>
                <w:rFonts w:ascii="Times New Roman" w:eastAsia="Times New Roman" w:hAnsi="Times New Roman" w:cs="Times New Roman"/>
                <w:sz w:val="20"/>
                <w:szCs w:val="20"/>
                <w:lang w:val="fr-FR"/>
              </w:rPr>
              <w:t xml:space="preserve">D(Log </w:t>
            </w:r>
            <w:r w:rsidR="00D7017E" w:rsidRPr="00937DE6">
              <w:rPr>
                <w:rFonts w:ascii="Times New Roman" w:eastAsia="Times New Roman" w:hAnsi="Times New Roman" w:cs="Times New Roman"/>
                <w:sz w:val="20"/>
                <w:szCs w:val="20"/>
                <w:lang w:val="fr-FR"/>
              </w:rPr>
              <w:t>PopTotale</w:t>
            </w:r>
            <w:r w:rsidRPr="00937DE6">
              <w:rPr>
                <w:rFonts w:ascii="Times New Roman" w:eastAsia="Times New Roman" w:hAnsi="Times New Roman" w:cs="Times New Roman"/>
                <w:sz w:val="20"/>
                <w:szCs w:val="20"/>
                <w:lang w:val="fr-FR"/>
              </w:rPr>
              <w:t>(-1))</w:t>
            </w:r>
          </w:p>
        </w:tc>
        <w:tc>
          <w:tcPr>
            <w:tcW w:w="2694" w:type="dxa"/>
            <w:shd w:val="clear" w:color="auto" w:fill="auto"/>
          </w:tcPr>
          <w:p w14:paraId="32B1E077" w14:textId="5BDF8172" w:rsidR="005E4276" w:rsidRPr="00937DE6" w:rsidRDefault="00D7017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w:t>
            </w:r>
            <w:r w:rsidR="006D388F" w:rsidRPr="00937DE6">
              <w:rPr>
                <w:rFonts w:ascii="Times New Roman" w:eastAsia="Times New Roman" w:hAnsi="Times New Roman" w:cs="Times New Roman"/>
                <w:sz w:val="20"/>
                <w:szCs w:val="20"/>
              </w:rPr>
              <w:t>0,0</w:t>
            </w:r>
            <w:r w:rsidRPr="00937DE6">
              <w:rPr>
                <w:rFonts w:ascii="Times New Roman" w:eastAsia="Times New Roman" w:hAnsi="Times New Roman" w:cs="Times New Roman"/>
                <w:sz w:val="20"/>
                <w:szCs w:val="20"/>
              </w:rPr>
              <w:t>43126</w:t>
            </w:r>
            <w:r w:rsidRPr="00937DE6">
              <w:rPr>
                <w:rFonts w:ascii="Times New Roman" w:eastAsia="Times New Roman" w:hAnsi="Times New Roman" w:cs="Times New Roman"/>
                <w:sz w:val="20"/>
                <w:szCs w:val="20"/>
                <w:vertAlign w:val="superscript"/>
              </w:rPr>
              <w:t>***</w:t>
            </w:r>
          </w:p>
          <w:p w14:paraId="6CFCFE35" w14:textId="748E2D38"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D7017E" w:rsidRPr="00937DE6">
              <w:rPr>
                <w:rFonts w:ascii="Times New Roman" w:eastAsia="Times New Roman" w:hAnsi="Times New Roman" w:cs="Times New Roman"/>
                <w:sz w:val="20"/>
                <w:szCs w:val="20"/>
              </w:rPr>
              <w:t>9655</w:t>
            </w:r>
            <w:r w:rsidRPr="00937DE6">
              <w:rPr>
                <w:rFonts w:ascii="Times New Roman" w:eastAsia="Times New Roman" w:hAnsi="Times New Roman" w:cs="Times New Roman"/>
                <w:sz w:val="20"/>
                <w:szCs w:val="20"/>
              </w:rPr>
              <w:t>)</w:t>
            </w:r>
          </w:p>
        </w:tc>
        <w:tc>
          <w:tcPr>
            <w:tcW w:w="3117" w:type="dxa"/>
            <w:shd w:val="clear" w:color="auto" w:fill="auto"/>
          </w:tcPr>
          <w:p w14:paraId="40B1344F" w14:textId="77DE7C0E"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w:t>
            </w:r>
            <w:r w:rsidR="002A54DE" w:rsidRPr="00937DE6">
              <w:rPr>
                <w:rFonts w:ascii="Times New Roman" w:eastAsia="Times New Roman" w:hAnsi="Times New Roman" w:cs="Times New Roman"/>
                <w:sz w:val="20"/>
                <w:szCs w:val="20"/>
              </w:rPr>
              <w:t>52646</w:t>
            </w:r>
            <w:r w:rsidRPr="00937DE6">
              <w:rPr>
                <w:rFonts w:ascii="Times New Roman" w:eastAsia="Times New Roman" w:hAnsi="Times New Roman" w:cs="Times New Roman"/>
                <w:sz w:val="20"/>
                <w:szCs w:val="20"/>
                <w:vertAlign w:val="superscript"/>
              </w:rPr>
              <w:t>**</w:t>
            </w:r>
            <w:r w:rsidR="009246DF" w:rsidRPr="00937DE6">
              <w:rPr>
                <w:rFonts w:ascii="Times New Roman" w:eastAsia="Times New Roman" w:hAnsi="Times New Roman" w:cs="Times New Roman"/>
                <w:sz w:val="20"/>
                <w:szCs w:val="20"/>
                <w:vertAlign w:val="superscript"/>
              </w:rPr>
              <w:t>*</w:t>
            </w:r>
          </w:p>
          <w:p w14:paraId="69309AAE" w14:textId="31A73D11" w:rsidR="005E4276" w:rsidRPr="00937DE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(0,00</w:t>
            </w:r>
            <w:r w:rsidR="002A54DE" w:rsidRPr="00937DE6">
              <w:rPr>
                <w:rFonts w:ascii="Times New Roman" w:eastAsia="Times New Roman" w:hAnsi="Times New Roman" w:cs="Times New Roman"/>
                <w:sz w:val="20"/>
                <w:szCs w:val="20"/>
              </w:rPr>
              <w:t>84</w:t>
            </w:r>
            <w:r w:rsidR="009246DF" w:rsidRPr="00937DE6">
              <w:rPr>
                <w:rFonts w:ascii="Times New Roman" w:eastAsia="Times New Roman" w:hAnsi="Times New Roman" w:cs="Times New Roman"/>
                <w:sz w:val="20"/>
                <w:szCs w:val="20"/>
              </w:rPr>
              <w:t>17</w:t>
            </w:r>
            <w:r w:rsidRPr="00937DE6">
              <w:rPr>
                <w:rFonts w:ascii="Times New Roman" w:eastAsia="Times New Roman" w:hAnsi="Times New Roman" w:cs="Times New Roman"/>
                <w:sz w:val="20"/>
                <w:szCs w:val="20"/>
              </w:rPr>
              <w:t>)</w:t>
            </w:r>
          </w:p>
        </w:tc>
      </w:tr>
      <w:tr w:rsidR="005E4276" w:rsidRPr="00937DE6" w14:paraId="62C8566B" w14:textId="77777777" w:rsidTr="005E4276">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226FA43" w14:textId="77777777" w:rsidR="005E4276" w:rsidRPr="00937DE6" w:rsidRDefault="006D388F">
            <w:pPr>
              <w:spacing w:line="360" w:lineRule="auto"/>
              <w:jc w:val="both"/>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CointEq (-1)*</w:t>
            </w:r>
          </w:p>
        </w:tc>
        <w:tc>
          <w:tcPr>
            <w:tcW w:w="2694" w:type="dxa"/>
            <w:shd w:val="clear" w:color="auto" w:fill="auto"/>
          </w:tcPr>
          <w:p w14:paraId="4C5BA2EC" w14:textId="370E75CF"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 xml:space="preserve"> -0,</w:t>
            </w:r>
            <w:r w:rsidR="00D7017E" w:rsidRPr="00937DE6">
              <w:rPr>
                <w:rFonts w:ascii="Times New Roman" w:eastAsia="Times New Roman" w:hAnsi="Times New Roman" w:cs="Times New Roman"/>
                <w:sz w:val="20"/>
                <w:szCs w:val="20"/>
              </w:rPr>
              <w:t>113120</w:t>
            </w:r>
            <w:r w:rsidRPr="00937DE6">
              <w:rPr>
                <w:rFonts w:ascii="Times New Roman" w:eastAsia="Times New Roman" w:hAnsi="Times New Roman" w:cs="Times New Roman"/>
                <w:sz w:val="20"/>
                <w:szCs w:val="20"/>
                <w:vertAlign w:val="superscript"/>
              </w:rPr>
              <w:t>***</w:t>
            </w:r>
          </w:p>
          <w:p w14:paraId="7286159E" w14:textId="5055DADD"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D7017E" w:rsidRPr="00937DE6">
              <w:rPr>
                <w:rFonts w:ascii="Times New Roman" w:eastAsia="Times New Roman" w:hAnsi="Times New Roman" w:cs="Times New Roman"/>
                <w:sz w:val="20"/>
                <w:szCs w:val="20"/>
              </w:rPr>
              <w:t>16430</w:t>
            </w:r>
            <w:r w:rsidRPr="00937DE6">
              <w:rPr>
                <w:rFonts w:ascii="Times New Roman" w:eastAsia="Times New Roman" w:hAnsi="Times New Roman" w:cs="Times New Roman"/>
                <w:sz w:val="20"/>
                <w:szCs w:val="20"/>
              </w:rPr>
              <w:t>)</w:t>
            </w:r>
          </w:p>
        </w:tc>
        <w:tc>
          <w:tcPr>
            <w:tcW w:w="3117" w:type="dxa"/>
            <w:shd w:val="clear" w:color="auto" w:fill="auto"/>
          </w:tcPr>
          <w:p w14:paraId="1CF83F18" w14:textId="3BBA8EF2"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937DE6">
              <w:rPr>
                <w:rFonts w:ascii="Times New Roman" w:eastAsia="Times New Roman" w:hAnsi="Times New Roman" w:cs="Times New Roman"/>
                <w:sz w:val="20"/>
                <w:szCs w:val="20"/>
              </w:rPr>
              <w:t>-0,0</w:t>
            </w:r>
            <w:r w:rsidR="00AF05FF" w:rsidRPr="00937DE6">
              <w:rPr>
                <w:rFonts w:ascii="Times New Roman" w:eastAsia="Times New Roman" w:hAnsi="Times New Roman" w:cs="Times New Roman"/>
                <w:sz w:val="20"/>
                <w:szCs w:val="20"/>
              </w:rPr>
              <w:t>54022</w:t>
            </w:r>
            <w:r w:rsidRPr="00937DE6">
              <w:rPr>
                <w:rFonts w:ascii="Times New Roman" w:eastAsia="Times New Roman" w:hAnsi="Times New Roman" w:cs="Times New Roman"/>
                <w:sz w:val="20"/>
                <w:szCs w:val="20"/>
                <w:vertAlign w:val="superscript"/>
              </w:rPr>
              <w:t>***</w:t>
            </w:r>
          </w:p>
          <w:p w14:paraId="7A993662" w14:textId="42A1D289" w:rsidR="005E4276" w:rsidRPr="00937DE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37DE6">
              <w:rPr>
                <w:rFonts w:ascii="Times New Roman" w:eastAsia="Times New Roman" w:hAnsi="Times New Roman" w:cs="Times New Roman"/>
                <w:sz w:val="20"/>
                <w:szCs w:val="20"/>
              </w:rPr>
              <w:t>(0,0</w:t>
            </w:r>
            <w:r w:rsidR="00AF05FF" w:rsidRPr="00937DE6">
              <w:rPr>
                <w:rFonts w:ascii="Times New Roman" w:eastAsia="Times New Roman" w:hAnsi="Times New Roman" w:cs="Times New Roman"/>
                <w:sz w:val="20"/>
                <w:szCs w:val="20"/>
              </w:rPr>
              <w:t>06401</w:t>
            </w:r>
            <w:r w:rsidRPr="00937DE6">
              <w:rPr>
                <w:rFonts w:ascii="Times New Roman" w:eastAsia="Times New Roman" w:hAnsi="Times New Roman" w:cs="Times New Roman"/>
                <w:sz w:val="20"/>
                <w:szCs w:val="20"/>
              </w:rPr>
              <w:t>)</w:t>
            </w:r>
          </w:p>
        </w:tc>
      </w:tr>
    </w:tbl>
    <w:bookmarkEnd w:id="11"/>
    <w:p w14:paraId="3AA83AC9" w14:textId="100644B6" w:rsidR="005E4276" w:rsidRPr="00256989" w:rsidRDefault="00FF4C8E">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NB :</w:t>
      </w:r>
      <w:r w:rsidR="006D388F" w:rsidRPr="00256989">
        <w:rPr>
          <w:rFonts w:ascii="Times New Roman" w:eastAsia="Times New Roman" w:hAnsi="Times New Roman" w:cs="Times New Roman"/>
          <w:sz w:val="20"/>
          <w:szCs w:val="20"/>
          <w:lang w:val="fr-FR"/>
        </w:rPr>
        <w:t xml:space="preserve"> Les erreurs standards sont entre parenthèses, *** significatif à 1%, ** significatif à 5%, * significatif à 10%</w:t>
      </w:r>
    </w:p>
    <w:p w14:paraId="617E8BB9" w14:textId="0E9FFDA3" w:rsidR="005E4276" w:rsidRPr="00256989" w:rsidRDefault="00FF4C8E">
      <w:pPr>
        <w:widowControl w:val="0"/>
        <w:spacing w:after="0" w:line="276" w:lineRule="auto"/>
        <w:jc w:val="both"/>
        <w:rPr>
          <w:rFonts w:ascii="Times New Roman" w:eastAsia="Times New Roman" w:hAnsi="Times New Roman" w:cs="Times New Roman"/>
          <w:sz w:val="20"/>
          <w:szCs w:val="20"/>
          <w:lang w:val="fr-FR"/>
        </w:rPr>
      </w:pPr>
      <w:r w:rsidRPr="00256989">
        <w:rPr>
          <w:rFonts w:ascii="Times New Roman" w:eastAsia="Times New Roman" w:hAnsi="Times New Roman" w:cs="Times New Roman"/>
          <w:sz w:val="20"/>
          <w:szCs w:val="20"/>
          <w:lang w:val="fr-FR"/>
        </w:rPr>
        <w:t>Source :</w:t>
      </w:r>
      <w:r w:rsidR="006D388F" w:rsidRPr="00256989">
        <w:rPr>
          <w:rFonts w:ascii="Times New Roman" w:eastAsia="Times New Roman" w:hAnsi="Times New Roman" w:cs="Times New Roman"/>
          <w:sz w:val="20"/>
          <w:szCs w:val="20"/>
          <w:lang w:val="fr-FR"/>
        </w:rPr>
        <w:t xml:space="preserve"> Auteur, à partir des estimations du logiciel Eviews12.</w:t>
      </w:r>
    </w:p>
    <w:p w14:paraId="4EC315B8" w14:textId="77777777" w:rsidR="005E4276" w:rsidRPr="00256989" w:rsidRDefault="005E4276">
      <w:pPr>
        <w:widowControl w:val="0"/>
        <w:spacing w:after="0" w:line="276" w:lineRule="auto"/>
        <w:jc w:val="both"/>
        <w:rPr>
          <w:rFonts w:ascii="Times New Roman" w:eastAsia="Times New Roman" w:hAnsi="Times New Roman" w:cs="Times New Roman"/>
          <w:sz w:val="20"/>
          <w:szCs w:val="20"/>
          <w:lang w:val="fr-FR"/>
        </w:rPr>
      </w:pPr>
    </w:p>
    <w:p w14:paraId="56AEAB33" w14:textId="2024E6C5" w:rsidR="006731CB" w:rsidRPr="00256989" w:rsidRDefault="006D388F">
      <w:pPr>
        <w:widowControl w:val="0"/>
        <w:spacing w:after="0"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Les résultats des coefficients dynamiques à court terme associés aux relations à long terme obtenus à partir de l’équation ECM sont consignés dans le tableau 5. Cependant</w:t>
      </w:r>
      <w:r w:rsidR="00EF30C8">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le coefficient du terme d’erreur ou force de rappel (CointEq (-1)) estimé est négatif et significatif à risque de 5% dans les deux</w:t>
      </w:r>
      <w:r w:rsidR="00EF30C8">
        <w:rPr>
          <w:rFonts w:ascii="Times New Roman" w:eastAsia="Times New Roman" w:hAnsi="Times New Roman" w:cs="Times New Roman"/>
          <w:sz w:val="24"/>
          <w:szCs w:val="24"/>
          <w:lang w:val="fr-FR"/>
        </w:rPr>
        <w:t xml:space="preserve"> (02)</w:t>
      </w:r>
      <w:r w:rsidRPr="00256989">
        <w:rPr>
          <w:rFonts w:ascii="Times New Roman" w:eastAsia="Times New Roman" w:hAnsi="Times New Roman" w:cs="Times New Roman"/>
          <w:sz w:val="24"/>
          <w:szCs w:val="24"/>
          <w:lang w:val="fr-FR"/>
        </w:rPr>
        <w:t xml:space="preserve"> modèles. Cela montre l’existence d’un mécanisme d’ajustement à long terme. Les résultats confirment que les dépenses de consommation finale des ménages au Burkina Faso ont un mécanisme automatique qui réagit aux déviations</w:t>
      </w:r>
      <w:r w:rsidR="00153ED3"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de manière équilibrée. Les valeurs estimées dans les deux </w:t>
      </w:r>
      <w:r w:rsidR="00EF30C8">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modèles respectivement (-0,</w:t>
      </w:r>
      <w:r w:rsidR="00D7017E">
        <w:rPr>
          <w:rFonts w:ascii="Times New Roman" w:eastAsia="Times New Roman" w:hAnsi="Times New Roman" w:cs="Times New Roman"/>
          <w:sz w:val="24"/>
          <w:szCs w:val="24"/>
          <w:lang w:val="fr-FR"/>
        </w:rPr>
        <w:t>113120</w:t>
      </w:r>
      <w:r w:rsidRPr="00256989">
        <w:rPr>
          <w:rFonts w:ascii="Times New Roman" w:eastAsia="Times New Roman" w:hAnsi="Times New Roman" w:cs="Times New Roman"/>
          <w:sz w:val="24"/>
          <w:szCs w:val="24"/>
          <w:lang w:val="fr-FR"/>
        </w:rPr>
        <w:t>) et (-0,0</w:t>
      </w:r>
      <w:r w:rsidR="00D7017E">
        <w:rPr>
          <w:rFonts w:ascii="Times New Roman" w:eastAsia="Times New Roman" w:hAnsi="Times New Roman" w:cs="Times New Roman"/>
          <w:sz w:val="24"/>
          <w:szCs w:val="24"/>
          <w:lang w:val="fr-FR"/>
        </w:rPr>
        <w:t>54022</w:t>
      </w:r>
      <w:r w:rsidRPr="00256989">
        <w:rPr>
          <w:rFonts w:ascii="Times New Roman" w:eastAsia="Times New Roman" w:hAnsi="Times New Roman" w:cs="Times New Roman"/>
          <w:sz w:val="24"/>
          <w:szCs w:val="24"/>
          <w:lang w:val="fr-FR"/>
        </w:rPr>
        <w:t xml:space="preserve">) pour les coefficients ECM suggèrent une stratégie d’ajustement rapide d’environ </w:t>
      </w:r>
      <w:r w:rsidR="00D7017E">
        <w:rPr>
          <w:rFonts w:ascii="Times New Roman" w:eastAsia="Times New Roman" w:hAnsi="Times New Roman" w:cs="Times New Roman"/>
          <w:sz w:val="24"/>
          <w:szCs w:val="24"/>
          <w:lang w:val="fr-FR"/>
        </w:rPr>
        <w:t>1</w:t>
      </w:r>
      <w:r w:rsidRPr="00256989">
        <w:rPr>
          <w:rFonts w:ascii="Times New Roman" w:eastAsia="Times New Roman" w:hAnsi="Times New Roman" w:cs="Times New Roman"/>
          <w:sz w:val="24"/>
          <w:szCs w:val="24"/>
          <w:lang w:val="fr-FR"/>
        </w:rPr>
        <w:t>1,</w:t>
      </w:r>
      <w:r w:rsidR="00D7017E">
        <w:rPr>
          <w:rFonts w:ascii="Times New Roman" w:eastAsia="Times New Roman" w:hAnsi="Times New Roman" w:cs="Times New Roman"/>
          <w:sz w:val="24"/>
          <w:szCs w:val="24"/>
          <w:lang w:val="fr-FR"/>
        </w:rPr>
        <w:t xml:space="preserve">31 </w:t>
      </w:r>
      <w:r w:rsidRPr="00256989">
        <w:rPr>
          <w:rFonts w:ascii="Times New Roman" w:eastAsia="Times New Roman" w:hAnsi="Times New Roman" w:cs="Times New Roman"/>
          <w:sz w:val="24"/>
          <w:szCs w:val="24"/>
          <w:lang w:val="fr-FR"/>
        </w:rPr>
        <w:t xml:space="preserve">% et </w:t>
      </w:r>
      <w:r w:rsidR="00D7017E">
        <w:rPr>
          <w:rFonts w:ascii="Times New Roman" w:eastAsia="Times New Roman" w:hAnsi="Times New Roman" w:cs="Times New Roman"/>
          <w:sz w:val="24"/>
          <w:szCs w:val="24"/>
          <w:lang w:val="fr-FR"/>
        </w:rPr>
        <w:t>5</w:t>
      </w:r>
      <w:r w:rsidR="00D7017E">
        <w:rPr>
          <w:rFonts w:ascii="Times New Roman" w:eastAsia="Times New Roman" w:hAnsi="Times New Roman" w:cs="Times New Roman"/>
          <w:sz w:val="24"/>
          <w:szCs w:val="24"/>
          <w:lang w:val="fr-FR"/>
        </w:rPr>
        <w:tab/>
        <w:t>,40</w:t>
      </w:r>
      <w:r w:rsidRPr="00256989">
        <w:rPr>
          <w:rFonts w:ascii="Times New Roman" w:eastAsia="Times New Roman" w:hAnsi="Times New Roman" w:cs="Times New Roman"/>
          <w:sz w:val="24"/>
          <w:szCs w:val="24"/>
          <w:lang w:val="fr-FR"/>
        </w:rPr>
        <w:t xml:space="preserve">%. Pour le premier modèle, cela signifie qu’environ </w:t>
      </w:r>
      <w:r w:rsidR="00D7017E">
        <w:rPr>
          <w:rFonts w:ascii="Times New Roman" w:eastAsia="Times New Roman" w:hAnsi="Times New Roman" w:cs="Times New Roman"/>
          <w:sz w:val="24"/>
          <w:szCs w:val="24"/>
          <w:lang w:val="fr-FR"/>
        </w:rPr>
        <w:t>1</w:t>
      </w:r>
      <w:r w:rsidRPr="00256989">
        <w:rPr>
          <w:rFonts w:ascii="Times New Roman" w:eastAsia="Times New Roman" w:hAnsi="Times New Roman" w:cs="Times New Roman"/>
          <w:sz w:val="24"/>
          <w:szCs w:val="24"/>
          <w:lang w:val="fr-FR"/>
        </w:rPr>
        <w:t>1</w:t>
      </w:r>
      <w:r w:rsidR="009C1E90">
        <w:rPr>
          <w:rFonts w:ascii="Times New Roman" w:eastAsia="Times New Roman" w:hAnsi="Times New Roman" w:cs="Times New Roman"/>
          <w:sz w:val="24"/>
          <w:szCs w:val="24"/>
          <w:lang w:val="fr-FR"/>
        </w:rPr>
        <w:t>, 31</w:t>
      </w:r>
      <w:r w:rsidRPr="00256989">
        <w:rPr>
          <w:rFonts w:ascii="Times New Roman" w:eastAsia="Times New Roman" w:hAnsi="Times New Roman" w:cs="Times New Roman"/>
          <w:sz w:val="24"/>
          <w:szCs w:val="24"/>
          <w:lang w:val="fr-FR"/>
        </w:rPr>
        <w:t xml:space="preserve">% de l’écart de l’année précédente est ajusté pour l’année en cours, c’est-à-dire qu’environ </w:t>
      </w:r>
      <w:r w:rsidR="00D7017E">
        <w:rPr>
          <w:rFonts w:ascii="Times New Roman" w:eastAsia="Times New Roman" w:hAnsi="Times New Roman" w:cs="Times New Roman"/>
          <w:sz w:val="24"/>
          <w:szCs w:val="24"/>
          <w:lang w:val="fr-FR"/>
        </w:rPr>
        <w:t>1</w:t>
      </w:r>
      <w:r w:rsidRPr="00256989">
        <w:rPr>
          <w:rFonts w:ascii="Times New Roman" w:eastAsia="Times New Roman" w:hAnsi="Times New Roman" w:cs="Times New Roman"/>
          <w:sz w:val="24"/>
          <w:szCs w:val="24"/>
          <w:lang w:val="fr-FR"/>
        </w:rPr>
        <w:t>1</w:t>
      </w:r>
      <w:r w:rsidR="009C1E90">
        <w:rPr>
          <w:rFonts w:ascii="Times New Roman" w:eastAsia="Times New Roman" w:hAnsi="Times New Roman" w:cs="Times New Roman"/>
          <w:sz w:val="24"/>
          <w:szCs w:val="24"/>
          <w:lang w:val="fr-FR"/>
        </w:rPr>
        <w:t>,31</w:t>
      </w:r>
      <w:r w:rsidRPr="00256989">
        <w:rPr>
          <w:rFonts w:ascii="Times New Roman" w:eastAsia="Times New Roman" w:hAnsi="Times New Roman" w:cs="Times New Roman"/>
          <w:sz w:val="24"/>
          <w:szCs w:val="24"/>
          <w:lang w:val="fr-FR"/>
        </w:rPr>
        <w:t>% des déséquilibres du choc de l’année précédente convergent vers l’équilibre à long terme de l’année en cours. Ces résultats révèlent donc une relation de court terme entre les dépenses de consommation finale des ménages et les différentes variables explicatives.</w:t>
      </w:r>
    </w:p>
    <w:p w14:paraId="7C0862E6" w14:textId="1F199096" w:rsidR="005758D3" w:rsidRDefault="006731CB" w:rsidP="008B7DC5">
      <w:pPr>
        <w:widowControl w:val="0"/>
        <w:spacing w:after="0"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Après les résultats de court terme, les résultats de long terme sont résumés dans le tableau 6 </w:t>
      </w:r>
      <w:r w:rsidR="00EF30C8" w:rsidRPr="00EF30C8">
        <w:rPr>
          <w:rFonts w:ascii="Times New Roman" w:eastAsia="Times New Roman" w:hAnsi="Times New Roman" w:cs="Times New Roman"/>
          <w:sz w:val="24"/>
          <w:szCs w:val="24"/>
          <w:lang w:val="fr-FR"/>
        </w:rPr>
        <w:t>ci-dessous</w:t>
      </w:r>
      <w:r w:rsidRPr="00256989">
        <w:rPr>
          <w:rFonts w:ascii="Times New Roman" w:eastAsia="Times New Roman" w:hAnsi="Times New Roman" w:cs="Times New Roman"/>
          <w:sz w:val="24"/>
          <w:szCs w:val="24"/>
          <w:lang w:val="fr-FR"/>
        </w:rPr>
        <w:t>.</w:t>
      </w:r>
    </w:p>
    <w:p w14:paraId="69871FA8"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5DAB615A"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4E6637A6"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1D6D7311"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6B1EEC79"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15177D7E"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520570CA"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5A123218"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57A23B74"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0E182BBE"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143E94B3"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5C6C9586"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40CF85ED"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7D7D15AC"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466E44A1"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57A23346" w14:textId="77777777" w:rsidR="0064310F" w:rsidRDefault="0064310F" w:rsidP="008B7DC5">
      <w:pPr>
        <w:widowControl w:val="0"/>
        <w:spacing w:after="0" w:line="360" w:lineRule="auto"/>
        <w:jc w:val="both"/>
        <w:rPr>
          <w:rFonts w:ascii="Times New Roman" w:eastAsia="Times New Roman" w:hAnsi="Times New Roman" w:cs="Times New Roman"/>
          <w:sz w:val="24"/>
          <w:szCs w:val="24"/>
          <w:lang w:val="fr-FR"/>
        </w:rPr>
      </w:pPr>
    </w:p>
    <w:p w14:paraId="21FFA6E9" w14:textId="77777777" w:rsidR="00C66915" w:rsidRDefault="00C66915" w:rsidP="008B7DC5">
      <w:pPr>
        <w:widowControl w:val="0"/>
        <w:spacing w:after="0" w:line="360" w:lineRule="auto"/>
        <w:jc w:val="both"/>
        <w:rPr>
          <w:rFonts w:ascii="Times New Roman" w:eastAsia="Times New Roman" w:hAnsi="Times New Roman" w:cs="Times New Roman"/>
          <w:sz w:val="24"/>
          <w:szCs w:val="24"/>
          <w:lang w:val="fr-FR"/>
        </w:rPr>
      </w:pPr>
    </w:p>
    <w:p w14:paraId="449AD831" w14:textId="5E131A66" w:rsidR="005E4276" w:rsidRPr="008B7DC5" w:rsidRDefault="006D388F" w:rsidP="008B7DC5">
      <w:pPr>
        <w:widowControl w:val="0"/>
        <w:spacing w:after="0"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i/>
          <w:sz w:val="24"/>
          <w:szCs w:val="24"/>
          <w:lang w:val="fr-FR"/>
        </w:rPr>
        <w:lastRenderedPageBreak/>
        <w:t xml:space="preserve">Tableau </w:t>
      </w:r>
      <w:r w:rsidR="00562615" w:rsidRPr="00256989">
        <w:rPr>
          <w:rFonts w:ascii="Times New Roman" w:eastAsia="Times New Roman" w:hAnsi="Times New Roman" w:cs="Times New Roman"/>
          <w:i/>
          <w:sz w:val="24"/>
          <w:szCs w:val="24"/>
          <w:lang w:val="fr-FR"/>
        </w:rPr>
        <w:t>6 :</w:t>
      </w:r>
      <w:r w:rsidRPr="00256989">
        <w:rPr>
          <w:rFonts w:ascii="Times New Roman" w:eastAsia="Times New Roman" w:hAnsi="Times New Roman" w:cs="Times New Roman"/>
          <w:i/>
          <w:sz w:val="24"/>
          <w:szCs w:val="24"/>
          <w:lang w:val="fr-FR"/>
        </w:rPr>
        <w:t xml:space="preserve"> Resultats d’estimation de la relation de long terme</w:t>
      </w:r>
    </w:p>
    <w:tbl>
      <w:tblPr>
        <w:tblStyle w:val="6"/>
        <w:tblW w:w="8926" w:type="dxa"/>
        <w:tblInd w:w="0" w:type="dxa"/>
        <w:tblBorders>
          <w:top w:val="single" w:sz="4" w:space="0" w:color="000000"/>
          <w:bottom w:val="single" w:sz="4" w:space="0" w:color="000000"/>
        </w:tblBorders>
        <w:tblLayout w:type="fixed"/>
        <w:tblLook w:val="04A0" w:firstRow="1" w:lastRow="0" w:firstColumn="1" w:lastColumn="0" w:noHBand="0" w:noVBand="1"/>
      </w:tblPr>
      <w:tblGrid>
        <w:gridCol w:w="3116"/>
        <w:gridCol w:w="3117"/>
        <w:gridCol w:w="2693"/>
      </w:tblGrid>
      <w:tr w:rsidR="005E4276" w:rsidRPr="00C66915" w14:paraId="297B9D3E" w14:textId="77777777" w:rsidTr="005E4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12" w:space="0" w:color="000000"/>
            </w:tcBorders>
            <w:shd w:val="clear" w:color="auto" w:fill="auto"/>
          </w:tcPr>
          <w:p w14:paraId="0364B016" w14:textId="77777777" w:rsidR="005E4276" w:rsidRPr="00C66915" w:rsidRDefault="006D388F">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Modèles</w:t>
            </w:r>
          </w:p>
        </w:tc>
        <w:tc>
          <w:tcPr>
            <w:tcW w:w="3117" w:type="dxa"/>
            <w:tcBorders>
              <w:bottom w:val="single" w:sz="12" w:space="0" w:color="000000"/>
            </w:tcBorders>
            <w:shd w:val="clear" w:color="auto" w:fill="auto"/>
          </w:tcPr>
          <w:p w14:paraId="48C3FF21" w14:textId="77777777" w:rsidR="005E4276" w:rsidRPr="00C66915"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Modèle 1</w:t>
            </w:r>
          </w:p>
        </w:tc>
        <w:tc>
          <w:tcPr>
            <w:tcW w:w="2693" w:type="dxa"/>
            <w:tcBorders>
              <w:bottom w:val="single" w:sz="12" w:space="0" w:color="000000"/>
            </w:tcBorders>
            <w:shd w:val="clear" w:color="auto" w:fill="auto"/>
          </w:tcPr>
          <w:p w14:paraId="221F653D" w14:textId="77777777" w:rsidR="005E4276" w:rsidRPr="00C66915"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Modèle 2</w:t>
            </w:r>
          </w:p>
        </w:tc>
      </w:tr>
      <w:tr w:rsidR="005E4276" w:rsidRPr="00C66915" w14:paraId="4B232548"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000000"/>
            </w:tcBorders>
            <w:shd w:val="clear" w:color="auto" w:fill="auto"/>
          </w:tcPr>
          <w:p w14:paraId="064C2353" w14:textId="77777777" w:rsidR="005E4276" w:rsidRPr="00C66915" w:rsidRDefault="006D388F">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Taux effectif de l’IUTS</w:t>
            </w:r>
          </w:p>
        </w:tc>
        <w:tc>
          <w:tcPr>
            <w:tcW w:w="3117" w:type="dxa"/>
            <w:tcBorders>
              <w:top w:val="single" w:sz="12" w:space="0" w:color="000000"/>
            </w:tcBorders>
            <w:shd w:val="clear" w:color="auto" w:fill="auto"/>
          </w:tcPr>
          <w:p w14:paraId="31F3EBCA" w14:textId="33FCF373"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w:t>
            </w:r>
            <w:r w:rsidR="00EA0887" w:rsidRPr="00C66915">
              <w:rPr>
                <w:rFonts w:ascii="Times New Roman" w:eastAsia="Times New Roman" w:hAnsi="Times New Roman" w:cs="Times New Roman"/>
                <w:sz w:val="20"/>
                <w:szCs w:val="20"/>
              </w:rPr>
              <w:t>002362</w:t>
            </w:r>
          </w:p>
          <w:p w14:paraId="75A9668B" w14:textId="1866B099"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w:t>
            </w:r>
            <w:r w:rsidR="00EA0887" w:rsidRPr="00C66915">
              <w:rPr>
                <w:rFonts w:ascii="Times New Roman" w:eastAsia="Times New Roman" w:hAnsi="Times New Roman" w:cs="Times New Roman"/>
                <w:sz w:val="20"/>
                <w:szCs w:val="20"/>
              </w:rPr>
              <w:t>21206</w:t>
            </w:r>
            <w:r w:rsidRPr="00C66915">
              <w:rPr>
                <w:rFonts w:ascii="Times New Roman" w:eastAsia="Times New Roman" w:hAnsi="Times New Roman" w:cs="Times New Roman"/>
                <w:sz w:val="20"/>
                <w:szCs w:val="20"/>
              </w:rPr>
              <w:t>)</w:t>
            </w:r>
          </w:p>
        </w:tc>
        <w:tc>
          <w:tcPr>
            <w:tcW w:w="2693" w:type="dxa"/>
            <w:tcBorders>
              <w:top w:val="single" w:sz="12" w:space="0" w:color="000000"/>
            </w:tcBorders>
            <w:shd w:val="clear" w:color="auto" w:fill="auto"/>
          </w:tcPr>
          <w:p w14:paraId="7ECFCB3E" w14:textId="77777777" w:rsidR="005E4276" w:rsidRPr="00C66915" w:rsidRDefault="005E427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p w14:paraId="04B50755" w14:textId="77777777" w:rsidR="005E4276" w:rsidRPr="00C66915" w:rsidRDefault="006D388F">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66915">
              <w:rPr>
                <w:rFonts w:ascii="Arial" w:eastAsia="Arial" w:hAnsi="Arial" w:cs="Arial"/>
                <w:sz w:val="20"/>
                <w:szCs w:val="20"/>
              </w:rPr>
              <w:br/>
            </w:r>
          </w:p>
          <w:p w14:paraId="2FE6FA75" w14:textId="77777777" w:rsidR="005E4276" w:rsidRPr="00C66915"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E4276" w:rsidRPr="00C66915" w14:paraId="5AE9995B" w14:textId="77777777" w:rsidTr="005E427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E5A1FA3" w14:textId="77777777" w:rsidR="005E4276" w:rsidRPr="00C66915" w:rsidRDefault="006D388F">
            <w:pPr>
              <w:spacing w:line="360" w:lineRule="auto"/>
              <w:jc w:val="both"/>
              <w:rPr>
                <w:rFonts w:ascii="Times New Roman" w:eastAsia="Times New Roman" w:hAnsi="Times New Roman" w:cs="Times New Roman"/>
                <w:sz w:val="20"/>
                <w:szCs w:val="20"/>
                <w:lang w:val="fr-FR"/>
              </w:rPr>
            </w:pPr>
            <w:r w:rsidRPr="00C66915">
              <w:rPr>
                <w:rFonts w:ascii="Times New Roman" w:eastAsia="Times New Roman" w:hAnsi="Times New Roman" w:cs="Times New Roman"/>
                <w:sz w:val="20"/>
                <w:szCs w:val="20"/>
                <w:lang w:val="fr-FR"/>
              </w:rPr>
              <w:t>Taux effectif de la TVA</w:t>
            </w:r>
          </w:p>
        </w:tc>
        <w:tc>
          <w:tcPr>
            <w:tcW w:w="3117" w:type="dxa"/>
            <w:shd w:val="clear" w:color="auto" w:fill="auto"/>
          </w:tcPr>
          <w:p w14:paraId="027C79F3" w14:textId="77777777" w:rsidR="005E4276" w:rsidRPr="00C66915"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fr-FR"/>
              </w:rPr>
            </w:pPr>
          </w:p>
        </w:tc>
        <w:tc>
          <w:tcPr>
            <w:tcW w:w="2693" w:type="dxa"/>
            <w:shd w:val="clear" w:color="auto" w:fill="auto"/>
          </w:tcPr>
          <w:p w14:paraId="7C5F088F" w14:textId="379D8FB4" w:rsidR="005E4276" w:rsidRPr="00C66915" w:rsidRDefault="007A1AA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-0,108268</w:t>
            </w:r>
            <w:r w:rsidRPr="00C66915">
              <w:rPr>
                <w:rFonts w:ascii="Times New Roman" w:eastAsia="Times New Roman" w:hAnsi="Times New Roman" w:cs="Times New Roman"/>
                <w:sz w:val="20"/>
                <w:szCs w:val="20"/>
                <w:vertAlign w:val="superscript"/>
              </w:rPr>
              <w:t>*</w:t>
            </w:r>
          </w:p>
          <w:p w14:paraId="64D85960" w14:textId="56EB7470"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w:t>
            </w:r>
            <w:r w:rsidR="007A1AA5" w:rsidRPr="00C66915">
              <w:rPr>
                <w:rFonts w:ascii="Times New Roman" w:eastAsia="Times New Roman" w:hAnsi="Times New Roman" w:cs="Times New Roman"/>
                <w:sz w:val="20"/>
                <w:szCs w:val="20"/>
              </w:rPr>
              <w:t>62239</w:t>
            </w:r>
            <w:r w:rsidRPr="00C66915">
              <w:rPr>
                <w:rFonts w:ascii="Times New Roman" w:eastAsia="Times New Roman" w:hAnsi="Times New Roman" w:cs="Times New Roman"/>
                <w:sz w:val="20"/>
                <w:szCs w:val="20"/>
              </w:rPr>
              <w:t>)</w:t>
            </w:r>
          </w:p>
        </w:tc>
      </w:tr>
      <w:tr w:rsidR="005E4276" w:rsidRPr="00C66915" w14:paraId="75CF8092"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4EAD1DF6" w14:textId="77777777" w:rsidR="005E4276" w:rsidRPr="00C66915" w:rsidRDefault="006D388F">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Inflation</w:t>
            </w:r>
          </w:p>
        </w:tc>
        <w:tc>
          <w:tcPr>
            <w:tcW w:w="3117" w:type="dxa"/>
            <w:shd w:val="clear" w:color="auto" w:fill="auto"/>
          </w:tcPr>
          <w:p w14:paraId="62634167" w14:textId="4377F88F"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0,0</w:t>
            </w:r>
            <w:r w:rsidR="00EA0887" w:rsidRPr="00C66915">
              <w:rPr>
                <w:rFonts w:ascii="Times New Roman" w:eastAsia="Times New Roman" w:hAnsi="Times New Roman" w:cs="Times New Roman"/>
                <w:sz w:val="20"/>
                <w:szCs w:val="20"/>
              </w:rPr>
              <w:t>18113</w:t>
            </w:r>
            <w:r w:rsidR="00EA0887" w:rsidRPr="00C66915">
              <w:rPr>
                <w:rFonts w:ascii="Times New Roman" w:eastAsia="Times New Roman" w:hAnsi="Times New Roman" w:cs="Times New Roman"/>
                <w:sz w:val="20"/>
                <w:szCs w:val="20"/>
                <w:vertAlign w:val="superscript"/>
              </w:rPr>
              <w:t>**</w:t>
            </w:r>
          </w:p>
          <w:p w14:paraId="14D100DC" w14:textId="0C28452B"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(0,00</w:t>
            </w:r>
            <w:r w:rsidR="00EA0887" w:rsidRPr="00C66915">
              <w:rPr>
                <w:rFonts w:ascii="Times New Roman" w:eastAsia="Times New Roman" w:hAnsi="Times New Roman" w:cs="Times New Roman"/>
                <w:sz w:val="20"/>
                <w:szCs w:val="20"/>
              </w:rPr>
              <w:t>5475</w:t>
            </w:r>
            <w:r w:rsidRPr="00C66915">
              <w:rPr>
                <w:rFonts w:ascii="Times New Roman" w:eastAsia="Times New Roman" w:hAnsi="Times New Roman" w:cs="Times New Roman"/>
                <w:sz w:val="20"/>
                <w:szCs w:val="20"/>
              </w:rPr>
              <w:t>)</w:t>
            </w:r>
          </w:p>
        </w:tc>
        <w:tc>
          <w:tcPr>
            <w:tcW w:w="2693" w:type="dxa"/>
            <w:shd w:val="clear" w:color="auto" w:fill="auto"/>
          </w:tcPr>
          <w:p w14:paraId="311AB5BD" w14:textId="73AB340B" w:rsidR="005E4276" w:rsidRPr="00C66915" w:rsidRDefault="007A1AA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-0,011716</w:t>
            </w:r>
          </w:p>
          <w:p w14:paraId="68BAE7E1" w14:textId="11A773F9" w:rsidR="005E4276" w:rsidRPr="00C66915" w:rsidRDefault="006D38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(0,00</w:t>
            </w:r>
            <w:r w:rsidR="007A1AA5" w:rsidRPr="00C66915">
              <w:rPr>
                <w:rFonts w:ascii="Times New Roman" w:eastAsia="Times New Roman" w:hAnsi="Times New Roman" w:cs="Times New Roman"/>
                <w:sz w:val="20"/>
                <w:szCs w:val="20"/>
              </w:rPr>
              <w:t>8016</w:t>
            </w:r>
            <w:r w:rsidRPr="00C66915">
              <w:rPr>
                <w:rFonts w:ascii="Times New Roman" w:eastAsia="Times New Roman" w:hAnsi="Times New Roman" w:cs="Times New Roman"/>
                <w:sz w:val="20"/>
                <w:szCs w:val="20"/>
              </w:rPr>
              <w:t>)</w:t>
            </w:r>
          </w:p>
          <w:p w14:paraId="655E82DF" w14:textId="77777777"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Arial" w:eastAsia="Arial" w:hAnsi="Arial" w:cs="Arial"/>
                <w:sz w:val="20"/>
                <w:szCs w:val="20"/>
              </w:rPr>
              <w:br/>
            </w:r>
          </w:p>
        </w:tc>
      </w:tr>
      <w:tr w:rsidR="005E4276" w:rsidRPr="00C66915" w14:paraId="78E7A674" w14:textId="77777777" w:rsidTr="005E427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34845FE5" w14:textId="77777777" w:rsidR="005E4276" w:rsidRPr="00C66915" w:rsidRDefault="006D388F">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Taux d’intérêt</w:t>
            </w:r>
          </w:p>
        </w:tc>
        <w:tc>
          <w:tcPr>
            <w:tcW w:w="3117" w:type="dxa"/>
            <w:shd w:val="clear" w:color="auto" w:fill="auto"/>
          </w:tcPr>
          <w:p w14:paraId="555F9B99" w14:textId="323A55C0"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w:t>
            </w:r>
            <w:r w:rsidR="00EA0887" w:rsidRPr="00C66915">
              <w:rPr>
                <w:rFonts w:ascii="Times New Roman" w:eastAsia="Times New Roman" w:hAnsi="Times New Roman" w:cs="Times New Roman"/>
                <w:sz w:val="20"/>
                <w:szCs w:val="20"/>
              </w:rPr>
              <w:t>000683</w:t>
            </w:r>
          </w:p>
          <w:p w14:paraId="4FE11A64" w14:textId="0D3451C8"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(0,00</w:t>
            </w:r>
            <w:r w:rsidR="00EA0887" w:rsidRPr="00C66915">
              <w:rPr>
                <w:rFonts w:ascii="Times New Roman" w:eastAsia="Times New Roman" w:hAnsi="Times New Roman" w:cs="Times New Roman"/>
                <w:sz w:val="20"/>
                <w:szCs w:val="20"/>
              </w:rPr>
              <w:t>2186</w:t>
            </w:r>
            <w:r w:rsidRPr="00C66915">
              <w:rPr>
                <w:rFonts w:ascii="Times New Roman" w:eastAsia="Times New Roman" w:hAnsi="Times New Roman" w:cs="Times New Roman"/>
                <w:sz w:val="20"/>
                <w:szCs w:val="20"/>
              </w:rPr>
              <w:t>)</w:t>
            </w:r>
          </w:p>
        </w:tc>
        <w:tc>
          <w:tcPr>
            <w:tcW w:w="2693" w:type="dxa"/>
            <w:shd w:val="clear" w:color="auto" w:fill="auto"/>
          </w:tcPr>
          <w:p w14:paraId="09BE580E" w14:textId="53BEE755"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w:t>
            </w:r>
            <w:r w:rsidR="007A1AA5" w:rsidRPr="00C66915">
              <w:rPr>
                <w:rFonts w:ascii="Times New Roman" w:eastAsia="Times New Roman" w:hAnsi="Times New Roman" w:cs="Times New Roman"/>
                <w:sz w:val="20"/>
                <w:szCs w:val="20"/>
              </w:rPr>
              <w:t>30230</w:t>
            </w:r>
          </w:p>
          <w:p w14:paraId="6644CFE0" w14:textId="7799977A"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w:t>
            </w:r>
            <w:r w:rsidR="007A1AA5" w:rsidRPr="00C66915">
              <w:rPr>
                <w:rFonts w:ascii="Times New Roman" w:eastAsia="Times New Roman" w:hAnsi="Times New Roman" w:cs="Times New Roman"/>
                <w:sz w:val="20"/>
                <w:szCs w:val="20"/>
              </w:rPr>
              <w:t>18484</w:t>
            </w:r>
            <w:r w:rsidRPr="00C66915">
              <w:rPr>
                <w:rFonts w:ascii="Times New Roman" w:eastAsia="Times New Roman" w:hAnsi="Times New Roman" w:cs="Times New Roman"/>
                <w:sz w:val="20"/>
                <w:szCs w:val="20"/>
              </w:rPr>
              <w:t>)</w:t>
            </w:r>
          </w:p>
        </w:tc>
      </w:tr>
      <w:tr w:rsidR="005E4276" w:rsidRPr="00C66915" w14:paraId="147BBC9C"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69E9A76D" w14:textId="5259E4B3" w:rsidR="005E4276" w:rsidRPr="00C66915" w:rsidRDefault="00765FDB">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Taux de chômage</w:t>
            </w:r>
          </w:p>
        </w:tc>
        <w:tc>
          <w:tcPr>
            <w:tcW w:w="3117" w:type="dxa"/>
            <w:shd w:val="clear" w:color="auto" w:fill="auto"/>
          </w:tcPr>
          <w:p w14:paraId="43C8E108" w14:textId="7B6215B3" w:rsidR="005E4276" w:rsidRPr="00C66915" w:rsidRDefault="00EA08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w:t>
            </w:r>
            <w:r w:rsidR="006D388F" w:rsidRPr="00C66915">
              <w:rPr>
                <w:rFonts w:ascii="Times New Roman" w:eastAsia="Times New Roman" w:hAnsi="Times New Roman" w:cs="Times New Roman"/>
                <w:sz w:val="20"/>
                <w:szCs w:val="20"/>
              </w:rPr>
              <w:t>0,0</w:t>
            </w:r>
            <w:r w:rsidRPr="00C66915">
              <w:rPr>
                <w:rFonts w:ascii="Times New Roman" w:eastAsia="Times New Roman" w:hAnsi="Times New Roman" w:cs="Times New Roman"/>
                <w:sz w:val="20"/>
                <w:szCs w:val="20"/>
              </w:rPr>
              <w:t>09826</w:t>
            </w:r>
          </w:p>
          <w:p w14:paraId="0C6DC0FB" w14:textId="71F89EEC"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(0,0</w:t>
            </w:r>
            <w:r w:rsidR="00EA0887" w:rsidRPr="00C66915">
              <w:rPr>
                <w:rFonts w:ascii="Times New Roman" w:eastAsia="Times New Roman" w:hAnsi="Times New Roman" w:cs="Times New Roman"/>
                <w:sz w:val="20"/>
                <w:szCs w:val="20"/>
              </w:rPr>
              <w:t>36279</w:t>
            </w:r>
            <w:r w:rsidRPr="00C66915">
              <w:rPr>
                <w:rFonts w:ascii="Times New Roman" w:eastAsia="Times New Roman" w:hAnsi="Times New Roman" w:cs="Times New Roman"/>
                <w:sz w:val="20"/>
                <w:szCs w:val="20"/>
              </w:rPr>
              <w:t>)</w:t>
            </w:r>
          </w:p>
        </w:tc>
        <w:tc>
          <w:tcPr>
            <w:tcW w:w="2693" w:type="dxa"/>
            <w:shd w:val="clear" w:color="auto" w:fill="auto"/>
          </w:tcPr>
          <w:p w14:paraId="69912530" w14:textId="5DCC80D6"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w:t>
            </w:r>
            <w:r w:rsidR="007A1AA5" w:rsidRPr="00C66915">
              <w:rPr>
                <w:rFonts w:ascii="Times New Roman" w:eastAsia="Times New Roman" w:hAnsi="Times New Roman" w:cs="Times New Roman"/>
                <w:sz w:val="20"/>
                <w:szCs w:val="20"/>
              </w:rPr>
              <w:t>221965</w:t>
            </w:r>
            <w:r w:rsidR="006E1498" w:rsidRPr="00C66915">
              <w:rPr>
                <w:rFonts w:ascii="Times New Roman" w:eastAsia="Times New Roman" w:hAnsi="Times New Roman" w:cs="Times New Roman"/>
                <w:sz w:val="20"/>
                <w:szCs w:val="20"/>
                <w:vertAlign w:val="superscript"/>
              </w:rPr>
              <w:t>*</w:t>
            </w:r>
          </w:p>
          <w:p w14:paraId="004C91A3" w14:textId="0B0BC68B" w:rsidR="005E4276" w:rsidRPr="00C66915"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w:t>
            </w:r>
            <w:r w:rsidR="006E1498" w:rsidRPr="00C66915">
              <w:rPr>
                <w:rFonts w:ascii="Times New Roman" w:eastAsia="Times New Roman" w:hAnsi="Times New Roman" w:cs="Times New Roman"/>
                <w:sz w:val="20"/>
                <w:szCs w:val="20"/>
              </w:rPr>
              <w:t>117630)</w:t>
            </w:r>
            <w:r w:rsidR="006E1498" w:rsidRPr="00C66915">
              <w:rPr>
                <w:rFonts w:ascii="Times New Roman" w:eastAsia="Times New Roman" w:hAnsi="Times New Roman" w:cs="Times New Roman"/>
                <w:sz w:val="20"/>
                <w:szCs w:val="20"/>
                <w:vertAlign w:val="superscript"/>
              </w:rPr>
              <w:t xml:space="preserve"> </w:t>
            </w:r>
          </w:p>
        </w:tc>
      </w:tr>
      <w:tr w:rsidR="005E4276" w:rsidRPr="00C66915" w14:paraId="6550305F" w14:textId="77777777" w:rsidTr="005E427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69FF6E75" w14:textId="77777777" w:rsidR="005E4276" w:rsidRPr="00C66915" w:rsidRDefault="006D388F">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Log (revenu par tête)</w:t>
            </w:r>
          </w:p>
        </w:tc>
        <w:tc>
          <w:tcPr>
            <w:tcW w:w="3117" w:type="dxa"/>
            <w:shd w:val="clear" w:color="auto" w:fill="auto"/>
          </w:tcPr>
          <w:p w14:paraId="073D7926" w14:textId="5E9720A6"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w:t>
            </w:r>
            <w:r w:rsidR="00EA0887" w:rsidRPr="00C66915">
              <w:rPr>
                <w:rFonts w:ascii="Times New Roman" w:eastAsia="Times New Roman" w:hAnsi="Times New Roman" w:cs="Times New Roman"/>
                <w:sz w:val="20"/>
                <w:szCs w:val="20"/>
              </w:rPr>
              <w:t>114903</w:t>
            </w:r>
            <w:r w:rsidRPr="00C66915">
              <w:rPr>
                <w:rFonts w:ascii="Times New Roman" w:eastAsia="Times New Roman" w:hAnsi="Times New Roman" w:cs="Times New Roman"/>
                <w:sz w:val="20"/>
                <w:szCs w:val="20"/>
                <w:vertAlign w:val="superscript"/>
              </w:rPr>
              <w:t>**</w:t>
            </w:r>
          </w:p>
          <w:p w14:paraId="5C5D490C" w14:textId="52291AE6"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w:t>
            </w:r>
            <w:r w:rsidR="00EA0887" w:rsidRPr="00C66915">
              <w:rPr>
                <w:rFonts w:ascii="Times New Roman" w:eastAsia="Times New Roman" w:hAnsi="Times New Roman" w:cs="Times New Roman"/>
                <w:sz w:val="20"/>
                <w:szCs w:val="20"/>
              </w:rPr>
              <w:t>027860</w:t>
            </w:r>
            <w:r w:rsidRPr="00C66915">
              <w:rPr>
                <w:rFonts w:ascii="Times New Roman" w:eastAsia="Times New Roman" w:hAnsi="Times New Roman" w:cs="Times New Roman"/>
                <w:sz w:val="20"/>
                <w:szCs w:val="20"/>
              </w:rPr>
              <w:t>)</w:t>
            </w:r>
          </w:p>
        </w:tc>
        <w:tc>
          <w:tcPr>
            <w:tcW w:w="2693" w:type="dxa"/>
            <w:shd w:val="clear" w:color="auto" w:fill="auto"/>
          </w:tcPr>
          <w:p w14:paraId="01C82B94" w14:textId="250D3FF8"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w:t>
            </w:r>
            <w:r w:rsidR="007A1AA5" w:rsidRPr="00C66915">
              <w:rPr>
                <w:rFonts w:ascii="Times New Roman" w:eastAsia="Times New Roman" w:hAnsi="Times New Roman" w:cs="Times New Roman"/>
                <w:sz w:val="20"/>
                <w:szCs w:val="20"/>
              </w:rPr>
              <w:t>614533</w:t>
            </w:r>
            <w:r w:rsidRPr="00C66915">
              <w:rPr>
                <w:rFonts w:ascii="Times New Roman" w:eastAsia="Times New Roman" w:hAnsi="Times New Roman" w:cs="Times New Roman"/>
                <w:sz w:val="20"/>
                <w:szCs w:val="20"/>
                <w:vertAlign w:val="superscript"/>
              </w:rPr>
              <w:t>**</w:t>
            </w:r>
          </w:p>
          <w:p w14:paraId="773C748D" w14:textId="287C0CFA"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w:t>
            </w:r>
            <w:r w:rsidR="007A1AA5" w:rsidRPr="00C66915">
              <w:rPr>
                <w:rFonts w:ascii="Times New Roman" w:eastAsia="Times New Roman" w:hAnsi="Times New Roman" w:cs="Times New Roman"/>
                <w:sz w:val="20"/>
                <w:szCs w:val="20"/>
              </w:rPr>
              <w:t>269840</w:t>
            </w:r>
            <w:r w:rsidRPr="00C66915">
              <w:rPr>
                <w:rFonts w:ascii="Times New Roman" w:eastAsia="Times New Roman" w:hAnsi="Times New Roman" w:cs="Times New Roman"/>
                <w:sz w:val="20"/>
                <w:szCs w:val="20"/>
              </w:rPr>
              <w:t>)</w:t>
            </w:r>
            <w:r w:rsidRPr="00C66915">
              <w:rPr>
                <w:rFonts w:ascii="Arial" w:eastAsia="Arial" w:hAnsi="Arial" w:cs="Arial"/>
                <w:sz w:val="20"/>
                <w:szCs w:val="20"/>
              </w:rPr>
              <w:br/>
            </w:r>
          </w:p>
        </w:tc>
      </w:tr>
      <w:tr w:rsidR="00765FDB" w:rsidRPr="00C66915" w14:paraId="2629652B"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293B477B" w14:textId="22DE8668" w:rsidR="00765FDB" w:rsidRPr="00C66915" w:rsidRDefault="00EA0887">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LogPopulation, Totale</w:t>
            </w:r>
          </w:p>
        </w:tc>
        <w:tc>
          <w:tcPr>
            <w:tcW w:w="3117" w:type="dxa"/>
            <w:shd w:val="clear" w:color="auto" w:fill="auto"/>
          </w:tcPr>
          <w:p w14:paraId="11DB916F" w14:textId="57B4FD54" w:rsidR="00765FDB" w:rsidRPr="00C66915" w:rsidRDefault="00EA08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0,566301</w:t>
            </w:r>
            <w:r w:rsidRPr="00C66915">
              <w:rPr>
                <w:rFonts w:ascii="Times New Roman" w:eastAsia="Times New Roman" w:hAnsi="Times New Roman" w:cs="Times New Roman"/>
                <w:sz w:val="20"/>
                <w:szCs w:val="20"/>
                <w:vertAlign w:val="superscript"/>
              </w:rPr>
              <w:t>**</w:t>
            </w:r>
          </w:p>
          <w:p w14:paraId="6231F144" w14:textId="249DBEA4" w:rsidR="00EA0887" w:rsidRPr="00C66915" w:rsidRDefault="00EA08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(0,191635)</w:t>
            </w:r>
          </w:p>
        </w:tc>
        <w:tc>
          <w:tcPr>
            <w:tcW w:w="2693" w:type="dxa"/>
            <w:shd w:val="clear" w:color="auto" w:fill="auto"/>
          </w:tcPr>
          <w:p w14:paraId="5E99F36C" w14:textId="3C548859" w:rsidR="00765FDB" w:rsidRPr="00C66915" w:rsidRDefault="007A1A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1,179902</w:t>
            </w:r>
            <w:r w:rsidRPr="00C66915">
              <w:rPr>
                <w:rFonts w:ascii="Times New Roman" w:eastAsia="Times New Roman" w:hAnsi="Times New Roman" w:cs="Times New Roman"/>
                <w:sz w:val="20"/>
                <w:szCs w:val="20"/>
                <w:vertAlign w:val="superscript"/>
              </w:rPr>
              <w:t>**</w:t>
            </w:r>
          </w:p>
          <w:p w14:paraId="31019E79" w14:textId="682CA1B7" w:rsidR="007A1AA5" w:rsidRPr="00C66915" w:rsidRDefault="007A1A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(0,500520)</w:t>
            </w:r>
          </w:p>
        </w:tc>
      </w:tr>
      <w:tr w:rsidR="005E4276" w:rsidRPr="00C66915" w14:paraId="37F4F3BF" w14:textId="77777777" w:rsidTr="005E427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505C93B0" w14:textId="4F944795" w:rsidR="005E4276" w:rsidRPr="00C66915" w:rsidRDefault="00765FDB">
            <w:pPr>
              <w:spacing w:line="360" w:lineRule="auto"/>
              <w:jc w:val="both"/>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C</w:t>
            </w:r>
          </w:p>
        </w:tc>
        <w:tc>
          <w:tcPr>
            <w:tcW w:w="3117" w:type="dxa"/>
            <w:shd w:val="clear" w:color="auto" w:fill="auto"/>
          </w:tcPr>
          <w:p w14:paraId="0A9AA55A" w14:textId="56827554" w:rsidR="005E4276" w:rsidRPr="00C66915" w:rsidRDefault="00EA08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4,771620</w:t>
            </w:r>
          </w:p>
          <w:p w14:paraId="69C61C13" w14:textId="29D540BD"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w:t>
            </w:r>
            <w:r w:rsidR="00EA0887" w:rsidRPr="00C66915">
              <w:rPr>
                <w:rFonts w:ascii="Times New Roman" w:eastAsia="Times New Roman" w:hAnsi="Times New Roman" w:cs="Times New Roman"/>
                <w:sz w:val="20"/>
                <w:szCs w:val="20"/>
              </w:rPr>
              <w:t>3,107114</w:t>
            </w:r>
            <w:r w:rsidRPr="00C66915">
              <w:rPr>
                <w:rFonts w:ascii="Times New Roman" w:eastAsia="Times New Roman" w:hAnsi="Times New Roman" w:cs="Times New Roman"/>
                <w:sz w:val="20"/>
                <w:szCs w:val="20"/>
              </w:rPr>
              <w:t>)</w:t>
            </w:r>
          </w:p>
        </w:tc>
        <w:tc>
          <w:tcPr>
            <w:tcW w:w="2693" w:type="dxa"/>
            <w:shd w:val="clear" w:color="auto" w:fill="auto"/>
          </w:tcPr>
          <w:p w14:paraId="702FEF73" w14:textId="7833AD30" w:rsidR="005E4276" w:rsidRPr="00C66915" w:rsidRDefault="006E149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C66915">
              <w:rPr>
                <w:rFonts w:ascii="Times New Roman" w:eastAsia="Times New Roman" w:hAnsi="Times New Roman" w:cs="Times New Roman"/>
                <w:sz w:val="20"/>
                <w:szCs w:val="20"/>
              </w:rPr>
              <w:t>-19,80909</w:t>
            </w:r>
            <w:r w:rsidRPr="00C66915">
              <w:rPr>
                <w:rFonts w:ascii="Times New Roman" w:eastAsia="Times New Roman" w:hAnsi="Times New Roman" w:cs="Times New Roman"/>
                <w:sz w:val="20"/>
                <w:szCs w:val="20"/>
                <w:vertAlign w:val="superscript"/>
              </w:rPr>
              <w:t>*</w:t>
            </w:r>
          </w:p>
          <w:p w14:paraId="7A01F3DA" w14:textId="4945073E" w:rsidR="005E4276" w:rsidRPr="00C66915"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6915">
              <w:rPr>
                <w:rFonts w:ascii="Times New Roman" w:eastAsia="Times New Roman" w:hAnsi="Times New Roman" w:cs="Times New Roman"/>
                <w:sz w:val="20"/>
                <w:szCs w:val="20"/>
              </w:rPr>
              <w:t>(</w:t>
            </w:r>
            <w:r w:rsidR="006E1498" w:rsidRPr="00C66915">
              <w:rPr>
                <w:rFonts w:ascii="Times New Roman" w:eastAsia="Times New Roman" w:hAnsi="Times New Roman" w:cs="Times New Roman"/>
                <w:sz w:val="20"/>
                <w:szCs w:val="20"/>
              </w:rPr>
              <w:t>10,60571</w:t>
            </w:r>
            <w:r w:rsidRPr="00C66915">
              <w:rPr>
                <w:rFonts w:ascii="Times New Roman" w:eastAsia="Times New Roman" w:hAnsi="Times New Roman" w:cs="Times New Roman"/>
                <w:sz w:val="20"/>
                <w:szCs w:val="20"/>
              </w:rPr>
              <w:t>)</w:t>
            </w:r>
          </w:p>
        </w:tc>
      </w:tr>
      <w:tr w:rsidR="005E4276" w:rsidRPr="00C66915" w14:paraId="6730B2D0"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4B37C279" w14:textId="77777777" w:rsidR="005E4276" w:rsidRPr="00C66915" w:rsidRDefault="005E4276">
            <w:pPr>
              <w:spacing w:line="360" w:lineRule="auto"/>
              <w:jc w:val="both"/>
              <w:rPr>
                <w:rFonts w:ascii="Times New Roman" w:eastAsia="Times New Roman" w:hAnsi="Times New Roman" w:cs="Times New Roman"/>
                <w:sz w:val="20"/>
                <w:szCs w:val="20"/>
              </w:rPr>
            </w:pPr>
          </w:p>
        </w:tc>
        <w:tc>
          <w:tcPr>
            <w:tcW w:w="3117" w:type="dxa"/>
            <w:shd w:val="clear" w:color="auto" w:fill="auto"/>
          </w:tcPr>
          <w:p w14:paraId="352C7EDD" w14:textId="77777777" w:rsidR="005E4276" w:rsidRPr="00C66915"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693" w:type="dxa"/>
            <w:shd w:val="clear" w:color="auto" w:fill="auto"/>
          </w:tcPr>
          <w:p w14:paraId="070BB523" w14:textId="77777777" w:rsidR="005E4276" w:rsidRPr="00C66915"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E4276" w:rsidRPr="00C66915" w14:paraId="0E399756" w14:textId="77777777" w:rsidTr="005E4276">
        <w:tc>
          <w:tcPr>
            <w:cnfStyle w:val="001000000000" w:firstRow="0" w:lastRow="0" w:firstColumn="1" w:lastColumn="0" w:oddVBand="0" w:evenVBand="0" w:oddHBand="0" w:evenHBand="0" w:firstRowFirstColumn="0" w:firstRowLastColumn="0" w:lastRowFirstColumn="0" w:lastRowLastColumn="0"/>
            <w:tcW w:w="8926" w:type="dxa"/>
            <w:gridSpan w:val="3"/>
            <w:tcBorders>
              <w:bottom w:val="single" w:sz="12" w:space="0" w:color="000000"/>
            </w:tcBorders>
            <w:shd w:val="clear" w:color="auto" w:fill="auto"/>
          </w:tcPr>
          <w:p w14:paraId="7B5886D5" w14:textId="012A7BAF" w:rsidR="005E4276" w:rsidRPr="00C66915" w:rsidRDefault="005E4276" w:rsidP="00CC13D8">
            <w:pPr>
              <w:tabs>
                <w:tab w:val="left" w:pos="511"/>
              </w:tabs>
              <w:rPr>
                <w:rFonts w:ascii="Cambria Math" w:eastAsia="Cambria Math" w:hAnsi="Cambria Math" w:cs="Cambria Math"/>
                <w:sz w:val="20"/>
                <w:szCs w:val="20"/>
              </w:rPr>
            </w:pPr>
          </w:p>
        </w:tc>
      </w:tr>
    </w:tbl>
    <w:p w14:paraId="526F7EC1" w14:textId="77777777" w:rsidR="005E4276" w:rsidRDefault="005E4276">
      <w:pPr>
        <w:spacing w:after="0" w:line="240" w:lineRule="auto"/>
        <w:rPr>
          <w:rFonts w:ascii="Arial" w:eastAsia="Arial" w:hAnsi="Arial" w:cs="Arial"/>
          <w:sz w:val="18"/>
          <w:szCs w:val="18"/>
        </w:rPr>
      </w:pPr>
    </w:p>
    <w:p w14:paraId="1A5E9B04" w14:textId="31D7C431" w:rsidR="005E4276" w:rsidRPr="00256989" w:rsidRDefault="00562615">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NB :</w:t>
      </w:r>
      <w:r w:rsidR="006D388F" w:rsidRPr="00256989">
        <w:rPr>
          <w:rFonts w:ascii="Times New Roman" w:eastAsia="Times New Roman" w:hAnsi="Times New Roman" w:cs="Times New Roman"/>
          <w:sz w:val="20"/>
          <w:szCs w:val="20"/>
          <w:lang w:val="fr-FR"/>
        </w:rPr>
        <w:t xml:space="preserve"> Les erreurs standards sont entre parenthèses, *** significatif à 1%, ** significatif à 5%, * significatif à 10%</w:t>
      </w:r>
    </w:p>
    <w:p w14:paraId="3A6DA752" w14:textId="7950FFED" w:rsidR="005E4276" w:rsidRPr="00256989" w:rsidRDefault="00562615">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Source :</w:t>
      </w:r>
      <w:r w:rsidR="006D388F" w:rsidRPr="00256989">
        <w:rPr>
          <w:rFonts w:ascii="Times New Roman" w:eastAsia="Times New Roman" w:hAnsi="Times New Roman" w:cs="Times New Roman"/>
          <w:sz w:val="20"/>
          <w:szCs w:val="20"/>
          <w:lang w:val="fr-FR"/>
        </w:rPr>
        <w:t xml:space="preserve"> Auteur, à partir des estimations du logiciel Eviews12.</w:t>
      </w:r>
    </w:p>
    <w:p w14:paraId="1BB8B77A" w14:textId="77777777" w:rsidR="005E4276" w:rsidRPr="00256989" w:rsidRDefault="006D388F">
      <w:pPr>
        <w:spacing w:after="0" w:line="240" w:lineRule="auto"/>
        <w:rPr>
          <w:rFonts w:ascii="Arial" w:eastAsia="Arial" w:hAnsi="Arial" w:cs="Arial"/>
          <w:sz w:val="18"/>
          <w:szCs w:val="18"/>
          <w:lang w:val="fr-FR"/>
        </w:rPr>
      </w:pPr>
      <w:r w:rsidRPr="00256989">
        <w:rPr>
          <w:rFonts w:ascii="Arial" w:eastAsia="Arial" w:hAnsi="Arial" w:cs="Arial"/>
          <w:sz w:val="18"/>
          <w:szCs w:val="18"/>
          <w:lang w:val="fr-FR"/>
        </w:rPr>
        <w:br/>
      </w:r>
    </w:p>
    <w:p w14:paraId="18639020" w14:textId="54A46AAB" w:rsidR="005E4276" w:rsidRPr="002D692F" w:rsidRDefault="006D388F">
      <w:pPr>
        <w:spacing w:after="0" w:line="360" w:lineRule="auto"/>
        <w:jc w:val="both"/>
        <w:rPr>
          <w:rFonts w:ascii="Times New Roman" w:eastAsia="Times New Roman" w:hAnsi="Times New Roman" w:cs="Times New Roman"/>
          <w:color w:val="000000"/>
          <w:sz w:val="24"/>
          <w:szCs w:val="24"/>
          <w:lang w:val="fr-FR"/>
        </w:rPr>
      </w:pPr>
      <w:r w:rsidRPr="002D692F">
        <w:rPr>
          <w:rFonts w:ascii="Times New Roman" w:eastAsia="Times New Roman" w:hAnsi="Times New Roman" w:cs="Times New Roman"/>
          <w:sz w:val="24"/>
          <w:szCs w:val="24"/>
          <w:lang w:val="fr-FR"/>
        </w:rPr>
        <w:t xml:space="preserve">Les tests suivants illustrent les effets de la structure fiscale sur les diverses composantes des dépenses de consommation finale des ménages structurées. La première colonne concerne les dépenses relatives </w:t>
      </w:r>
      <w:r w:rsidRPr="002D692F">
        <w:rPr>
          <w:rFonts w:ascii="Times New Roman" w:eastAsia="Times New Roman" w:hAnsi="Times New Roman" w:cs="Times New Roman"/>
          <w:color w:val="000000"/>
          <w:sz w:val="24"/>
          <w:szCs w:val="24"/>
          <w:lang w:val="fr-FR"/>
        </w:rPr>
        <w:t xml:space="preserve">aux produits alimentaires et aux boissons non alcoolisées. La deuxième colonne porte sur les dépenses liées aux boissons alcoolisées, aux tabacs et aux stupéfiants. Les dépenses engagées pour le logement, l’eau, l’électricité, le gaz et autres combustibles sont enregistrées dans la troisième colonne. Les services </w:t>
      </w:r>
      <w:r w:rsidRPr="002D692F">
        <w:rPr>
          <w:rFonts w:ascii="Times New Roman" w:eastAsia="Times New Roman" w:hAnsi="Times New Roman" w:cs="Times New Roman"/>
          <w:sz w:val="24"/>
          <w:szCs w:val="24"/>
          <w:lang w:val="fr-FR"/>
        </w:rPr>
        <w:t>d'éducation</w:t>
      </w:r>
      <w:r w:rsidRPr="002D692F">
        <w:rPr>
          <w:rFonts w:ascii="Times New Roman" w:eastAsia="Times New Roman" w:hAnsi="Times New Roman" w:cs="Times New Roman"/>
          <w:color w:val="000000"/>
          <w:sz w:val="24"/>
          <w:szCs w:val="24"/>
          <w:lang w:val="fr-FR"/>
        </w:rPr>
        <w:t xml:space="preserve"> </w:t>
      </w:r>
      <w:r w:rsidRPr="002D692F">
        <w:rPr>
          <w:rFonts w:ascii="Times New Roman" w:eastAsia="Times New Roman" w:hAnsi="Times New Roman" w:cs="Times New Roman"/>
          <w:sz w:val="24"/>
          <w:szCs w:val="24"/>
          <w:lang w:val="fr-FR"/>
        </w:rPr>
        <w:t>et de santé</w:t>
      </w:r>
      <w:r w:rsidRPr="002D692F">
        <w:rPr>
          <w:rFonts w:ascii="Times New Roman" w:eastAsia="Times New Roman" w:hAnsi="Times New Roman" w:cs="Times New Roman"/>
          <w:color w:val="000000"/>
          <w:sz w:val="24"/>
          <w:szCs w:val="24"/>
          <w:lang w:val="fr-FR"/>
        </w:rPr>
        <w:t xml:space="preserve"> sont consignés dans la quatrième colonne tandis que les dépenses relatives au transport, à l’information et à la communication sont répertoriées dans la cinquième colonne.</w:t>
      </w:r>
      <w:r w:rsidR="00685C3E" w:rsidRPr="00685C3E">
        <w:rPr>
          <w:rFonts w:ascii="Times New Roman" w:eastAsia="Times New Roman" w:hAnsi="Times New Roman" w:cs="Times New Roman"/>
          <w:color w:val="000000"/>
          <w:sz w:val="24"/>
          <w:szCs w:val="24"/>
          <w:lang w:val="fr-FR"/>
        </w:rPr>
        <w:t xml:space="preserve"> </w:t>
      </w:r>
      <w:r w:rsidR="00685C3E" w:rsidRPr="00256989">
        <w:rPr>
          <w:rFonts w:ascii="Times New Roman" w:eastAsia="Times New Roman" w:hAnsi="Times New Roman" w:cs="Times New Roman"/>
          <w:color w:val="000000"/>
          <w:sz w:val="24"/>
          <w:szCs w:val="24"/>
          <w:lang w:val="fr-FR"/>
        </w:rPr>
        <w:t>Les résultats consignés dans le tableau 7</w:t>
      </w:r>
      <w:r w:rsidR="00685C3E">
        <w:rPr>
          <w:rFonts w:ascii="Times New Roman" w:eastAsia="Times New Roman" w:hAnsi="Times New Roman" w:cs="Times New Roman"/>
          <w:color w:val="000000"/>
          <w:sz w:val="24"/>
          <w:szCs w:val="24"/>
          <w:lang w:val="fr-FR"/>
        </w:rPr>
        <w:t xml:space="preserve"> </w:t>
      </w:r>
      <w:r w:rsidR="00685C3E" w:rsidRPr="00256989">
        <w:rPr>
          <w:rFonts w:ascii="Times New Roman" w:eastAsia="Times New Roman" w:hAnsi="Times New Roman" w:cs="Times New Roman"/>
          <w:color w:val="000000"/>
          <w:sz w:val="24"/>
          <w:szCs w:val="24"/>
          <w:lang w:val="fr-FR"/>
        </w:rPr>
        <w:t xml:space="preserve">sont les résultats </w:t>
      </w:r>
      <w:r w:rsidR="00685C3E" w:rsidRPr="00256989">
        <w:rPr>
          <w:rFonts w:ascii="Times New Roman" w:eastAsia="Times New Roman" w:hAnsi="Times New Roman" w:cs="Times New Roman"/>
          <w:color w:val="000000"/>
          <w:sz w:val="24"/>
          <w:szCs w:val="24"/>
          <w:lang w:val="fr-FR"/>
        </w:rPr>
        <w:lastRenderedPageBreak/>
        <w:t xml:space="preserve">de l’effet de la TVA et sur les composantes des dépenses de la consommation finale des ménages respectivement à </w:t>
      </w:r>
      <w:r w:rsidR="00685C3E" w:rsidRPr="00256989">
        <w:rPr>
          <w:rFonts w:ascii="Times New Roman" w:eastAsia="Times New Roman" w:hAnsi="Times New Roman" w:cs="Times New Roman"/>
          <w:sz w:val="24"/>
          <w:szCs w:val="24"/>
          <w:lang w:val="fr-FR"/>
        </w:rPr>
        <w:t>court term</w:t>
      </w:r>
      <w:r w:rsidR="00685C3E">
        <w:rPr>
          <w:rFonts w:ascii="Times New Roman" w:eastAsia="Times New Roman" w:hAnsi="Times New Roman" w:cs="Times New Roman"/>
          <w:sz w:val="24"/>
          <w:szCs w:val="24"/>
          <w:lang w:val="fr-FR"/>
        </w:rPr>
        <w:t>e</w:t>
      </w:r>
      <w:r w:rsidR="00685C3E">
        <w:rPr>
          <w:rFonts w:ascii="Times New Roman" w:eastAsia="Times New Roman" w:hAnsi="Times New Roman" w:cs="Times New Roman"/>
          <w:sz w:val="24"/>
          <w:szCs w:val="24"/>
          <w:lang w:val="fr-FR"/>
        </w:rPr>
        <w:t>.</w:t>
      </w:r>
    </w:p>
    <w:p w14:paraId="21CD3E18" w14:textId="77777777" w:rsidR="005E4276" w:rsidRDefault="006D388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Tableau 7: Résultat à court terme</w:t>
      </w:r>
    </w:p>
    <w:tbl>
      <w:tblPr>
        <w:tblStyle w:val="TableauListe6Couleur"/>
        <w:tblW w:w="9776" w:type="dxa"/>
        <w:tblLayout w:type="fixed"/>
        <w:tblLook w:val="04A0" w:firstRow="1" w:lastRow="0" w:firstColumn="1" w:lastColumn="0" w:noHBand="0" w:noVBand="1"/>
      </w:tblPr>
      <w:tblGrid>
        <w:gridCol w:w="1761"/>
        <w:gridCol w:w="1560"/>
        <w:gridCol w:w="1743"/>
        <w:gridCol w:w="1613"/>
        <w:gridCol w:w="1623"/>
        <w:gridCol w:w="1476"/>
      </w:tblGrid>
      <w:tr w:rsidR="005E4276" w:rsidRPr="00685C3E" w14:paraId="1D306EFA" w14:textId="77777777" w:rsidTr="003E7277">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61" w:type="dxa"/>
            <w:tcBorders>
              <w:bottom w:val="single" w:sz="24" w:space="0" w:color="auto"/>
            </w:tcBorders>
            <w:shd w:val="clear" w:color="auto" w:fill="auto"/>
          </w:tcPr>
          <w:p w14:paraId="59D3D21E" w14:textId="78A5ADFE" w:rsidR="008A3797" w:rsidRPr="00685C3E" w:rsidRDefault="006D388F">
            <w:pPr>
              <w:spacing w:line="360" w:lineRule="auto"/>
              <w:jc w:val="both"/>
              <w:rPr>
                <w:rFonts w:ascii="Times New Roman" w:eastAsia="Times New Roman" w:hAnsi="Times New Roman" w:cs="Times New Roman"/>
                <w:b w:val="0"/>
                <w:bCs w:val="0"/>
                <w:sz w:val="20"/>
                <w:szCs w:val="20"/>
              </w:rPr>
            </w:pPr>
            <w:bookmarkStart w:id="12" w:name="_Hlk199169362"/>
            <w:r w:rsidRPr="00685C3E">
              <w:rPr>
                <w:rFonts w:ascii="Times New Roman" w:eastAsia="Times New Roman" w:hAnsi="Times New Roman" w:cs="Times New Roman"/>
                <w:b w:val="0"/>
                <w:bCs w:val="0"/>
                <w:sz w:val="20"/>
                <w:szCs w:val="20"/>
              </w:rPr>
              <w:t>Variable</w:t>
            </w:r>
          </w:p>
        </w:tc>
        <w:tc>
          <w:tcPr>
            <w:tcW w:w="1560" w:type="dxa"/>
            <w:tcBorders>
              <w:bottom w:val="single" w:sz="24" w:space="0" w:color="auto"/>
            </w:tcBorders>
            <w:shd w:val="clear" w:color="auto" w:fill="auto"/>
          </w:tcPr>
          <w:p w14:paraId="2E30B9F7"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Groupe 1</w:t>
            </w:r>
          </w:p>
        </w:tc>
        <w:tc>
          <w:tcPr>
            <w:tcW w:w="1743" w:type="dxa"/>
            <w:tcBorders>
              <w:bottom w:val="single" w:sz="24" w:space="0" w:color="auto"/>
            </w:tcBorders>
            <w:shd w:val="clear" w:color="auto" w:fill="auto"/>
          </w:tcPr>
          <w:p w14:paraId="1E5B163E"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Groupe 2</w:t>
            </w:r>
          </w:p>
        </w:tc>
        <w:tc>
          <w:tcPr>
            <w:tcW w:w="1613" w:type="dxa"/>
            <w:tcBorders>
              <w:bottom w:val="single" w:sz="24" w:space="0" w:color="auto"/>
            </w:tcBorders>
            <w:shd w:val="clear" w:color="auto" w:fill="auto"/>
          </w:tcPr>
          <w:p w14:paraId="27711660"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Groupe 3</w:t>
            </w:r>
          </w:p>
        </w:tc>
        <w:tc>
          <w:tcPr>
            <w:tcW w:w="1623" w:type="dxa"/>
            <w:tcBorders>
              <w:bottom w:val="single" w:sz="24" w:space="0" w:color="auto"/>
            </w:tcBorders>
            <w:shd w:val="clear" w:color="auto" w:fill="auto"/>
          </w:tcPr>
          <w:p w14:paraId="38743026"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Groupe 4</w:t>
            </w:r>
          </w:p>
        </w:tc>
        <w:tc>
          <w:tcPr>
            <w:tcW w:w="1476" w:type="dxa"/>
            <w:tcBorders>
              <w:bottom w:val="single" w:sz="24" w:space="0" w:color="auto"/>
            </w:tcBorders>
            <w:shd w:val="clear" w:color="auto" w:fill="auto"/>
          </w:tcPr>
          <w:p w14:paraId="5C680263"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Groupe 5</w:t>
            </w:r>
          </w:p>
        </w:tc>
      </w:tr>
      <w:tr w:rsidR="00CA15AE" w:rsidRPr="00685C3E" w14:paraId="4545E468" w14:textId="77777777" w:rsidTr="003E727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61" w:type="dxa"/>
            <w:tcBorders>
              <w:top w:val="single" w:sz="24" w:space="0" w:color="auto"/>
            </w:tcBorders>
            <w:shd w:val="clear" w:color="auto" w:fill="auto"/>
          </w:tcPr>
          <w:p w14:paraId="661E2C95" w14:textId="1FD5C3C9" w:rsidR="005F2D7C" w:rsidRPr="00685C3E" w:rsidRDefault="006D388F">
            <w:pPr>
              <w:spacing w:line="360" w:lineRule="auto"/>
              <w:jc w:val="both"/>
              <w:rPr>
                <w:rFonts w:ascii="Times New Roman" w:eastAsia="Times New Roman" w:hAnsi="Times New Roman" w:cs="Times New Roman"/>
                <w:sz w:val="20"/>
                <w:szCs w:val="20"/>
                <w:lang w:val="fr-FR"/>
              </w:rPr>
            </w:pPr>
            <w:r w:rsidRPr="00685C3E">
              <w:rPr>
                <w:rFonts w:ascii="Times New Roman" w:eastAsia="Times New Roman" w:hAnsi="Times New Roman" w:cs="Times New Roman"/>
                <w:b w:val="0"/>
                <w:bCs w:val="0"/>
                <w:sz w:val="20"/>
                <w:szCs w:val="20"/>
                <w:lang w:val="fr-FR"/>
              </w:rPr>
              <w:t>D(taux effectif de la TVA)</w:t>
            </w:r>
          </w:p>
        </w:tc>
        <w:tc>
          <w:tcPr>
            <w:tcW w:w="1560" w:type="dxa"/>
            <w:tcBorders>
              <w:top w:val="single" w:sz="24" w:space="0" w:color="auto"/>
            </w:tcBorders>
            <w:shd w:val="clear" w:color="auto" w:fill="auto"/>
          </w:tcPr>
          <w:p w14:paraId="57B81E4F" w14:textId="269CCB43" w:rsidR="005E4276" w:rsidRPr="00685C3E" w:rsidRDefault="006941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w:t>
            </w:r>
            <w:r w:rsidR="00CA15AE" w:rsidRPr="00685C3E">
              <w:rPr>
                <w:rFonts w:ascii="Times New Roman" w:eastAsia="Times New Roman" w:hAnsi="Times New Roman" w:cs="Times New Roman"/>
                <w:sz w:val="20"/>
                <w:szCs w:val="20"/>
              </w:rPr>
              <w:t>01599</w:t>
            </w:r>
            <w:r w:rsidR="003960E8" w:rsidRPr="00685C3E">
              <w:rPr>
                <w:rFonts w:ascii="Times New Roman" w:eastAsia="Times New Roman" w:hAnsi="Times New Roman" w:cs="Times New Roman"/>
                <w:sz w:val="20"/>
                <w:szCs w:val="20"/>
                <w:vertAlign w:val="superscript"/>
              </w:rPr>
              <w:t>**</w:t>
            </w:r>
          </w:p>
          <w:p w14:paraId="7B23DA9C" w14:textId="554CAA0B" w:rsidR="003960E8" w:rsidRPr="00685C3E" w:rsidRDefault="003960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w:t>
            </w:r>
            <w:r w:rsidR="00694134" w:rsidRPr="00685C3E">
              <w:rPr>
                <w:rFonts w:ascii="Times New Roman" w:eastAsia="Times New Roman" w:hAnsi="Times New Roman" w:cs="Times New Roman"/>
                <w:sz w:val="20"/>
                <w:szCs w:val="20"/>
              </w:rPr>
              <w:t>0004</w:t>
            </w:r>
            <w:r w:rsidR="00CA15AE" w:rsidRPr="00685C3E">
              <w:rPr>
                <w:rFonts w:ascii="Times New Roman" w:eastAsia="Times New Roman" w:hAnsi="Times New Roman" w:cs="Times New Roman"/>
                <w:sz w:val="20"/>
                <w:szCs w:val="20"/>
              </w:rPr>
              <w:t>19</w:t>
            </w:r>
            <w:r w:rsidRPr="00685C3E">
              <w:rPr>
                <w:rFonts w:ascii="Times New Roman" w:eastAsia="Times New Roman" w:hAnsi="Times New Roman" w:cs="Times New Roman"/>
                <w:sz w:val="20"/>
                <w:szCs w:val="20"/>
              </w:rPr>
              <w:t>)</w:t>
            </w:r>
          </w:p>
        </w:tc>
        <w:tc>
          <w:tcPr>
            <w:tcW w:w="1743" w:type="dxa"/>
            <w:tcBorders>
              <w:top w:val="single" w:sz="24" w:space="0" w:color="auto"/>
            </w:tcBorders>
            <w:shd w:val="clear" w:color="auto" w:fill="auto"/>
          </w:tcPr>
          <w:p w14:paraId="5AB49D3F" w14:textId="77777777" w:rsidR="003625C3" w:rsidRPr="00685C3E" w:rsidRDefault="003625C3" w:rsidP="003625C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0,173334</w:t>
            </w:r>
            <w:r w:rsidRPr="00685C3E">
              <w:rPr>
                <w:rFonts w:ascii="Times New Roman" w:eastAsia="Times New Roman" w:hAnsi="Times New Roman" w:cs="Times New Roman"/>
                <w:sz w:val="20"/>
                <w:szCs w:val="20"/>
                <w:vertAlign w:val="superscript"/>
              </w:rPr>
              <w:t>**</w:t>
            </w:r>
          </w:p>
          <w:p w14:paraId="5E01566C" w14:textId="77777777" w:rsidR="003625C3" w:rsidRPr="00685C3E" w:rsidRDefault="003625C3" w:rsidP="003625C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(0,035188)</w:t>
            </w:r>
          </w:p>
          <w:p w14:paraId="2C753943" w14:textId="1FB4DCBE" w:rsidR="005E4276" w:rsidRPr="00685C3E"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13" w:type="dxa"/>
            <w:tcBorders>
              <w:top w:val="single" w:sz="24" w:space="0" w:color="auto"/>
            </w:tcBorders>
            <w:shd w:val="clear" w:color="auto" w:fill="auto"/>
          </w:tcPr>
          <w:p w14:paraId="53B55B34" w14:textId="77777777" w:rsidR="001B7245"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0,003226</w:t>
            </w:r>
            <w:r w:rsidRPr="00685C3E">
              <w:rPr>
                <w:rFonts w:ascii="Times New Roman" w:eastAsia="Times New Roman" w:hAnsi="Times New Roman" w:cs="Times New Roman"/>
                <w:sz w:val="20"/>
                <w:szCs w:val="20"/>
                <w:vertAlign w:val="superscript"/>
              </w:rPr>
              <w:t>**</w:t>
            </w:r>
          </w:p>
          <w:p w14:paraId="4FC908FF" w14:textId="6F78C543" w:rsidR="005E4276"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(0,001157)</w:t>
            </w:r>
          </w:p>
        </w:tc>
        <w:tc>
          <w:tcPr>
            <w:tcW w:w="1623" w:type="dxa"/>
            <w:tcBorders>
              <w:top w:val="single" w:sz="24" w:space="0" w:color="auto"/>
            </w:tcBorders>
            <w:shd w:val="clear" w:color="auto" w:fill="auto"/>
          </w:tcPr>
          <w:p w14:paraId="1CD97D4E" w14:textId="120A5C86" w:rsidR="00C51D4D" w:rsidRPr="00685C3E" w:rsidRDefault="00525A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-0,041743</w:t>
            </w:r>
            <w:r w:rsidRPr="00685C3E">
              <w:rPr>
                <w:rFonts w:ascii="Times New Roman" w:eastAsia="Times New Roman" w:hAnsi="Times New Roman" w:cs="Times New Roman"/>
                <w:sz w:val="20"/>
                <w:szCs w:val="20"/>
                <w:vertAlign w:val="superscript"/>
              </w:rPr>
              <w:t>**</w:t>
            </w:r>
          </w:p>
          <w:p w14:paraId="1C2C6B11" w14:textId="1E633C7F" w:rsidR="00525A71" w:rsidRPr="00685C3E" w:rsidRDefault="00525A7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(0,010268)</w:t>
            </w:r>
          </w:p>
        </w:tc>
        <w:tc>
          <w:tcPr>
            <w:tcW w:w="1476" w:type="dxa"/>
            <w:tcBorders>
              <w:top w:val="single" w:sz="24" w:space="0" w:color="auto"/>
            </w:tcBorders>
            <w:shd w:val="clear" w:color="auto" w:fill="auto"/>
          </w:tcPr>
          <w:p w14:paraId="7302438B" w14:textId="24E7B2E8" w:rsidR="00B960F1" w:rsidRPr="00685C3E" w:rsidRDefault="007039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-0,004082</w:t>
            </w:r>
            <w:r w:rsidRPr="00685C3E">
              <w:rPr>
                <w:rFonts w:ascii="Times New Roman" w:eastAsia="Times New Roman" w:hAnsi="Times New Roman" w:cs="Times New Roman"/>
                <w:sz w:val="20"/>
                <w:szCs w:val="20"/>
                <w:vertAlign w:val="superscript"/>
              </w:rPr>
              <w:t>**</w:t>
            </w:r>
          </w:p>
          <w:p w14:paraId="75AE92E2" w14:textId="086CCE1F" w:rsidR="00703965" w:rsidRPr="00685C3E" w:rsidRDefault="007039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(0,000298)</w:t>
            </w:r>
          </w:p>
        </w:tc>
      </w:tr>
      <w:tr w:rsidR="005E4276" w:rsidRPr="00685C3E" w14:paraId="1190D86C" w14:textId="77777777" w:rsidTr="003E7277">
        <w:trPr>
          <w:trHeight w:val="57"/>
        </w:trPr>
        <w:tc>
          <w:tcPr>
            <w:cnfStyle w:val="001000000000" w:firstRow="0" w:lastRow="0" w:firstColumn="1" w:lastColumn="0" w:oddVBand="0" w:evenVBand="0" w:oddHBand="0" w:evenHBand="0" w:firstRowFirstColumn="0" w:firstRowLastColumn="0" w:lastRowFirstColumn="0" w:lastRowLastColumn="0"/>
            <w:tcW w:w="1761" w:type="dxa"/>
            <w:shd w:val="clear" w:color="auto" w:fill="auto"/>
          </w:tcPr>
          <w:p w14:paraId="255850CF"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D(Inflation)</w:t>
            </w:r>
          </w:p>
        </w:tc>
        <w:tc>
          <w:tcPr>
            <w:tcW w:w="1560" w:type="dxa"/>
            <w:shd w:val="clear" w:color="auto" w:fill="auto"/>
          </w:tcPr>
          <w:p w14:paraId="6852E5C6" w14:textId="585663ED" w:rsidR="005E4276" w:rsidRPr="00685C3E" w:rsidRDefault="003960E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w:t>
            </w:r>
            <w:r w:rsidR="00CA15AE" w:rsidRPr="00685C3E">
              <w:rPr>
                <w:rFonts w:ascii="Times New Roman" w:eastAsia="Times New Roman" w:hAnsi="Times New Roman" w:cs="Times New Roman"/>
                <w:sz w:val="20"/>
                <w:szCs w:val="20"/>
              </w:rPr>
              <w:t>0467</w:t>
            </w:r>
            <w:r w:rsidRPr="00685C3E">
              <w:rPr>
                <w:rFonts w:ascii="Times New Roman" w:eastAsia="Times New Roman" w:hAnsi="Times New Roman" w:cs="Times New Roman"/>
                <w:sz w:val="20"/>
                <w:szCs w:val="20"/>
                <w:vertAlign w:val="superscript"/>
              </w:rPr>
              <w:t>**</w:t>
            </w:r>
          </w:p>
          <w:p w14:paraId="3117D479" w14:textId="245B5476" w:rsidR="003960E8" w:rsidRPr="00685C3E" w:rsidRDefault="003960E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w:t>
            </w:r>
            <w:r w:rsidR="00CA15AE" w:rsidRPr="00685C3E">
              <w:rPr>
                <w:rFonts w:ascii="Times New Roman" w:eastAsia="Times New Roman" w:hAnsi="Times New Roman" w:cs="Times New Roman"/>
                <w:sz w:val="20"/>
                <w:szCs w:val="20"/>
              </w:rPr>
              <w:t>158</w:t>
            </w:r>
            <w:r w:rsidRPr="00685C3E">
              <w:rPr>
                <w:rFonts w:ascii="Times New Roman" w:eastAsia="Times New Roman" w:hAnsi="Times New Roman" w:cs="Times New Roman"/>
                <w:sz w:val="20"/>
                <w:szCs w:val="20"/>
              </w:rPr>
              <w:t>)</w:t>
            </w:r>
          </w:p>
        </w:tc>
        <w:tc>
          <w:tcPr>
            <w:tcW w:w="1743" w:type="dxa"/>
            <w:shd w:val="clear" w:color="auto" w:fill="auto"/>
          </w:tcPr>
          <w:p w14:paraId="1AFAA8B5" w14:textId="77777777" w:rsidR="003625C3" w:rsidRPr="00685C3E" w:rsidRDefault="003625C3" w:rsidP="003625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-0,055048</w:t>
            </w:r>
            <w:r w:rsidRPr="00685C3E">
              <w:rPr>
                <w:rFonts w:ascii="Times New Roman" w:eastAsia="Times New Roman" w:hAnsi="Times New Roman" w:cs="Times New Roman"/>
                <w:sz w:val="20"/>
                <w:szCs w:val="20"/>
                <w:vertAlign w:val="superscript"/>
              </w:rPr>
              <w:t>**</w:t>
            </w:r>
          </w:p>
          <w:p w14:paraId="5A8C8D73" w14:textId="1D26E2BA" w:rsidR="005E4276" w:rsidRPr="00685C3E" w:rsidRDefault="003625C3" w:rsidP="003625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(0,011396)</w:t>
            </w:r>
          </w:p>
        </w:tc>
        <w:tc>
          <w:tcPr>
            <w:tcW w:w="1613" w:type="dxa"/>
            <w:shd w:val="clear" w:color="auto" w:fill="auto"/>
          </w:tcPr>
          <w:p w14:paraId="05AAD53D" w14:textId="77777777" w:rsidR="001B7245"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0,001751</w:t>
            </w:r>
            <w:r w:rsidRPr="00685C3E">
              <w:rPr>
                <w:rFonts w:ascii="Times New Roman" w:eastAsia="Times New Roman" w:hAnsi="Times New Roman" w:cs="Times New Roman"/>
                <w:sz w:val="20"/>
                <w:szCs w:val="20"/>
                <w:vertAlign w:val="superscript"/>
              </w:rPr>
              <w:t>**</w:t>
            </w:r>
          </w:p>
          <w:p w14:paraId="7C44CDD3" w14:textId="05C329A7" w:rsidR="005E4276"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(0,000446)</w:t>
            </w:r>
          </w:p>
        </w:tc>
        <w:tc>
          <w:tcPr>
            <w:tcW w:w="1623" w:type="dxa"/>
            <w:shd w:val="clear" w:color="auto" w:fill="auto"/>
          </w:tcPr>
          <w:p w14:paraId="3828B8FF" w14:textId="77777777" w:rsidR="00C51D4D" w:rsidRPr="00685C3E" w:rsidRDefault="00525A7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-0,005561</w:t>
            </w:r>
          </w:p>
          <w:p w14:paraId="6A0CC01D" w14:textId="3EB2DEFB" w:rsidR="00525A71" w:rsidRPr="00685C3E" w:rsidRDefault="00525A7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(0,003001)</w:t>
            </w:r>
          </w:p>
        </w:tc>
        <w:tc>
          <w:tcPr>
            <w:tcW w:w="1476" w:type="dxa"/>
            <w:shd w:val="clear" w:color="auto" w:fill="auto"/>
          </w:tcPr>
          <w:p w14:paraId="56DCB34A" w14:textId="5E2F7AF4" w:rsidR="00703965" w:rsidRPr="00685C3E" w:rsidRDefault="0070396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w:t>
            </w:r>
            <w:r w:rsidR="007957BF" w:rsidRPr="00685C3E">
              <w:rPr>
                <w:rFonts w:ascii="Times New Roman" w:eastAsia="Times New Roman" w:hAnsi="Times New Roman" w:cs="Times New Roman"/>
                <w:sz w:val="20"/>
                <w:szCs w:val="20"/>
              </w:rPr>
              <w:t>0,000098</w:t>
            </w:r>
          </w:p>
          <w:p w14:paraId="6F6BB1CC" w14:textId="42442A0E" w:rsidR="00703965" w:rsidRPr="00685C3E" w:rsidRDefault="0070396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w:t>
            </w:r>
            <w:r w:rsidR="005F2D7C" w:rsidRPr="00685C3E">
              <w:rPr>
                <w:rFonts w:ascii="Times New Roman" w:eastAsia="Times New Roman" w:hAnsi="Times New Roman" w:cs="Times New Roman"/>
                <w:sz w:val="20"/>
                <w:szCs w:val="20"/>
              </w:rPr>
              <w:t>0,0000718</w:t>
            </w:r>
            <w:r w:rsidR="00C51D4D" w:rsidRPr="00685C3E">
              <w:rPr>
                <w:rFonts w:ascii="Times New Roman" w:eastAsia="Times New Roman" w:hAnsi="Times New Roman" w:cs="Times New Roman"/>
                <w:sz w:val="20"/>
                <w:szCs w:val="20"/>
              </w:rPr>
              <w:t>)</w:t>
            </w:r>
          </w:p>
        </w:tc>
      </w:tr>
      <w:tr w:rsidR="00CA15AE" w:rsidRPr="00685C3E" w14:paraId="15ED39E1" w14:textId="77777777" w:rsidTr="003E727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61" w:type="dxa"/>
            <w:shd w:val="clear" w:color="auto" w:fill="auto"/>
          </w:tcPr>
          <w:p w14:paraId="7CCB5DB4"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D(Taux d’intérêt)</w:t>
            </w:r>
          </w:p>
        </w:tc>
        <w:tc>
          <w:tcPr>
            <w:tcW w:w="1560" w:type="dxa"/>
            <w:shd w:val="clear" w:color="auto" w:fill="auto"/>
          </w:tcPr>
          <w:p w14:paraId="13DA2C2B" w14:textId="53B11A84" w:rsidR="005E4276" w:rsidRPr="00685C3E" w:rsidRDefault="005F2D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0,0000</w:t>
            </w:r>
            <w:r w:rsidR="00CA15AE" w:rsidRPr="00685C3E">
              <w:rPr>
                <w:rFonts w:ascii="Times New Roman" w:eastAsia="Times New Roman" w:hAnsi="Times New Roman" w:cs="Times New Roman"/>
                <w:sz w:val="20"/>
                <w:szCs w:val="20"/>
              </w:rPr>
              <w:t>9</w:t>
            </w:r>
            <w:r w:rsidR="00CA15AE" w:rsidRPr="00685C3E">
              <w:rPr>
                <w:rFonts w:ascii="Times New Roman" w:eastAsia="Times New Roman" w:hAnsi="Times New Roman" w:cs="Times New Roman"/>
                <w:sz w:val="20"/>
                <w:szCs w:val="20"/>
                <w:vertAlign w:val="superscript"/>
              </w:rPr>
              <w:t>*</w:t>
            </w:r>
          </w:p>
          <w:p w14:paraId="6A41AF8C" w14:textId="703CE1C7" w:rsidR="00694134" w:rsidRPr="00685C3E" w:rsidRDefault="006941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w:t>
            </w:r>
            <w:r w:rsidR="005F2D7C" w:rsidRPr="00685C3E">
              <w:rPr>
                <w:rFonts w:ascii="Times New Roman" w:eastAsia="Times New Roman" w:hAnsi="Times New Roman" w:cs="Times New Roman"/>
                <w:sz w:val="20"/>
                <w:szCs w:val="20"/>
              </w:rPr>
              <w:t>0,0000</w:t>
            </w:r>
            <w:r w:rsidR="00CA15AE" w:rsidRPr="00685C3E">
              <w:rPr>
                <w:rFonts w:ascii="Times New Roman" w:eastAsia="Times New Roman" w:hAnsi="Times New Roman" w:cs="Times New Roman"/>
                <w:sz w:val="20"/>
                <w:szCs w:val="20"/>
              </w:rPr>
              <w:t>43</w:t>
            </w:r>
            <w:r w:rsidRPr="00685C3E">
              <w:rPr>
                <w:rFonts w:ascii="Times New Roman" w:eastAsia="Times New Roman" w:hAnsi="Times New Roman" w:cs="Times New Roman"/>
                <w:sz w:val="20"/>
                <w:szCs w:val="20"/>
              </w:rPr>
              <w:t>)</w:t>
            </w:r>
          </w:p>
        </w:tc>
        <w:tc>
          <w:tcPr>
            <w:tcW w:w="1743" w:type="dxa"/>
            <w:shd w:val="clear" w:color="auto" w:fill="auto"/>
          </w:tcPr>
          <w:p w14:paraId="16A6CB2A" w14:textId="77777777" w:rsidR="003625C3" w:rsidRPr="00685C3E" w:rsidRDefault="003625C3" w:rsidP="003625C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-0,022859</w:t>
            </w:r>
            <w:r w:rsidRPr="00685C3E">
              <w:rPr>
                <w:rFonts w:ascii="Times New Roman" w:eastAsia="Times New Roman" w:hAnsi="Times New Roman" w:cs="Times New Roman"/>
                <w:sz w:val="20"/>
                <w:szCs w:val="20"/>
                <w:vertAlign w:val="superscript"/>
              </w:rPr>
              <w:t>**</w:t>
            </w:r>
          </w:p>
          <w:p w14:paraId="7B4711D2" w14:textId="17CCD7A9" w:rsidR="005E4276" w:rsidRPr="00685C3E" w:rsidRDefault="003625C3" w:rsidP="003625C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(0,004792)</w:t>
            </w:r>
          </w:p>
        </w:tc>
        <w:tc>
          <w:tcPr>
            <w:tcW w:w="1613" w:type="dxa"/>
            <w:shd w:val="clear" w:color="auto" w:fill="auto"/>
          </w:tcPr>
          <w:p w14:paraId="6294D29E" w14:textId="77777777" w:rsidR="001B7245"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-0,000159</w:t>
            </w:r>
          </w:p>
          <w:p w14:paraId="067358E2" w14:textId="0260E147" w:rsidR="005E4276"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(0,000124)</w:t>
            </w:r>
          </w:p>
        </w:tc>
        <w:tc>
          <w:tcPr>
            <w:tcW w:w="1623" w:type="dxa"/>
            <w:shd w:val="clear" w:color="auto" w:fill="auto"/>
          </w:tcPr>
          <w:p w14:paraId="0E3624CA" w14:textId="3F9519BC" w:rsidR="00C51D4D" w:rsidRPr="00685C3E" w:rsidRDefault="008A37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-0,007128</w:t>
            </w:r>
            <w:r w:rsidRPr="00685C3E">
              <w:rPr>
                <w:rFonts w:ascii="Times New Roman" w:eastAsia="Times New Roman" w:hAnsi="Times New Roman" w:cs="Times New Roman"/>
                <w:sz w:val="20"/>
                <w:szCs w:val="20"/>
                <w:vertAlign w:val="superscript"/>
              </w:rPr>
              <w:t>**</w:t>
            </w:r>
          </w:p>
          <w:p w14:paraId="48016312" w14:textId="13FC3A7A" w:rsidR="008A3797" w:rsidRPr="00685C3E" w:rsidRDefault="008A379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(0,001527)</w:t>
            </w:r>
          </w:p>
        </w:tc>
        <w:tc>
          <w:tcPr>
            <w:tcW w:w="1476" w:type="dxa"/>
            <w:shd w:val="clear" w:color="auto" w:fill="auto"/>
          </w:tcPr>
          <w:p w14:paraId="35CD309F" w14:textId="77777777" w:rsidR="00703965" w:rsidRPr="00685C3E" w:rsidRDefault="00553F11" w:rsidP="007039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 xml:space="preserve"> </w:t>
            </w:r>
            <w:r w:rsidR="00703965" w:rsidRPr="00685C3E">
              <w:rPr>
                <w:rFonts w:ascii="Times New Roman" w:eastAsia="Times New Roman" w:hAnsi="Times New Roman" w:cs="Times New Roman"/>
                <w:sz w:val="20"/>
                <w:szCs w:val="20"/>
              </w:rPr>
              <w:t>-0,000109</w:t>
            </w:r>
            <w:r w:rsidR="00703965" w:rsidRPr="00685C3E">
              <w:rPr>
                <w:rFonts w:ascii="Times New Roman" w:eastAsia="Times New Roman" w:hAnsi="Times New Roman" w:cs="Times New Roman"/>
                <w:sz w:val="20"/>
                <w:szCs w:val="20"/>
                <w:vertAlign w:val="superscript"/>
              </w:rPr>
              <w:t>**</w:t>
            </w:r>
          </w:p>
          <w:p w14:paraId="2C495FCE" w14:textId="22EC35C3" w:rsidR="00553F11" w:rsidRPr="00685C3E" w:rsidRDefault="00703965" w:rsidP="007039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w:t>
            </w:r>
            <w:r w:rsidR="005F2D7C" w:rsidRPr="00685C3E">
              <w:rPr>
                <w:rFonts w:ascii="Times New Roman" w:eastAsia="Times New Roman" w:hAnsi="Times New Roman" w:cs="Times New Roman"/>
                <w:sz w:val="20"/>
                <w:szCs w:val="20"/>
              </w:rPr>
              <w:t>0,0000</w:t>
            </w:r>
            <w:r w:rsidRPr="00685C3E">
              <w:rPr>
                <w:rFonts w:ascii="Times New Roman" w:eastAsia="Times New Roman" w:hAnsi="Times New Roman" w:cs="Times New Roman"/>
                <w:sz w:val="20"/>
                <w:szCs w:val="20"/>
              </w:rPr>
              <w:t>34)</w:t>
            </w:r>
          </w:p>
        </w:tc>
      </w:tr>
      <w:tr w:rsidR="00ED1942" w:rsidRPr="00685C3E" w14:paraId="4FA4601B" w14:textId="77777777" w:rsidTr="003E7277">
        <w:trPr>
          <w:trHeight w:val="57"/>
        </w:trPr>
        <w:tc>
          <w:tcPr>
            <w:cnfStyle w:val="001000000000" w:firstRow="0" w:lastRow="0" w:firstColumn="1" w:lastColumn="0" w:oddVBand="0" w:evenVBand="0" w:oddHBand="0" w:evenHBand="0" w:firstRowFirstColumn="0" w:firstRowLastColumn="0" w:lastRowFirstColumn="0" w:lastRowLastColumn="0"/>
            <w:tcW w:w="1761" w:type="dxa"/>
            <w:shd w:val="clear" w:color="auto" w:fill="auto"/>
          </w:tcPr>
          <w:p w14:paraId="67956AD3" w14:textId="246A7512" w:rsidR="00ED1942" w:rsidRPr="00685C3E" w:rsidRDefault="00ED1942">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D(Taux</w:t>
            </w:r>
            <w:r w:rsidR="002B7335" w:rsidRPr="00685C3E">
              <w:rPr>
                <w:rFonts w:ascii="Times New Roman" w:eastAsia="Times New Roman" w:hAnsi="Times New Roman" w:cs="Times New Roman"/>
                <w:b w:val="0"/>
                <w:bCs w:val="0"/>
                <w:sz w:val="20"/>
                <w:szCs w:val="20"/>
              </w:rPr>
              <w:t xml:space="preserve"> </w:t>
            </w:r>
            <w:r w:rsidRPr="00685C3E">
              <w:rPr>
                <w:rFonts w:ascii="Times New Roman" w:eastAsia="Times New Roman" w:hAnsi="Times New Roman" w:cs="Times New Roman"/>
                <w:b w:val="0"/>
                <w:bCs w:val="0"/>
                <w:sz w:val="20"/>
                <w:szCs w:val="20"/>
              </w:rPr>
              <w:t>de chômage)</w:t>
            </w:r>
          </w:p>
        </w:tc>
        <w:tc>
          <w:tcPr>
            <w:tcW w:w="1560" w:type="dxa"/>
            <w:shd w:val="clear" w:color="auto" w:fill="auto"/>
          </w:tcPr>
          <w:p w14:paraId="3184E749" w14:textId="77777777" w:rsidR="00ED1942" w:rsidRPr="00685C3E" w:rsidRDefault="00CA15A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-0,000468</w:t>
            </w:r>
          </w:p>
          <w:p w14:paraId="6A300C8C" w14:textId="67CD84FB" w:rsidR="00CA15AE" w:rsidRPr="00685C3E" w:rsidRDefault="00CA15A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(0,002606)</w:t>
            </w:r>
          </w:p>
        </w:tc>
        <w:tc>
          <w:tcPr>
            <w:tcW w:w="1743" w:type="dxa"/>
            <w:shd w:val="clear" w:color="auto" w:fill="auto"/>
          </w:tcPr>
          <w:p w14:paraId="32DF9F09" w14:textId="6C4FC6C2" w:rsidR="00ED1942" w:rsidRPr="00685C3E" w:rsidRDefault="003625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-0,430752</w:t>
            </w:r>
            <w:r w:rsidR="004A08C6" w:rsidRPr="00685C3E">
              <w:rPr>
                <w:rFonts w:ascii="Times New Roman" w:eastAsia="Times New Roman" w:hAnsi="Times New Roman" w:cs="Times New Roman"/>
                <w:sz w:val="20"/>
                <w:szCs w:val="20"/>
                <w:vertAlign w:val="superscript"/>
              </w:rPr>
              <w:t>**</w:t>
            </w:r>
          </w:p>
          <w:p w14:paraId="505E4647" w14:textId="0C10D0C9" w:rsidR="003625C3" w:rsidRPr="00685C3E" w:rsidRDefault="003625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(0,081690)</w:t>
            </w:r>
          </w:p>
        </w:tc>
        <w:tc>
          <w:tcPr>
            <w:tcW w:w="1613" w:type="dxa"/>
            <w:shd w:val="clear" w:color="auto" w:fill="auto"/>
          </w:tcPr>
          <w:p w14:paraId="20684E4C" w14:textId="77777777" w:rsidR="001B7245"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-0,050618</w:t>
            </w:r>
            <w:r w:rsidRPr="00685C3E">
              <w:rPr>
                <w:rFonts w:ascii="Times New Roman" w:eastAsia="Times New Roman" w:hAnsi="Times New Roman" w:cs="Times New Roman"/>
                <w:sz w:val="20"/>
                <w:szCs w:val="20"/>
                <w:vertAlign w:val="superscript"/>
              </w:rPr>
              <w:t>***</w:t>
            </w:r>
          </w:p>
          <w:p w14:paraId="4BBAEF74" w14:textId="5C906C2F" w:rsidR="00ED1942"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(0,001728)</w:t>
            </w:r>
          </w:p>
        </w:tc>
        <w:tc>
          <w:tcPr>
            <w:tcW w:w="1623" w:type="dxa"/>
            <w:shd w:val="clear" w:color="auto" w:fill="auto"/>
          </w:tcPr>
          <w:p w14:paraId="69163CD3" w14:textId="3DA25216" w:rsidR="00C51D4D" w:rsidRPr="00685C3E" w:rsidRDefault="00525A7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-0,127872</w:t>
            </w:r>
            <w:r w:rsidRPr="00685C3E">
              <w:rPr>
                <w:rFonts w:ascii="Times New Roman" w:eastAsia="Times New Roman" w:hAnsi="Times New Roman" w:cs="Times New Roman"/>
                <w:sz w:val="20"/>
                <w:szCs w:val="20"/>
                <w:vertAlign w:val="superscript"/>
              </w:rPr>
              <w:t>*</w:t>
            </w:r>
          </w:p>
          <w:p w14:paraId="5D8110ED" w14:textId="5035DE69" w:rsidR="00525A71" w:rsidRPr="00685C3E" w:rsidRDefault="00525A7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(0,059798)</w:t>
            </w:r>
          </w:p>
        </w:tc>
        <w:tc>
          <w:tcPr>
            <w:tcW w:w="1476" w:type="dxa"/>
            <w:shd w:val="clear" w:color="auto" w:fill="auto"/>
          </w:tcPr>
          <w:p w14:paraId="5CC9A0D3" w14:textId="7ECF267F" w:rsidR="00ED1942" w:rsidRPr="00685C3E" w:rsidRDefault="00A82EC7" w:rsidP="00553F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0,009563</w:t>
            </w:r>
            <w:r w:rsidRPr="00685C3E">
              <w:rPr>
                <w:rFonts w:ascii="Times New Roman" w:eastAsia="Times New Roman" w:hAnsi="Times New Roman" w:cs="Times New Roman"/>
                <w:sz w:val="20"/>
                <w:szCs w:val="20"/>
                <w:vertAlign w:val="superscript"/>
              </w:rPr>
              <w:t>**</w:t>
            </w:r>
          </w:p>
          <w:p w14:paraId="3B73417E" w14:textId="055133F5" w:rsidR="00A82EC7" w:rsidRPr="00685C3E" w:rsidRDefault="00A82EC7" w:rsidP="00553F1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(0,001018)</w:t>
            </w:r>
          </w:p>
        </w:tc>
      </w:tr>
      <w:tr w:rsidR="00CA15AE" w:rsidRPr="00685C3E" w14:paraId="3E0370C8" w14:textId="77777777" w:rsidTr="003E727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61" w:type="dxa"/>
            <w:tcBorders>
              <w:bottom w:val="single" w:sz="24" w:space="0" w:color="auto"/>
            </w:tcBorders>
            <w:shd w:val="clear" w:color="auto" w:fill="auto"/>
          </w:tcPr>
          <w:p w14:paraId="48D230A0"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b w:val="0"/>
                <w:bCs w:val="0"/>
                <w:sz w:val="20"/>
                <w:szCs w:val="20"/>
              </w:rPr>
              <w:t>CointEq (-1)*</w:t>
            </w:r>
          </w:p>
        </w:tc>
        <w:tc>
          <w:tcPr>
            <w:tcW w:w="1560" w:type="dxa"/>
            <w:tcBorders>
              <w:bottom w:val="single" w:sz="24" w:space="0" w:color="auto"/>
            </w:tcBorders>
            <w:shd w:val="clear" w:color="auto" w:fill="auto"/>
          </w:tcPr>
          <w:p w14:paraId="59F41715" w14:textId="641A4060" w:rsidR="005E4276" w:rsidRPr="00685C3E" w:rsidRDefault="003960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w:t>
            </w:r>
            <w:r w:rsidR="00CA15AE" w:rsidRPr="00685C3E">
              <w:rPr>
                <w:rFonts w:ascii="Times New Roman" w:eastAsia="Times New Roman" w:hAnsi="Times New Roman" w:cs="Times New Roman"/>
                <w:sz w:val="20"/>
                <w:szCs w:val="20"/>
              </w:rPr>
              <w:t>331173</w:t>
            </w:r>
            <w:r w:rsidRPr="00685C3E">
              <w:rPr>
                <w:rFonts w:ascii="Times New Roman" w:eastAsia="Times New Roman" w:hAnsi="Times New Roman" w:cs="Times New Roman"/>
                <w:sz w:val="20"/>
                <w:szCs w:val="20"/>
                <w:vertAlign w:val="superscript"/>
              </w:rPr>
              <w:t>***</w:t>
            </w:r>
          </w:p>
          <w:p w14:paraId="16DE091E" w14:textId="629DB433" w:rsidR="003960E8" w:rsidRPr="00685C3E" w:rsidRDefault="003960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w:t>
            </w:r>
            <w:r w:rsidR="00CA15AE" w:rsidRPr="00685C3E">
              <w:rPr>
                <w:rFonts w:ascii="Times New Roman" w:eastAsia="Times New Roman" w:hAnsi="Times New Roman" w:cs="Times New Roman"/>
                <w:sz w:val="20"/>
                <w:szCs w:val="20"/>
              </w:rPr>
              <w:t>037380</w:t>
            </w:r>
            <w:r w:rsidRPr="00685C3E">
              <w:rPr>
                <w:rFonts w:ascii="Times New Roman" w:eastAsia="Times New Roman" w:hAnsi="Times New Roman" w:cs="Times New Roman"/>
                <w:sz w:val="20"/>
                <w:szCs w:val="20"/>
              </w:rPr>
              <w:t>)</w:t>
            </w:r>
          </w:p>
        </w:tc>
        <w:tc>
          <w:tcPr>
            <w:tcW w:w="1743" w:type="dxa"/>
            <w:tcBorders>
              <w:bottom w:val="single" w:sz="24" w:space="0" w:color="auto"/>
            </w:tcBorders>
            <w:shd w:val="clear" w:color="auto" w:fill="auto"/>
          </w:tcPr>
          <w:p w14:paraId="22675689" w14:textId="16EE59EE" w:rsidR="005E4276" w:rsidRPr="00685C3E" w:rsidRDefault="004A08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-0,717120</w:t>
            </w:r>
            <w:r w:rsidRPr="00685C3E">
              <w:rPr>
                <w:rFonts w:ascii="Times New Roman" w:eastAsia="Times New Roman" w:hAnsi="Times New Roman" w:cs="Times New Roman"/>
                <w:sz w:val="20"/>
                <w:szCs w:val="20"/>
                <w:vertAlign w:val="superscript"/>
              </w:rPr>
              <w:t>**</w:t>
            </w:r>
          </w:p>
          <w:p w14:paraId="14CEFA6A" w14:textId="339045F9" w:rsidR="004A08C6" w:rsidRPr="00685C3E" w:rsidRDefault="004A08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(0,119743)</w:t>
            </w:r>
          </w:p>
        </w:tc>
        <w:tc>
          <w:tcPr>
            <w:tcW w:w="1613" w:type="dxa"/>
            <w:tcBorders>
              <w:bottom w:val="single" w:sz="24" w:space="0" w:color="auto"/>
            </w:tcBorders>
            <w:shd w:val="clear" w:color="auto" w:fill="auto"/>
          </w:tcPr>
          <w:p w14:paraId="230960E4" w14:textId="77777777" w:rsidR="001B7245" w:rsidRPr="00685C3E" w:rsidRDefault="001B7245" w:rsidP="001B72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-0,105210</w:t>
            </w:r>
            <w:r w:rsidRPr="00685C3E">
              <w:rPr>
                <w:rFonts w:ascii="Times New Roman" w:eastAsia="Times New Roman" w:hAnsi="Times New Roman" w:cs="Times New Roman"/>
                <w:sz w:val="20"/>
                <w:szCs w:val="20"/>
                <w:vertAlign w:val="superscript"/>
              </w:rPr>
              <w:t>***</w:t>
            </w:r>
          </w:p>
          <w:p w14:paraId="5DD83F71" w14:textId="39D6D682" w:rsidR="005E4276"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(0,003238)</w:t>
            </w:r>
          </w:p>
        </w:tc>
        <w:tc>
          <w:tcPr>
            <w:tcW w:w="1623" w:type="dxa"/>
            <w:tcBorders>
              <w:bottom w:val="single" w:sz="24" w:space="0" w:color="auto"/>
            </w:tcBorders>
            <w:shd w:val="clear" w:color="auto" w:fill="auto"/>
          </w:tcPr>
          <w:p w14:paraId="14D769A8" w14:textId="68D04F6E" w:rsidR="00C51D4D" w:rsidRPr="00685C3E" w:rsidRDefault="00525A71" w:rsidP="00C51D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-0,432567</w:t>
            </w:r>
            <w:r w:rsidRPr="00685C3E">
              <w:rPr>
                <w:rFonts w:ascii="Times New Roman" w:eastAsia="Times New Roman" w:hAnsi="Times New Roman" w:cs="Times New Roman"/>
                <w:sz w:val="20"/>
                <w:szCs w:val="20"/>
                <w:vertAlign w:val="superscript"/>
              </w:rPr>
              <w:t>***</w:t>
            </w:r>
          </w:p>
          <w:p w14:paraId="38F704BD" w14:textId="5D63F8F3" w:rsidR="00525A71" w:rsidRPr="00685C3E" w:rsidRDefault="00525A71" w:rsidP="00C51D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(0,021082)</w:t>
            </w:r>
          </w:p>
        </w:tc>
        <w:tc>
          <w:tcPr>
            <w:tcW w:w="1476" w:type="dxa"/>
            <w:tcBorders>
              <w:bottom w:val="single" w:sz="24" w:space="0" w:color="auto"/>
            </w:tcBorders>
            <w:shd w:val="clear" w:color="auto" w:fill="auto"/>
          </w:tcPr>
          <w:p w14:paraId="7B571BF2" w14:textId="08891BCC" w:rsidR="00470C53" w:rsidRPr="00685C3E" w:rsidRDefault="00A82E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-0,308224</w:t>
            </w:r>
            <w:r w:rsidRPr="00685C3E">
              <w:rPr>
                <w:rFonts w:ascii="Times New Roman" w:eastAsia="Times New Roman" w:hAnsi="Times New Roman" w:cs="Times New Roman"/>
                <w:sz w:val="20"/>
                <w:szCs w:val="20"/>
                <w:vertAlign w:val="superscript"/>
              </w:rPr>
              <w:t>***</w:t>
            </w:r>
          </w:p>
          <w:p w14:paraId="29FBDABE" w14:textId="7E4BF388" w:rsidR="00A82EC7" w:rsidRPr="00685C3E" w:rsidRDefault="00A82E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(0,016616)</w:t>
            </w:r>
          </w:p>
        </w:tc>
      </w:tr>
    </w:tbl>
    <w:bookmarkEnd w:id="12"/>
    <w:p w14:paraId="1FDB2CB3" w14:textId="1045AE70" w:rsidR="005E4276" w:rsidRPr="00256989" w:rsidRDefault="00E1165A">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NB :</w:t>
      </w:r>
      <w:r w:rsidR="006D388F" w:rsidRPr="00256989">
        <w:rPr>
          <w:rFonts w:ascii="Times New Roman" w:eastAsia="Times New Roman" w:hAnsi="Times New Roman" w:cs="Times New Roman"/>
          <w:sz w:val="20"/>
          <w:szCs w:val="20"/>
          <w:lang w:val="fr-FR"/>
        </w:rPr>
        <w:t xml:space="preserve"> Les erreurs standards sont entre parenthèses, *** significatif à 1%, ** significatif à 5%, * significatif à 10%</w:t>
      </w:r>
    </w:p>
    <w:p w14:paraId="364F9D0D" w14:textId="457F134E" w:rsidR="0064310F" w:rsidRDefault="00E1165A">
      <w:pPr>
        <w:spacing w:after="0" w:line="360" w:lineRule="auto"/>
        <w:jc w:val="both"/>
        <w:rPr>
          <w:rFonts w:ascii="Times New Roman" w:eastAsia="Times New Roman" w:hAnsi="Times New Roman" w:cs="Times New Roman"/>
          <w:color w:val="000000"/>
          <w:sz w:val="20"/>
          <w:szCs w:val="20"/>
          <w:lang w:val="fr-FR"/>
        </w:rPr>
      </w:pPr>
      <w:r w:rsidRPr="00E1165A">
        <w:rPr>
          <w:rFonts w:ascii="Times New Roman" w:eastAsia="Times New Roman" w:hAnsi="Times New Roman" w:cs="Times New Roman"/>
          <w:b/>
          <w:bCs/>
          <w:color w:val="000000"/>
          <w:sz w:val="20"/>
          <w:szCs w:val="20"/>
          <w:lang w:val="fr-FR"/>
        </w:rPr>
        <w:t>Source :</w:t>
      </w:r>
      <w:r w:rsidR="006D388F" w:rsidRPr="00256989">
        <w:rPr>
          <w:rFonts w:ascii="Times New Roman" w:eastAsia="Times New Roman" w:hAnsi="Times New Roman" w:cs="Times New Roman"/>
          <w:color w:val="000000"/>
          <w:sz w:val="20"/>
          <w:szCs w:val="20"/>
          <w:lang w:val="fr-FR"/>
        </w:rPr>
        <w:t xml:space="preserve"> Construit par l’auteur </w:t>
      </w:r>
    </w:p>
    <w:p w14:paraId="25E5E806" w14:textId="77777777" w:rsidR="007E4F9E" w:rsidRPr="00256989" w:rsidRDefault="007E4F9E">
      <w:pPr>
        <w:spacing w:after="0" w:line="360" w:lineRule="auto"/>
        <w:jc w:val="both"/>
        <w:rPr>
          <w:rFonts w:ascii="Times New Roman" w:eastAsia="Times New Roman" w:hAnsi="Times New Roman" w:cs="Times New Roman"/>
          <w:color w:val="000000"/>
          <w:sz w:val="20"/>
          <w:szCs w:val="20"/>
          <w:lang w:val="fr-FR"/>
        </w:rPr>
      </w:pPr>
    </w:p>
    <w:p w14:paraId="1209E42B" w14:textId="7CE1B262" w:rsidR="00685C3E" w:rsidRPr="00256989" w:rsidRDefault="00DC43C0">
      <w:pPr>
        <w:spacing w:after="0"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Les résultats consignés dans le tableau 8 sont les résultats de l’effet de la TVA et sur les composantes des dépenses de la consommation finale des ménages respectivement à long terme.</w:t>
      </w:r>
    </w:p>
    <w:p w14:paraId="4556FEF6" w14:textId="77777777" w:rsidR="005E4276" w:rsidRDefault="006D388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Tableau 8: Résultat à long terme </w:t>
      </w:r>
    </w:p>
    <w:tbl>
      <w:tblPr>
        <w:tblStyle w:val="TableauListe6Couleur"/>
        <w:tblW w:w="9351" w:type="dxa"/>
        <w:tblLayout w:type="fixed"/>
        <w:tblLook w:val="04A0" w:firstRow="1" w:lastRow="0" w:firstColumn="1" w:lastColumn="0" w:noHBand="0" w:noVBand="1"/>
      </w:tblPr>
      <w:tblGrid>
        <w:gridCol w:w="1812"/>
        <w:gridCol w:w="1476"/>
        <w:gridCol w:w="1610"/>
        <w:gridCol w:w="1476"/>
        <w:gridCol w:w="1501"/>
        <w:gridCol w:w="1476"/>
      </w:tblGrid>
      <w:tr w:rsidR="005E4276" w:rsidRPr="000414BC" w14:paraId="4352F186" w14:textId="77777777" w:rsidTr="00666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auto"/>
          </w:tcPr>
          <w:p w14:paraId="357FED3F" w14:textId="77777777" w:rsidR="005E4276" w:rsidRPr="00685C3E" w:rsidRDefault="006D388F">
            <w:pPr>
              <w:spacing w:line="360" w:lineRule="auto"/>
              <w:jc w:val="both"/>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Variable</w:t>
            </w:r>
          </w:p>
        </w:tc>
        <w:tc>
          <w:tcPr>
            <w:tcW w:w="1476" w:type="dxa"/>
            <w:shd w:val="clear" w:color="auto" w:fill="auto"/>
          </w:tcPr>
          <w:p w14:paraId="07BD677A"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Groupe 1</w:t>
            </w:r>
          </w:p>
        </w:tc>
        <w:tc>
          <w:tcPr>
            <w:tcW w:w="1610" w:type="dxa"/>
            <w:shd w:val="clear" w:color="auto" w:fill="auto"/>
          </w:tcPr>
          <w:p w14:paraId="083761C8"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Groupe 2</w:t>
            </w:r>
          </w:p>
        </w:tc>
        <w:tc>
          <w:tcPr>
            <w:tcW w:w="1476" w:type="dxa"/>
            <w:shd w:val="clear" w:color="auto" w:fill="auto"/>
          </w:tcPr>
          <w:p w14:paraId="4FAEDA72"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Groupe 3</w:t>
            </w:r>
          </w:p>
        </w:tc>
        <w:tc>
          <w:tcPr>
            <w:tcW w:w="1501" w:type="dxa"/>
            <w:shd w:val="clear" w:color="auto" w:fill="auto"/>
          </w:tcPr>
          <w:p w14:paraId="01FF2860"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Groupe 4</w:t>
            </w:r>
          </w:p>
        </w:tc>
        <w:tc>
          <w:tcPr>
            <w:tcW w:w="1476" w:type="dxa"/>
            <w:shd w:val="clear" w:color="auto" w:fill="auto"/>
          </w:tcPr>
          <w:p w14:paraId="34BCA000"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Groupe 5</w:t>
            </w:r>
          </w:p>
        </w:tc>
      </w:tr>
      <w:tr w:rsidR="005E4276" w:rsidRPr="000414BC" w14:paraId="122C63EF" w14:textId="77777777" w:rsidTr="0066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24" w:space="0" w:color="auto"/>
            </w:tcBorders>
            <w:shd w:val="clear" w:color="auto" w:fill="auto"/>
          </w:tcPr>
          <w:p w14:paraId="60088422" w14:textId="77777777" w:rsidR="005E4276" w:rsidRPr="00685C3E" w:rsidRDefault="006D388F">
            <w:pPr>
              <w:spacing w:line="360" w:lineRule="auto"/>
              <w:jc w:val="both"/>
              <w:rPr>
                <w:rFonts w:ascii="Times New Roman" w:eastAsia="Times New Roman" w:hAnsi="Times New Roman" w:cs="Times New Roman"/>
                <w:b w:val="0"/>
                <w:bCs w:val="0"/>
                <w:lang w:val="fr-FR"/>
              </w:rPr>
            </w:pPr>
            <w:r w:rsidRPr="00685C3E">
              <w:rPr>
                <w:rFonts w:ascii="Times New Roman" w:eastAsia="Times New Roman" w:hAnsi="Times New Roman" w:cs="Times New Roman"/>
                <w:b w:val="0"/>
                <w:bCs w:val="0"/>
                <w:lang w:val="fr-FR"/>
              </w:rPr>
              <w:t>Taux effectif de la TVA</w:t>
            </w:r>
          </w:p>
        </w:tc>
        <w:tc>
          <w:tcPr>
            <w:tcW w:w="1476" w:type="dxa"/>
            <w:tcBorders>
              <w:top w:val="single" w:sz="24" w:space="0" w:color="auto"/>
            </w:tcBorders>
            <w:shd w:val="clear" w:color="auto" w:fill="auto"/>
          </w:tcPr>
          <w:p w14:paraId="0F706ADA" w14:textId="014FB8EC" w:rsidR="00BB2122" w:rsidRPr="00685C3E" w:rsidRDefault="006941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0,03</w:t>
            </w:r>
            <w:r w:rsidR="00736376" w:rsidRPr="00685C3E">
              <w:rPr>
                <w:rFonts w:ascii="Times New Roman" w:eastAsia="Times New Roman" w:hAnsi="Times New Roman" w:cs="Times New Roman"/>
              </w:rPr>
              <w:t>9309</w:t>
            </w:r>
            <w:r w:rsidRPr="00685C3E">
              <w:rPr>
                <w:rFonts w:ascii="Times New Roman" w:eastAsia="Times New Roman" w:hAnsi="Times New Roman" w:cs="Times New Roman"/>
                <w:vertAlign w:val="superscript"/>
              </w:rPr>
              <w:t>**</w:t>
            </w:r>
          </w:p>
          <w:p w14:paraId="4A8B4ABA" w14:textId="59DB424C" w:rsidR="00694134" w:rsidRPr="00685C3E" w:rsidRDefault="006941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w:t>
            </w:r>
            <w:r w:rsidR="00736376" w:rsidRPr="00685C3E">
              <w:rPr>
                <w:rFonts w:ascii="Times New Roman" w:eastAsia="Times New Roman" w:hAnsi="Times New Roman" w:cs="Times New Roman"/>
              </w:rPr>
              <w:t>004741</w:t>
            </w:r>
            <w:r w:rsidRPr="00685C3E">
              <w:rPr>
                <w:rFonts w:ascii="Times New Roman" w:eastAsia="Times New Roman" w:hAnsi="Times New Roman" w:cs="Times New Roman"/>
              </w:rPr>
              <w:t>)</w:t>
            </w:r>
          </w:p>
        </w:tc>
        <w:tc>
          <w:tcPr>
            <w:tcW w:w="1610" w:type="dxa"/>
            <w:tcBorders>
              <w:top w:val="single" w:sz="24" w:space="0" w:color="auto"/>
            </w:tcBorders>
            <w:shd w:val="clear" w:color="auto" w:fill="auto"/>
          </w:tcPr>
          <w:p w14:paraId="2A0E3D7D" w14:textId="77777777" w:rsidR="005E4276" w:rsidRPr="00685C3E" w:rsidRDefault="004A08C6" w:rsidP="003625C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-0,056660</w:t>
            </w:r>
          </w:p>
          <w:p w14:paraId="165468B8" w14:textId="315A7B2D" w:rsidR="004A08C6" w:rsidRPr="00685C3E" w:rsidRDefault="004A08C6" w:rsidP="003625C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(0,104537)</w:t>
            </w:r>
          </w:p>
        </w:tc>
        <w:tc>
          <w:tcPr>
            <w:tcW w:w="1476" w:type="dxa"/>
            <w:tcBorders>
              <w:top w:val="single" w:sz="24" w:space="0" w:color="auto"/>
            </w:tcBorders>
            <w:shd w:val="clear" w:color="auto" w:fill="auto"/>
          </w:tcPr>
          <w:p w14:paraId="295B4139" w14:textId="77777777" w:rsidR="001B7245"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-0,013024</w:t>
            </w:r>
          </w:p>
          <w:p w14:paraId="636E79FF" w14:textId="2CE1E1B4" w:rsidR="005E4276"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(0,019698)</w:t>
            </w:r>
          </w:p>
        </w:tc>
        <w:tc>
          <w:tcPr>
            <w:tcW w:w="1501" w:type="dxa"/>
            <w:tcBorders>
              <w:top w:val="single" w:sz="24" w:space="0" w:color="auto"/>
            </w:tcBorders>
            <w:shd w:val="clear" w:color="auto" w:fill="auto"/>
          </w:tcPr>
          <w:p w14:paraId="66D7BFCB" w14:textId="6F8128A7" w:rsidR="008048DE" w:rsidRPr="00685C3E" w:rsidRDefault="008048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-0,226186</w:t>
            </w:r>
            <w:r w:rsidRPr="00685C3E">
              <w:rPr>
                <w:rFonts w:ascii="Times New Roman" w:eastAsia="Times New Roman" w:hAnsi="Times New Roman" w:cs="Times New Roman"/>
                <w:vertAlign w:val="superscript"/>
              </w:rPr>
              <w:t>**</w:t>
            </w:r>
          </w:p>
          <w:p w14:paraId="7990E5D1" w14:textId="54DBF435" w:rsidR="008048DE" w:rsidRPr="00685C3E" w:rsidRDefault="008048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(0,064990)</w:t>
            </w:r>
          </w:p>
        </w:tc>
        <w:tc>
          <w:tcPr>
            <w:tcW w:w="1476" w:type="dxa"/>
            <w:tcBorders>
              <w:top w:val="single" w:sz="24" w:space="0" w:color="auto"/>
            </w:tcBorders>
            <w:shd w:val="clear" w:color="auto" w:fill="auto"/>
          </w:tcPr>
          <w:p w14:paraId="684E6308" w14:textId="77777777" w:rsidR="005430E4" w:rsidRPr="00685C3E" w:rsidRDefault="00D879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0,009690</w:t>
            </w:r>
          </w:p>
          <w:p w14:paraId="53662F2B" w14:textId="53C4DE8B" w:rsidR="00D879C7" w:rsidRPr="00685C3E" w:rsidRDefault="00D879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(0,017910)</w:t>
            </w:r>
          </w:p>
        </w:tc>
      </w:tr>
      <w:tr w:rsidR="005E4276" w:rsidRPr="000414BC" w14:paraId="21982C19" w14:textId="77777777" w:rsidTr="0066651A">
        <w:tc>
          <w:tcPr>
            <w:cnfStyle w:val="001000000000" w:firstRow="0" w:lastRow="0" w:firstColumn="1" w:lastColumn="0" w:oddVBand="0" w:evenVBand="0" w:oddHBand="0" w:evenHBand="0" w:firstRowFirstColumn="0" w:firstRowLastColumn="0" w:lastRowFirstColumn="0" w:lastRowLastColumn="0"/>
            <w:tcW w:w="1812" w:type="dxa"/>
            <w:shd w:val="clear" w:color="auto" w:fill="auto"/>
          </w:tcPr>
          <w:p w14:paraId="4C027D19" w14:textId="77777777" w:rsidR="005E4276" w:rsidRPr="00685C3E" w:rsidRDefault="006D388F">
            <w:pPr>
              <w:spacing w:line="360" w:lineRule="auto"/>
              <w:jc w:val="both"/>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Inflation</w:t>
            </w:r>
          </w:p>
        </w:tc>
        <w:tc>
          <w:tcPr>
            <w:tcW w:w="1476" w:type="dxa"/>
            <w:shd w:val="clear" w:color="auto" w:fill="auto"/>
          </w:tcPr>
          <w:p w14:paraId="72F1C56A" w14:textId="2E92DD5F" w:rsidR="005A5EC7" w:rsidRPr="00685C3E" w:rsidRDefault="006941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0,00</w:t>
            </w:r>
            <w:r w:rsidR="00736376" w:rsidRPr="00685C3E">
              <w:rPr>
                <w:rFonts w:ascii="Times New Roman" w:eastAsia="Times New Roman" w:hAnsi="Times New Roman" w:cs="Times New Roman"/>
              </w:rPr>
              <w:t>6013</w:t>
            </w:r>
            <w:r w:rsidRPr="00685C3E">
              <w:rPr>
                <w:rFonts w:ascii="Times New Roman" w:eastAsia="Times New Roman" w:hAnsi="Times New Roman" w:cs="Times New Roman"/>
                <w:vertAlign w:val="superscript"/>
              </w:rPr>
              <w:t>**</w:t>
            </w:r>
          </w:p>
          <w:p w14:paraId="2EDC22B5" w14:textId="1DECBF5B" w:rsidR="00694134" w:rsidRPr="00685C3E" w:rsidRDefault="006941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w:t>
            </w:r>
            <w:r w:rsidR="00736376" w:rsidRPr="00685C3E">
              <w:rPr>
                <w:rFonts w:ascii="Times New Roman" w:eastAsia="Times New Roman" w:hAnsi="Times New Roman" w:cs="Times New Roman"/>
              </w:rPr>
              <w:t>1032</w:t>
            </w:r>
            <w:r w:rsidRPr="00685C3E">
              <w:rPr>
                <w:rFonts w:ascii="Times New Roman" w:eastAsia="Times New Roman" w:hAnsi="Times New Roman" w:cs="Times New Roman"/>
              </w:rPr>
              <w:t>)</w:t>
            </w:r>
          </w:p>
        </w:tc>
        <w:tc>
          <w:tcPr>
            <w:tcW w:w="1610" w:type="dxa"/>
            <w:shd w:val="clear" w:color="auto" w:fill="auto"/>
          </w:tcPr>
          <w:p w14:paraId="21B62B43" w14:textId="77777777" w:rsidR="003625C3" w:rsidRPr="00685C3E" w:rsidRDefault="004A08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0,017839</w:t>
            </w:r>
          </w:p>
          <w:p w14:paraId="152B246C" w14:textId="6A0CAC9C" w:rsidR="004A08C6" w:rsidRPr="00685C3E" w:rsidRDefault="004A08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(0,011109)</w:t>
            </w:r>
          </w:p>
        </w:tc>
        <w:tc>
          <w:tcPr>
            <w:tcW w:w="1476" w:type="dxa"/>
            <w:shd w:val="clear" w:color="auto" w:fill="auto"/>
          </w:tcPr>
          <w:p w14:paraId="563F323F" w14:textId="77777777" w:rsidR="001B7245"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0,027555</w:t>
            </w:r>
            <w:r w:rsidRPr="00685C3E">
              <w:rPr>
                <w:rFonts w:ascii="Times New Roman" w:eastAsia="Times New Roman" w:hAnsi="Times New Roman" w:cs="Times New Roman"/>
                <w:vertAlign w:val="superscript"/>
              </w:rPr>
              <w:t>**</w:t>
            </w:r>
          </w:p>
          <w:p w14:paraId="1132A67A" w14:textId="51777639" w:rsidR="005E4276"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(0,011043)</w:t>
            </w:r>
          </w:p>
        </w:tc>
        <w:tc>
          <w:tcPr>
            <w:tcW w:w="1501" w:type="dxa"/>
            <w:shd w:val="clear" w:color="auto" w:fill="auto"/>
          </w:tcPr>
          <w:p w14:paraId="5D4F710A" w14:textId="09AF6A38" w:rsidR="003E7280" w:rsidRPr="00685C3E" w:rsidRDefault="008048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-0,025676</w:t>
            </w:r>
            <w:r w:rsidRPr="00685C3E">
              <w:rPr>
                <w:rFonts w:ascii="Times New Roman" w:eastAsia="Times New Roman" w:hAnsi="Times New Roman" w:cs="Times New Roman"/>
                <w:vertAlign w:val="superscript"/>
              </w:rPr>
              <w:t>**</w:t>
            </w:r>
          </w:p>
          <w:p w14:paraId="4D1DD2FF" w14:textId="63A9A7B6" w:rsidR="008048DE" w:rsidRPr="00685C3E" w:rsidRDefault="008048D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(0,007127)</w:t>
            </w:r>
          </w:p>
        </w:tc>
        <w:tc>
          <w:tcPr>
            <w:tcW w:w="1476" w:type="dxa"/>
            <w:shd w:val="clear" w:color="auto" w:fill="auto"/>
          </w:tcPr>
          <w:p w14:paraId="1121CB56" w14:textId="0C262D78" w:rsidR="005430E4" w:rsidRPr="00685C3E" w:rsidRDefault="00D879C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-0,004757</w:t>
            </w:r>
            <w:r w:rsidRPr="00685C3E">
              <w:rPr>
                <w:rFonts w:ascii="Times New Roman" w:eastAsia="Times New Roman" w:hAnsi="Times New Roman" w:cs="Times New Roman"/>
                <w:vertAlign w:val="superscript"/>
              </w:rPr>
              <w:t>**</w:t>
            </w:r>
          </w:p>
          <w:p w14:paraId="523A4C91" w14:textId="1891E9AC" w:rsidR="00D879C7" w:rsidRPr="00685C3E" w:rsidRDefault="00D879C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(0,004757)</w:t>
            </w:r>
          </w:p>
        </w:tc>
      </w:tr>
      <w:tr w:rsidR="005E4276" w:rsidRPr="000414BC" w14:paraId="5B29D03D" w14:textId="77777777" w:rsidTr="0066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auto"/>
          </w:tcPr>
          <w:p w14:paraId="65E07141" w14:textId="77777777" w:rsidR="005E4276" w:rsidRPr="00685C3E" w:rsidRDefault="006D388F">
            <w:pPr>
              <w:spacing w:line="360" w:lineRule="auto"/>
              <w:jc w:val="both"/>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Taux d’intérêt</w:t>
            </w:r>
          </w:p>
        </w:tc>
        <w:tc>
          <w:tcPr>
            <w:tcW w:w="1476" w:type="dxa"/>
            <w:shd w:val="clear" w:color="auto" w:fill="auto"/>
          </w:tcPr>
          <w:p w14:paraId="747A8CA8" w14:textId="67A09A3B" w:rsidR="007B0D24" w:rsidRPr="00685C3E" w:rsidRDefault="006941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-0,002</w:t>
            </w:r>
            <w:r w:rsidR="00736376" w:rsidRPr="00685C3E">
              <w:rPr>
                <w:rFonts w:ascii="Times New Roman" w:eastAsia="Times New Roman" w:hAnsi="Times New Roman" w:cs="Times New Roman"/>
              </w:rPr>
              <w:t>617</w:t>
            </w:r>
            <w:r w:rsidRPr="00685C3E">
              <w:rPr>
                <w:rFonts w:ascii="Times New Roman" w:eastAsia="Times New Roman" w:hAnsi="Times New Roman" w:cs="Times New Roman"/>
                <w:vertAlign w:val="superscript"/>
              </w:rPr>
              <w:t>*</w:t>
            </w:r>
            <w:r w:rsidR="00736376" w:rsidRPr="00685C3E">
              <w:rPr>
                <w:rFonts w:ascii="Times New Roman" w:eastAsia="Times New Roman" w:hAnsi="Times New Roman" w:cs="Times New Roman"/>
                <w:vertAlign w:val="superscript"/>
              </w:rPr>
              <w:t>*</w:t>
            </w:r>
          </w:p>
          <w:p w14:paraId="4E42D237" w14:textId="3863CC47" w:rsidR="00694134" w:rsidRPr="00685C3E" w:rsidRDefault="006941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w:t>
            </w:r>
            <w:r w:rsidR="00736376" w:rsidRPr="00685C3E">
              <w:rPr>
                <w:rFonts w:ascii="Times New Roman" w:eastAsia="Times New Roman" w:hAnsi="Times New Roman" w:cs="Times New Roman"/>
              </w:rPr>
              <w:t>00889</w:t>
            </w:r>
            <w:r w:rsidRPr="00685C3E">
              <w:rPr>
                <w:rFonts w:ascii="Times New Roman" w:eastAsia="Times New Roman" w:hAnsi="Times New Roman" w:cs="Times New Roman"/>
              </w:rPr>
              <w:t>)</w:t>
            </w:r>
          </w:p>
        </w:tc>
        <w:tc>
          <w:tcPr>
            <w:tcW w:w="1610" w:type="dxa"/>
            <w:shd w:val="clear" w:color="auto" w:fill="auto"/>
          </w:tcPr>
          <w:p w14:paraId="560814F6" w14:textId="21BB73BB" w:rsidR="003625C3" w:rsidRPr="00685C3E" w:rsidRDefault="004A08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-0,059959</w:t>
            </w:r>
            <w:r w:rsidRPr="00685C3E">
              <w:rPr>
                <w:rFonts w:ascii="Times New Roman" w:eastAsia="Times New Roman" w:hAnsi="Times New Roman" w:cs="Times New Roman"/>
                <w:vertAlign w:val="superscript"/>
              </w:rPr>
              <w:t>**</w:t>
            </w:r>
          </w:p>
          <w:p w14:paraId="090B439A" w14:textId="4DC1375C" w:rsidR="004A08C6" w:rsidRPr="00685C3E" w:rsidRDefault="004A08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(0,017571)</w:t>
            </w:r>
          </w:p>
        </w:tc>
        <w:tc>
          <w:tcPr>
            <w:tcW w:w="1476" w:type="dxa"/>
            <w:shd w:val="clear" w:color="auto" w:fill="auto"/>
          </w:tcPr>
          <w:p w14:paraId="205F7389" w14:textId="77777777" w:rsidR="001B7245"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-0,006959</w:t>
            </w:r>
            <w:r w:rsidRPr="00685C3E">
              <w:rPr>
                <w:rFonts w:ascii="Times New Roman" w:eastAsia="Times New Roman" w:hAnsi="Times New Roman" w:cs="Times New Roman"/>
                <w:vertAlign w:val="superscript"/>
              </w:rPr>
              <w:t>**</w:t>
            </w:r>
          </w:p>
          <w:p w14:paraId="2F1459FA" w14:textId="08E019E4" w:rsidR="005E4276"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(0,002557)</w:t>
            </w:r>
          </w:p>
        </w:tc>
        <w:tc>
          <w:tcPr>
            <w:tcW w:w="1501" w:type="dxa"/>
            <w:shd w:val="clear" w:color="auto" w:fill="auto"/>
          </w:tcPr>
          <w:p w14:paraId="3ECA4509" w14:textId="77777777" w:rsidR="003E7280" w:rsidRPr="00685C3E" w:rsidRDefault="008048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0,017670</w:t>
            </w:r>
          </w:p>
          <w:p w14:paraId="53A687FC" w14:textId="2EA7E8C8" w:rsidR="008048DE" w:rsidRPr="00685C3E" w:rsidRDefault="008048D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(0,017657)</w:t>
            </w:r>
          </w:p>
        </w:tc>
        <w:tc>
          <w:tcPr>
            <w:tcW w:w="1476" w:type="dxa"/>
            <w:shd w:val="clear" w:color="auto" w:fill="auto"/>
          </w:tcPr>
          <w:p w14:paraId="5712DBDD" w14:textId="7E238286" w:rsidR="005430E4" w:rsidRPr="00685C3E" w:rsidRDefault="00D879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0,006226</w:t>
            </w:r>
            <w:r w:rsidRPr="00685C3E">
              <w:rPr>
                <w:rFonts w:ascii="Times New Roman" w:eastAsia="Times New Roman" w:hAnsi="Times New Roman" w:cs="Times New Roman"/>
                <w:vertAlign w:val="superscript"/>
              </w:rPr>
              <w:t>**</w:t>
            </w:r>
          </w:p>
          <w:p w14:paraId="5AD291A2" w14:textId="77947ECD" w:rsidR="00D879C7" w:rsidRPr="00685C3E" w:rsidRDefault="00D879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(0,001460)</w:t>
            </w:r>
          </w:p>
        </w:tc>
      </w:tr>
      <w:tr w:rsidR="00ED1942" w:rsidRPr="000414BC" w14:paraId="0E605194" w14:textId="77777777" w:rsidTr="0066651A">
        <w:tc>
          <w:tcPr>
            <w:cnfStyle w:val="001000000000" w:firstRow="0" w:lastRow="0" w:firstColumn="1" w:lastColumn="0" w:oddVBand="0" w:evenVBand="0" w:oddHBand="0" w:evenHBand="0" w:firstRowFirstColumn="0" w:firstRowLastColumn="0" w:lastRowFirstColumn="0" w:lastRowLastColumn="0"/>
            <w:tcW w:w="1812" w:type="dxa"/>
            <w:shd w:val="clear" w:color="auto" w:fill="auto"/>
          </w:tcPr>
          <w:p w14:paraId="0AD2A759" w14:textId="5EACACF5" w:rsidR="00ED1942" w:rsidRPr="00685C3E" w:rsidRDefault="00ED1942">
            <w:pPr>
              <w:spacing w:line="360" w:lineRule="auto"/>
              <w:jc w:val="both"/>
              <w:rPr>
                <w:rFonts w:ascii="Times New Roman" w:eastAsia="Times New Roman" w:hAnsi="Times New Roman" w:cs="Times New Roman"/>
                <w:b w:val="0"/>
                <w:bCs w:val="0"/>
              </w:rPr>
            </w:pPr>
            <w:r w:rsidRPr="00685C3E">
              <w:rPr>
                <w:rFonts w:ascii="Times New Roman" w:eastAsia="Times New Roman" w:hAnsi="Times New Roman" w:cs="Times New Roman"/>
                <w:b w:val="0"/>
                <w:bCs w:val="0"/>
              </w:rPr>
              <w:t>Taux de chômage</w:t>
            </w:r>
          </w:p>
        </w:tc>
        <w:tc>
          <w:tcPr>
            <w:tcW w:w="1476" w:type="dxa"/>
            <w:shd w:val="clear" w:color="auto" w:fill="auto"/>
          </w:tcPr>
          <w:p w14:paraId="0C7C1F9C" w14:textId="4785E030" w:rsidR="00ED1942" w:rsidRPr="00685C3E" w:rsidRDefault="006941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w:t>
            </w:r>
            <w:r w:rsidR="00736376" w:rsidRPr="00685C3E">
              <w:rPr>
                <w:rFonts w:ascii="Times New Roman" w:eastAsia="Times New Roman" w:hAnsi="Times New Roman" w:cs="Times New Roman"/>
              </w:rPr>
              <w:t>73995</w:t>
            </w:r>
            <w:r w:rsidR="00217F78" w:rsidRPr="00685C3E">
              <w:rPr>
                <w:rFonts w:ascii="Times New Roman" w:eastAsia="Times New Roman" w:hAnsi="Times New Roman" w:cs="Times New Roman"/>
                <w:vertAlign w:val="superscript"/>
              </w:rPr>
              <w:t>**</w:t>
            </w:r>
          </w:p>
          <w:p w14:paraId="4E6AC597" w14:textId="27A9F501" w:rsidR="00694134" w:rsidRPr="00685C3E" w:rsidRDefault="006941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w:t>
            </w:r>
            <w:r w:rsidR="00217F78" w:rsidRPr="00685C3E">
              <w:rPr>
                <w:rFonts w:ascii="Times New Roman" w:eastAsia="Times New Roman" w:hAnsi="Times New Roman" w:cs="Times New Roman"/>
              </w:rPr>
              <w:t>01</w:t>
            </w:r>
            <w:r w:rsidR="00736376" w:rsidRPr="00685C3E">
              <w:rPr>
                <w:rFonts w:ascii="Times New Roman" w:eastAsia="Times New Roman" w:hAnsi="Times New Roman" w:cs="Times New Roman"/>
              </w:rPr>
              <w:t>5589</w:t>
            </w:r>
            <w:r w:rsidR="00217F78" w:rsidRPr="00685C3E">
              <w:rPr>
                <w:rFonts w:ascii="Times New Roman" w:eastAsia="Times New Roman" w:hAnsi="Times New Roman" w:cs="Times New Roman"/>
              </w:rPr>
              <w:t>)</w:t>
            </w:r>
          </w:p>
        </w:tc>
        <w:tc>
          <w:tcPr>
            <w:tcW w:w="1610" w:type="dxa"/>
            <w:shd w:val="clear" w:color="auto" w:fill="auto"/>
          </w:tcPr>
          <w:p w14:paraId="2F30E156" w14:textId="77777777" w:rsidR="00ED1942" w:rsidRPr="00685C3E" w:rsidRDefault="004A08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0,025385</w:t>
            </w:r>
          </w:p>
          <w:p w14:paraId="712B1DE6" w14:textId="70BC0218" w:rsidR="004A08C6" w:rsidRPr="00685C3E" w:rsidRDefault="004A08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(0,125970)</w:t>
            </w:r>
          </w:p>
        </w:tc>
        <w:tc>
          <w:tcPr>
            <w:tcW w:w="1476" w:type="dxa"/>
            <w:shd w:val="clear" w:color="auto" w:fill="auto"/>
          </w:tcPr>
          <w:p w14:paraId="47D65C79" w14:textId="77777777" w:rsidR="001B7245"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-0,508789</w:t>
            </w:r>
            <w:r w:rsidRPr="00685C3E">
              <w:rPr>
                <w:rFonts w:ascii="Times New Roman" w:eastAsia="Times New Roman" w:hAnsi="Times New Roman" w:cs="Times New Roman"/>
                <w:vertAlign w:val="superscript"/>
              </w:rPr>
              <w:t>**</w:t>
            </w:r>
          </w:p>
          <w:p w14:paraId="1E26FDEA" w14:textId="05A678E2" w:rsidR="00ED1942" w:rsidRPr="00685C3E" w:rsidRDefault="001B7245" w:rsidP="001B724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(0,165614)</w:t>
            </w:r>
          </w:p>
        </w:tc>
        <w:tc>
          <w:tcPr>
            <w:tcW w:w="1501" w:type="dxa"/>
            <w:shd w:val="clear" w:color="auto" w:fill="auto"/>
          </w:tcPr>
          <w:p w14:paraId="20C25FE4" w14:textId="51A7327C" w:rsidR="003E7280" w:rsidRPr="00685C3E" w:rsidRDefault="008048DE" w:rsidP="00BF7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1,323360</w:t>
            </w:r>
            <w:r w:rsidRPr="00685C3E">
              <w:rPr>
                <w:rFonts w:ascii="Times New Roman" w:eastAsia="Times New Roman" w:hAnsi="Times New Roman" w:cs="Times New Roman"/>
                <w:vertAlign w:val="superscript"/>
              </w:rPr>
              <w:t>**</w:t>
            </w:r>
          </w:p>
          <w:p w14:paraId="58E7A923" w14:textId="0DF62BD2" w:rsidR="008048DE" w:rsidRPr="00685C3E" w:rsidRDefault="008048DE" w:rsidP="00BF7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(0,236536)</w:t>
            </w:r>
          </w:p>
        </w:tc>
        <w:tc>
          <w:tcPr>
            <w:tcW w:w="1476" w:type="dxa"/>
            <w:shd w:val="clear" w:color="auto" w:fill="auto"/>
          </w:tcPr>
          <w:p w14:paraId="277FD4D4" w14:textId="201BD547" w:rsidR="00ED1942" w:rsidRPr="00685C3E" w:rsidRDefault="00D879C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0,030765</w:t>
            </w:r>
            <w:r w:rsidRPr="00685C3E">
              <w:rPr>
                <w:rFonts w:ascii="Times New Roman" w:eastAsia="Times New Roman" w:hAnsi="Times New Roman" w:cs="Times New Roman"/>
                <w:vertAlign w:val="superscript"/>
              </w:rPr>
              <w:t>**</w:t>
            </w:r>
          </w:p>
          <w:p w14:paraId="4A508738" w14:textId="2891FB54" w:rsidR="00D879C7" w:rsidRPr="00685C3E" w:rsidRDefault="00D879C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(0,008794)</w:t>
            </w:r>
          </w:p>
        </w:tc>
      </w:tr>
      <w:tr w:rsidR="005E4276" w:rsidRPr="000414BC" w14:paraId="4F006718" w14:textId="77777777" w:rsidTr="0066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single" w:sz="24" w:space="0" w:color="auto"/>
            </w:tcBorders>
            <w:shd w:val="clear" w:color="auto" w:fill="auto"/>
          </w:tcPr>
          <w:p w14:paraId="78072531" w14:textId="77777777" w:rsidR="005E4276" w:rsidRDefault="006D388F">
            <w:pPr>
              <w:spacing w:line="360" w:lineRule="auto"/>
              <w:jc w:val="both"/>
              <w:rPr>
                <w:rFonts w:ascii="Times New Roman" w:eastAsia="Times New Roman" w:hAnsi="Times New Roman" w:cs="Times New Roman"/>
              </w:rPr>
            </w:pPr>
            <w:r w:rsidRPr="00685C3E">
              <w:rPr>
                <w:rFonts w:ascii="Times New Roman" w:eastAsia="Times New Roman" w:hAnsi="Times New Roman" w:cs="Times New Roman"/>
                <w:b w:val="0"/>
                <w:bCs w:val="0"/>
              </w:rPr>
              <w:t>C</w:t>
            </w:r>
          </w:p>
          <w:p w14:paraId="6E268C93" w14:textId="77777777" w:rsidR="00685C3E" w:rsidRPr="00685C3E" w:rsidRDefault="00685C3E">
            <w:pPr>
              <w:spacing w:line="360" w:lineRule="auto"/>
              <w:jc w:val="both"/>
              <w:rPr>
                <w:rFonts w:ascii="Times New Roman" w:eastAsia="Times New Roman" w:hAnsi="Times New Roman" w:cs="Times New Roman"/>
                <w:b w:val="0"/>
                <w:bCs w:val="0"/>
                <w:sz w:val="20"/>
                <w:szCs w:val="20"/>
              </w:rPr>
            </w:pPr>
          </w:p>
        </w:tc>
        <w:tc>
          <w:tcPr>
            <w:tcW w:w="1476" w:type="dxa"/>
            <w:tcBorders>
              <w:bottom w:val="single" w:sz="24" w:space="0" w:color="auto"/>
            </w:tcBorders>
            <w:shd w:val="clear" w:color="auto" w:fill="auto"/>
          </w:tcPr>
          <w:p w14:paraId="1568835E" w14:textId="6A9105A0" w:rsidR="007B0D24" w:rsidRPr="00685C3E" w:rsidRDefault="00217F7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4,0</w:t>
            </w:r>
            <w:r w:rsidR="00736376" w:rsidRPr="00685C3E">
              <w:rPr>
                <w:rFonts w:ascii="Times New Roman" w:eastAsia="Times New Roman" w:hAnsi="Times New Roman" w:cs="Times New Roman"/>
              </w:rPr>
              <w:t>27607</w:t>
            </w:r>
            <w:r w:rsidRPr="00685C3E">
              <w:rPr>
                <w:rFonts w:ascii="Times New Roman" w:eastAsia="Times New Roman" w:hAnsi="Times New Roman" w:cs="Times New Roman"/>
                <w:vertAlign w:val="superscript"/>
              </w:rPr>
              <w:t>***</w:t>
            </w:r>
          </w:p>
          <w:p w14:paraId="0BB62F08" w14:textId="32C8A4CC" w:rsidR="00217F78" w:rsidRPr="00685C3E" w:rsidRDefault="00217F7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w:t>
            </w:r>
            <w:r w:rsidR="00736376" w:rsidRPr="00685C3E">
              <w:rPr>
                <w:rFonts w:ascii="Times New Roman" w:eastAsia="Times New Roman" w:hAnsi="Times New Roman" w:cs="Times New Roman"/>
              </w:rPr>
              <w:t>56043</w:t>
            </w:r>
            <w:r w:rsidRPr="00685C3E">
              <w:rPr>
                <w:rFonts w:ascii="Times New Roman" w:eastAsia="Times New Roman" w:hAnsi="Times New Roman" w:cs="Times New Roman"/>
              </w:rPr>
              <w:t>)</w:t>
            </w:r>
          </w:p>
        </w:tc>
        <w:tc>
          <w:tcPr>
            <w:tcW w:w="1610" w:type="dxa"/>
            <w:tcBorders>
              <w:bottom w:val="single" w:sz="24" w:space="0" w:color="auto"/>
            </w:tcBorders>
            <w:shd w:val="clear" w:color="auto" w:fill="auto"/>
          </w:tcPr>
          <w:p w14:paraId="74A13CC0" w14:textId="5B596453" w:rsidR="005E4276" w:rsidRPr="00685C3E" w:rsidRDefault="004A08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1,350021</w:t>
            </w:r>
            <w:r w:rsidR="00D879C7" w:rsidRPr="00685C3E">
              <w:rPr>
                <w:rFonts w:ascii="Times New Roman" w:eastAsia="Times New Roman" w:hAnsi="Times New Roman" w:cs="Times New Roman"/>
                <w:vertAlign w:val="superscript"/>
              </w:rPr>
              <w:t>**</w:t>
            </w:r>
          </w:p>
          <w:p w14:paraId="4146AA94" w14:textId="023AACD8" w:rsidR="004A08C6" w:rsidRPr="00685C3E" w:rsidRDefault="004A08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(0,48</w:t>
            </w:r>
            <w:r w:rsidR="00D879C7" w:rsidRPr="00685C3E">
              <w:rPr>
                <w:rFonts w:ascii="Times New Roman" w:eastAsia="Times New Roman" w:hAnsi="Times New Roman" w:cs="Times New Roman"/>
              </w:rPr>
              <w:t>4596)</w:t>
            </w:r>
          </w:p>
        </w:tc>
        <w:tc>
          <w:tcPr>
            <w:tcW w:w="1476" w:type="dxa"/>
            <w:tcBorders>
              <w:bottom w:val="single" w:sz="24" w:space="0" w:color="auto"/>
            </w:tcBorders>
            <w:shd w:val="clear" w:color="auto" w:fill="auto"/>
          </w:tcPr>
          <w:p w14:paraId="3C571F3B" w14:textId="77777777" w:rsidR="001B7245"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4,672121</w:t>
            </w:r>
            <w:r w:rsidRPr="00685C3E">
              <w:rPr>
                <w:rFonts w:ascii="Times New Roman" w:eastAsia="Times New Roman" w:hAnsi="Times New Roman" w:cs="Times New Roman"/>
                <w:vertAlign w:val="superscript"/>
              </w:rPr>
              <w:t>**</w:t>
            </w:r>
          </w:p>
          <w:p w14:paraId="7555F77E" w14:textId="77777777" w:rsidR="001B7245" w:rsidRPr="00685C3E" w:rsidRDefault="001B7245"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(0,810177)</w:t>
            </w:r>
          </w:p>
          <w:p w14:paraId="6B0D7AAD" w14:textId="2DC89133" w:rsidR="005E4276" w:rsidRPr="00685C3E" w:rsidRDefault="005E4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501" w:type="dxa"/>
            <w:tcBorders>
              <w:bottom w:val="single" w:sz="24" w:space="0" w:color="auto"/>
            </w:tcBorders>
            <w:shd w:val="clear" w:color="auto" w:fill="auto"/>
          </w:tcPr>
          <w:p w14:paraId="1BE9136A" w14:textId="13D52943" w:rsidR="005E4276" w:rsidRPr="00685C3E" w:rsidRDefault="008048DE"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-3,733525</w:t>
            </w:r>
            <w:r w:rsidRPr="00685C3E">
              <w:rPr>
                <w:rFonts w:ascii="Times New Roman" w:eastAsia="Times New Roman" w:hAnsi="Times New Roman" w:cs="Times New Roman"/>
                <w:vertAlign w:val="superscript"/>
              </w:rPr>
              <w:t>**</w:t>
            </w:r>
          </w:p>
          <w:p w14:paraId="4649C492" w14:textId="0092F865" w:rsidR="008048DE" w:rsidRPr="00685C3E" w:rsidRDefault="008048DE" w:rsidP="001B724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(1,204991)</w:t>
            </w:r>
          </w:p>
        </w:tc>
        <w:tc>
          <w:tcPr>
            <w:tcW w:w="1476" w:type="dxa"/>
            <w:tcBorders>
              <w:bottom w:val="single" w:sz="24" w:space="0" w:color="auto"/>
            </w:tcBorders>
            <w:shd w:val="clear" w:color="auto" w:fill="auto"/>
          </w:tcPr>
          <w:p w14:paraId="238EF0C2" w14:textId="522F79C7" w:rsidR="00231C62" w:rsidRPr="00685C3E" w:rsidRDefault="00D879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rPr>
            </w:pPr>
            <w:r w:rsidRPr="00685C3E">
              <w:rPr>
                <w:rFonts w:ascii="Times New Roman" w:eastAsia="Times New Roman" w:hAnsi="Times New Roman" w:cs="Times New Roman"/>
              </w:rPr>
              <w:t>2,538007</w:t>
            </w:r>
            <w:r w:rsidRPr="00685C3E">
              <w:rPr>
                <w:rFonts w:ascii="Times New Roman" w:eastAsia="Times New Roman" w:hAnsi="Times New Roman" w:cs="Times New Roman"/>
                <w:vertAlign w:val="superscript"/>
              </w:rPr>
              <w:t>***</w:t>
            </w:r>
          </w:p>
          <w:p w14:paraId="7F5A872B" w14:textId="73FB6E61" w:rsidR="00D879C7" w:rsidRPr="00685C3E" w:rsidRDefault="00D879C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685C3E">
              <w:rPr>
                <w:rFonts w:ascii="Times New Roman" w:eastAsia="Times New Roman" w:hAnsi="Times New Roman" w:cs="Times New Roman"/>
              </w:rPr>
              <w:t>(0,0613159)</w:t>
            </w:r>
          </w:p>
        </w:tc>
      </w:tr>
    </w:tbl>
    <w:p w14:paraId="5D7FE1E7" w14:textId="156CEE2C" w:rsidR="005E4276" w:rsidRPr="00256989" w:rsidRDefault="00E1165A">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 xml:space="preserve">NB </w:t>
      </w:r>
      <w:r w:rsidRPr="00256989">
        <w:rPr>
          <w:rFonts w:ascii="Times New Roman" w:eastAsia="Times New Roman" w:hAnsi="Times New Roman" w:cs="Times New Roman"/>
          <w:sz w:val="20"/>
          <w:szCs w:val="20"/>
          <w:lang w:val="fr-FR"/>
        </w:rPr>
        <w:t>:</w:t>
      </w:r>
      <w:r w:rsidR="006D388F" w:rsidRPr="00256989">
        <w:rPr>
          <w:rFonts w:ascii="Times New Roman" w:eastAsia="Times New Roman" w:hAnsi="Times New Roman" w:cs="Times New Roman"/>
          <w:sz w:val="20"/>
          <w:szCs w:val="20"/>
          <w:lang w:val="fr-FR"/>
        </w:rPr>
        <w:t xml:space="preserve"> Les erreurs standards sont entre parenthèses, *** significatif à 1%, ** significatif à 5%, * significatif à 10%</w:t>
      </w:r>
    </w:p>
    <w:p w14:paraId="3A7112CF" w14:textId="202133C5" w:rsidR="005E4276" w:rsidRPr="00256989" w:rsidRDefault="00E1165A">
      <w:pPr>
        <w:spacing w:after="0" w:line="360" w:lineRule="auto"/>
        <w:jc w:val="both"/>
        <w:rPr>
          <w:rFonts w:ascii="Times New Roman" w:eastAsia="Times New Roman" w:hAnsi="Times New Roman" w:cs="Times New Roman"/>
          <w:color w:val="000000"/>
          <w:sz w:val="24"/>
          <w:szCs w:val="24"/>
          <w:lang w:val="fr-FR"/>
        </w:rPr>
      </w:pPr>
      <w:r w:rsidRPr="00E1165A">
        <w:rPr>
          <w:rFonts w:ascii="Times New Roman" w:eastAsia="Times New Roman" w:hAnsi="Times New Roman" w:cs="Times New Roman"/>
          <w:b/>
          <w:bCs/>
          <w:color w:val="000000"/>
          <w:sz w:val="20"/>
          <w:szCs w:val="20"/>
          <w:lang w:val="fr-FR"/>
        </w:rPr>
        <w:t>Source</w:t>
      </w:r>
      <w:r w:rsidRPr="00256989">
        <w:rPr>
          <w:rFonts w:ascii="Times New Roman" w:eastAsia="Times New Roman" w:hAnsi="Times New Roman" w:cs="Times New Roman"/>
          <w:color w:val="000000"/>
          <w:sz w:val="20"/>
          <w:szCs w:val="20"/>
          <w:lang w:val="fr-FR"/>
        </w:rPr>
        <w:t xml:space="preserve"> :</w:t>
      </w:r>
      <w:r w:rsidR="006D388F" w:rsidRPr="00256989">
        <w:rPr>
          <w:rFonts w:ascii="Times New Roman" w:eastAsia="Times New Roman" w:hAnsi="Times New Roman" w:cs="Times New Roman"/>
          <w:color w:val="000000"/>
          <w:sz w:val="20"/>
          <w:szCs w:val="20"/>
          <w:lang w:val="fr-FR"/>
        </w:rPr>
        <w:t xml:space="preserve"> Construit par l’auteur </w:t>
      </w:r>
      <w:r w:rsidR="006D388F" w:rsidRPr="00256989">
        <w:rPr>
          <w:rFonts w:ascii="Times New Roman" w:eastAsia="Times New Roman" w:hAnsi="Times New Roman" w:cs="Times New Roman"/>
          <w:color w:val="000000"/>
          <w:sz w:val="24"/>
          <w:szCs w:val="24"/>
          <w:lang w:val="fr-FR"/>
        </w:rPr>
        <w:t xml:space="preserve">                                                                                                                                                                                                                                                                                </w:t>
      </w:r>
    </w:p>
    <w:p w14:paraId="113437A2" w14:textId="4F8FD202" w:rsidR="00CA0D68" w:rsidRPr="002301B5" w:rsidRDefault="006D388F">
      <w:pPr>
        <w:spacing w:after="0"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color w:val="000000"/>
          <w:sz w:val="24"/>
          <w:szCs w:val="24"/>
          <w:lang w:val="fr-FR"/>
        </w:rPr>
        <w:lastRenderedPageBreak/>
        <w:t xml:space="preserve">Les résultats consignés dans le tableau 9 sont les résultats de l’effet de l’IUTS sur les composantes des dépenses de la consommation finale des ménages respectivement à </w:t>
      </w:r>
      <w:r w:rsidRPr="00256989">
        <w:rPr>
          <w:rFonts w:ascii="Times New Roman" w:eastAsia="Times New Roman" w:hAnsi="Times New Roman" w:cs="Times New Roman"/>
          <w:sz w:val="24"/>
          <w:szCs w:val="24"/>
          <w:lang w:val="fr-FR"/>
        </w:rPr>
        <w:t xml:space="preserve">court </w:t>
      </w:r>
      <w:r w:rsidR="00DA5422" w:rsidRPr="00256989">
        <w:rPr>
          <w:rFonts w:ascii="Times New Roman" w:eastAsia="Times New Roman" w:hAnsi="Times New Roman" w:cs="Times New Roman"/>
          <w:sz w:val="24"/>
          <w:szCs w:val="24"/>
          <w:lang w:val="fr-FR"/>
        </w:rPr>
        <w:t>terme.</w:t>
      </w:r>
    </w:p>
    <w:p w14:paraId="49AD84D8" w14:textId="77777777" w:rsidR="005E4276" w:rsidRPr="00256989" w:rsidRDefault="005E4276">
      <w:pPr>
        <w:spacing w:after="0" w:line="360" w:lineRule="auto"/>
        <w:jc w:val="both"/>
        <w:rPr>
          <w:rFonts w:ascii="Times New Roman" w:eastAsia="Times New Roman" w:hAnsi="Times New Roman" w:cs="Times New Roman"/>
          <w:color w:val="000000"/>
          <w:sz w:val="24"/>
          <w:szCs w:val="24"/>
          <w:lang w:val="fr-FR"/>
        </w:rPr>
      </w:pPr>
    </w:p>
    <w:p w14:paraId="20CE3EF8" w14:textId="77777777" w:rsidR="005E4276" w:rsidRDefault="006D388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Tableau 9: Résultat de court terme</w:t>
      </w:r>
    </w:p>
    <w:tbl>
      <w:tblPr>
        <w:tblStyle w:val="TableauListe6Couleur"/>
        <w:tblW w:w="9776" w:type="dxa"/>
        <w:tblLayout w:type="fixed"/>
        <w:tblLook w:val="04A0" w:firstRow="1" w:lastRow="0" w:firstColumn="1" w:lastColumn="0" w:noHBand="0" w:noVBand="1"/>
      </w:tblPr>
      <w:tblGrid>
        <w:gridCol w:w="1909"/>
        <w:gridCol w:w="1476"/>
        <w:gridCol w:w="1523"/>
        <w:gridCol w:w="1607"/>
        <w:gridCol w:w="1592"/>
        <w:gridCol w:w="1669"/>
      </w:tblGrid>
      <w:tr w:rsidR="005E4276" w:rsidRPr="00685C3E" w14:paraId="7B4562BC" w14:textId="77777777" w:rsidTr="008D4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2352642C"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Variable</w:t>
            </w:r>
          </w:p>
        </w:tc>
        <w:tc>
          <w:tcPr>
            <w:tcW w:w="1476" w:type="dxa"/>
            <w:shd w:val="clear" w:color="auto" w:fill="auto"/>
          </w:tcPr>
          <w:p w14:paraId="2AD9A8AE"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Groupe 1</w:t>
            </w:r>
          </w:p>
        </w:tc>
        <w:tc>
          <w:tcPr>
            <w:tcW w:w="1523" w:type="dxa"/>
            <w:shd w:val="clear" w:color="auto" w:fill="auto"/>
          </w:tcPr>
          <w:p w14:paraId="7B28D3A1"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Groupe 2</w:t>
            </w:r>
          </w:p>
        </w:tc>
        <w:tc>
          <w:tcPr>
            <w:tcW w:w="1607" w:type="dxa"/>
            <w:shd w:val="clear" w:color="auto" w:fill="auto"/>
          </w:tcPr>
          <w:p w14:paraId="684BBF12"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Groupe 3</w:t>
            </w:r>
          </w:p>
        </w:tc>
        <w:tc>
          <w:tcPr>
            <w:tcW w:w="1592" w:type="dxa"/>
            <w:shd w:val="clear" w:color="auto" w:fill="auto"/>
          </w:tcPr>
          <w:p w14:paraId="3CEE11D8"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Groupe 4</w:t>
            </w:r>
          </w:p>
        </w:tc>
        <w:tc>
          <w:tcPr>
            <w:tcW w:w="1669" w:type="dxa"/>
            <w:shd w:val="clear" w:color="auto" w:fill="auto"/>
          </w:tcPr>
          <w:p w14:paraId="142F726C" w14:textId="77777777" w:rsidR="005E4276" w:rsidRPr="00685C3E"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Groupe 5</w:t>
            </w:r>
          </w:p>
        </w:tc>
      </w:tr>
      <w:tr w:rsidR="005E4276" w:rsidRPr="00685C3E" w14:paraId="303460F5" w14:textId="77777777" w:rsidTr="008D4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Borders>
              <w:top w:val="single" w:sz="24" w:space="0" w:color="auto"/>
            </w:tcBorders>
            <w:shd w:val="clear" w:color="auto" w:fill="auto"/>
          </w:tcPr>
          <w:p w14:paraId="2FE9CDC5" w14:textId="77777777" w:rsidR="005E4276" w:rsidRPr="00685C3E" w:rsidRDefault="006D388F">
            <w:pPr>
              <w:spacing w:line="360" w:lineRule="auto"/>
              <w:jc w:val="both"/>
              <w:rPr>
                <w:rFonts w:ascii="Times New Roman" w:eastAsia="Times New Roman" w:hAnsi="Times New Roman" w:cs="Times New Roman"/>
                <w:b w:val="0"/>
                <w:bCs w:val="0"/>
                <w:sz w:val="20"/>
                <w:szCs w:val="20"/>
                <w:lang w:val="fr-FR"/>
              </w:rPr>
            </w:pPr>
            <w:r w:rsidRPr="00685C3E">
              <w:rPr>
                <w:rFonts w:ascii="Times New Roman" w:eastAsia="Times New Roman" w:hAnsi="Times New Roman" w:cs="Times New Roman"/>
                <w:sz w:val="20"/>
                <w:szCs w:val="20"/>
                <w:lang w:val="fr-FR"/>
              </w:rPr>
              <w:t>D(taux effectif de l’IUTS)</w:t>
            </w:r>
          </w:p>
        </w:tc>
        <w:tc>
          <w:tcPr>
            <w:tcW w:w="1476" w:type="dxa"/>
            <w:tcBorders>
              <w:top w:val="single" w:sz="24" w:space="0" w:color="auto"/>
            </w:tcBorders>
            <w:shd w:val="clear" w:color="auto" w:fill="auto"/>
          </w:tcPr>
          <w:p w14:paraId="41DC7656" w14:textId="77777777" w:rsidR="00A2164B" w:rsidRPr="00685C3E" w:rsidRDefault="00FD26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-0,001699</w:t>
            </w:r>
          </w:p>
          <w:p w14:paraId="6E1C06C4" w14:textId="4252CE79" w:rsidR="00FD260C" w:rsidRPr="00685C3E" w:rsidRDefault="00FD26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(0,001073)</w:t>
            </w:r>
          </w:p>
        </w:tc>
        <w:tc>
          <w:tcPr>
            <w:tcW w:w="1523" w:type="dxa"/>
            <w:tcBorders>
              <w:top w:val="single" w:sz="24" w:space="0" w:color="auto"/>
            </w:tcBorders>
            <w:shd w:val="clear" w:color="auto" w:fill="auto"/>
          </w:tcPr>
          <w:p w14:paraId="2012A1C0" w14:textId="1CB5A5DF" w:rsidR="005E4276" w:rsidRPr="00685C3E" w:rsidRDefault="00D2075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-0,304641</w:t>
            </w:r>
            <w:r w:rsidR="00F7003F" w:rsidRPr="00685C3E">
              <w:rPr>
                <w:rFonts w:ascii="Times New Roman" w:eastAsia="Times New Roman" w:hAnsi="Times New Roman" w:cs="Times New Roman"/>
                <w:sz w:val="20"/>
                <w:szCs w:val="20"/>
                <w:vertAlign w:val="superscript"/>
              </w:rPr>
              <w:t>**</w:t>
            </w:r>
          </w:p>
          <w:p w14:paraId="5FFE7810" w14:textId="3FF9C7D6" w:rsidR="00D2075E" w:rsidRPr="00685C3E" w:rsidRDefault="00D2075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w:t>
            </w:r>
            <w:r w:rsidR="00F7003F" w:rsidRPr="00685C3E">
              <w:rPr>
                <w:rFonts w:ascii="Times New Roman" w:eastAsia="Times New Roman" w:hAnsi="Times New Roman" w:cs="Times New Roman"/>
                <w:sz w:val="20"/>
                <w:szCs w:val="20"/>
              </w:rPr>
              <w:t>78703)</w:t>
            </w:r>
          </w:p>
        </w:tc>
        <w:tc>
          <w:tcPr>
            <w:tcW w:w="1607" w:type="dxa"/>
            <w:tcBorders>
              <w:top w:val="single" w:sz="24" w:space="0" w:color="auto"/>
            </w:tcBorders>
            <w:shd w:val="clear" w:color="auto" w:fill="auto"/>
          </w:tcPr>
          <w:p w14:paraId="5F032531" w14:textId="7D5BD22E" w:rsidR="0027201D" w:rsidRPr="00685C3E" w:rsidRDefault="00555E6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-0,004634</w:t>
            </w:r>
            <w:r w:rsidRPr="00685C3E">
              <w:rPr>
                <w:rFonts w:ascii="Times New Roman" w:eastAsia="Times New Roman" w:hAnsi="Times New Roman" w:cs="Times New Roman"/>
                <w:sz w:val="20"/>
                <w:szCs w:val="20"/>
                <w:vertAlign w:val="superscript"/>
              </w:rPr>
              <w:t>**</w:t>
            </w:r>
          </w:p>
          <w:p w14:paraId="7C92A39D" w14:textId="734CC04B" w:rsidR="00555E6E" w:rsidRPr="00685C3E" w:rsidRDefault="00555E6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(0,001422)</w:t>
            </w:r>
          </w:p>
        </w:tc>
        <w:tc>
          <w:tcPr>
            <w:tcW w:w="1592" w:type="dxa"/>
            <w:tcBorders>
              <w:top w:val="single" w:sz="24" w:space="0" w:color="auto"/>
            </w:tcBorders>
            <w:shd w:val="clear" w:color="auto" w:fill="auto"/>
          </w:tcPr>
          <w:p w14:paraId="752B5AC2" w14:textId="490C58FF" w:rsidR="005E4276" w:rsidRPr="00685C3E" w:rsidRDefault="00776B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-0,032347</w:t>
            </w:r>
            <w:r w:rsidRPr="00685C3E">
              <w:rPr>
                <w:rFonts w:ascii="Times New Roman" w:eastAsia="Times New Roman" w:hAnsi="Times New Roman" w:cs="Times New Roman"/>
                <w:sz w:val="20"/>
                <w:szCs w:val="20"/>
                <w:vertAlign w:val="superscript"/>
              </w:rPr>
              <w:t>**</w:t>
            </w:r>
          </w:p>
          <w:p w14:paraId="13E084D6" w14:textId="783FADF2" w:rsidR="00776B4C" w:rsidRPr="00685C3E" w:rsidRDefault="00776B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(0,010428)</w:t>
            </w:r>
          </w:p>
        </w:tc>
        <w:tc>
          <w:tcPr>
            <w:tcW w:w="1669" w:type="dxa"/>
            <w:tcBorders>
              <w:top w:val="single" w:sz="24" w:space="0" w:color="auto"/>
            </w:tcBorders>
            <w:shd w:val="clear" w:color="auto" w:fill="auto"/>
          </w:tcPr>
          <w:p w14:paraId="2946C3BB" w14:textId="1100884D" w:rsidR="005E4276" w:rsidRPr="00685C3E" w:rsidRDefault="007108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0,002636</w:t>
            </w:r>
            <w:r w:rsidRPr="00685C3E">
              <w:rPr>
                <w:rFonts w:ascii="Times New Roman" w:eastAsia="Times New Roman" w:hAnsi="Times New Roman" w:cs="Times New Roman"/>
                <w:sz w:val="20"/>
                <w:szCs w:val="20"/>
                <w:vertAlign w:val="superscript"/>
              </w:rPr>
              <w:t>*</w:t>
            </w:r>
          </w:p>
          <w:p w14:paraId="790782DD" w14:textId="0BC7F4A1" w:rsidR="0071085B" w:rsidRPr="00685C3E" w:rsidRDefault="007108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(0,001196)</w:t>
            </w:r>
          </w:p>
        </w:tc>
      </w:tr>
      <w:tr w:rsidR="005E4276" w:rsidRPr="00685C3E" w14:paraId="22420DA4" w14:textId="77777777" w:rsidTr="008D45B3">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64785677"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D(Inflation)</w:t>
            </w:r>
          </w:p>
        </w:tc>
        <w:tc>
          <w:tcPr>
            <w:tcW w:w="1476" w:type="dxa"/>
            <w:shd w:val="clear" w:color="auto" w:fill="auto"/>
          </w:tcPr>
          <w:p w14:paraId="2A8609CE" w14:textId="200DA6FB" w:rsidR="00A2164B" w:rsidRPr="00685C3E" w:rsidRDefault="00FD26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-0,001861</w:t>
            </w:r>
            <w:r w:rsidRPr="00685C3E">
              <w:rPr>
                <w:rFonts w:ascii="Times New Roman" w:eastAsia="Times New Roman" w:hAnsi="Times New Roman" w:cs="Times New Roman"/>
                <w:sz w:val="20"/>
                <w:szCs w:val="20"/>
                <w:vertAlign w:val="superscript"/>
              </w:rPr>
              <w:t>**</w:t>
            </w:r>
          </w:p>
          <w:p w14:paraId="6C0B04F4" w14:textId="26217DD9" w:rsidR="00FD260C" w:rsidRPr="00685C3E" w:rsidRDefault="00FD26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(0,000353)</w:t>
            </w:r>
          </w:p>
        </w:tc>
        <w:tc>
          <w:tcPr>
            <w:tcW w:w="1523" w:type="dxa"/>
            <w:shd w:val="clear" w:color="auto" w:fill="auto"/>
          </w:tcPr>
          <w:p w14:paraId="4DDAD2B6" w14:textId="270F460A" w:rsidR="005E4276" w:rsidRPr="00685C3E" w:rsidRDefault="0098779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-0,050426</w:t>
            </w:r>
            <w:r w:rsidR="008E73C5" w:rsidRPr="00685C3E">
              <w:rPr>
                <w:rFonts w:ascii="Times New Roman" w:eastAsia="Times New Roman" w:hAnsi="Times New Roman" w:cs="Times New Roman"/>
                <w:sz w:val="20"/>
                <w:szCs w:val="20"/>
                <w:vertAlign w:val="superscript"/>
              </w:rPr>
              <w:t>**</w:t>
            </w:r>
          </w:p>
          <w:p w14:paraId="45EA151A" w14:textId="4A1D57EE" w:rsidR="00987790" w:rsidRPr="00685C3E" w:rsidRDefault="0098779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w:t>
            </w:r>
            <w:r w:rsidR="00413CCD" w:rsidRPr="00685C3E">
              <w:rPr>
                <w:rFonts w:ascii="Times New Roman" w:eastAsia="Times New Roman" w:hAnsi="Times New Roman" w:cs="Times New Roman"/>
                <w:sz w:val="20"/>
                <w:szCs w:val="20"/>
              </w:rPr>
              <w:t>5003)</w:t>
            </w:r>
          </w:p>
        </w:tc>
        <w:tc>
          <w:tcPr>
            <w:tcW w:w="1607" w:type="dxa"/>
            <w:shd w:val="clear" w:color="auto" w:fill="auto"/>
          </w:tcPr>
          <w:p w14:paraId="0AF00904" w14:textId="5140DD09" w:rsidR="00870898" w:rsidRPr="00685C3E" w:rsidRDefault="006B1E2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0,002646</w:t>
            </w:r>
            <w:r w:rsidRPr="00685C3E">
              <w:rPr>
                <w:rFonts w:ascii="Times New Roman" w:eastAsia="Times New Roman" w:hAnsi="Times New Roman" w:cs="Times New Roman"/>
                <w:sz w:val="20"/>
                <w:szCs w:val="20"/>
                <w:vertAlign w:val="superscript"/>
              </w:rPr>
              <w:t>**</w:t>
            </w:r>
          </w:p>
          <w:p w14:paraId="4C8AF0EF" w14:textId="17245B04" w:rsidR="006B1E27" w:rsidRPr="00685C3E" w:rsidRDefault="006B1E2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(0,000392)</w:t>
            </w:r>
          </w:p>
        </w:tc>
        <w:tc>
          <w:tcPr>
            <w:tcW w:w="1592" w:type="dxa"/>
            <w:shd w:val="clear" w:color="auto" w:fill="auto"/>
          </w:tcPr>
          <w:p w14:paraId="2A43CFF7" w14:textId="05C9E602" w:rsidR="005E4276" w:rsidRPr="00685C3E" w:rsidRDefault="00776B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-0,007683</w:t>
            </w:r>
            <w:r w:rsidRPr="00685C3E">
              <w:rPr>
                <w:rFonts w:ascii="Times New Roman" w:eastAsia="Times New Roman" w:hAnsi="Times New Roman" w:cs="Times New Roman"/>
                <w:sz w:val="20"/>
                <w:szCs w:val="20"/>
                <w:vertAlign w:val="superscript"/>
              </w:rPr>
              <w:t>**</w:t>
            </w:r>
          </w:p>
          <w:p w14:paraId="72AF6DE8" w14:textId="70B3CD6F" w:rsidR="00776B4C" w:rsidRPr="00685C3E" w:rsidRDefault="00776B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(0,002686)</w:t>
            </w:r>
          </w:p>
        </w:tc>
        <w:tc>
          <w:tcPr>
            <w:tcW w:w="1669" w:type="dxa"/>
            <w:shd w:val="clear" w:color="auto" w:fill="auto"/>
          </w:tcPr>
          <w:p w14:paraId="5A3A430B" w14:textId="0D3E7A77" w:rsidR="005E4276" w:rsidRPr="00685C3E" w:rsidRDefault="00145E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-0,001727</w:t>
            </w:r>
            <w:r w:rsidRPr="00685C3E">
              <w:rPr>
                <w:rFonts w:ascii="Times New Roman" w:eastAsia="Times New Roman" w:hAnsi="Times New Roman" w:cs="Times New Roman"/>
                <w:sz w:val="20"/>
                <w:szCs w:val="20"/>
                <w:vertAlign w:val="superscript"/>
              </w:rPr>
              <w:t>**</w:t>
            </w:r>
          </w:p>
          <w:p w14:paraId="7556E953" w14:textId="1CE08145" w:rsidR="00145E5F" w:rsidRPr="00685C3E" w:rsidRDefault="00145E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(0,000297)</w:t>
            </w:r>
          </w:p>
        </w:tc>
      </w:tr>
      <w:tr w:rsidR="005E4276" w:rsidRPr="00685C3E" w14:paraId="7B5BBABA" w14:textId="77777777" w:rsidTr="008D4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5B12030D"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D(Taux d’intérêt)</w:t>
            </w:r>
          </w:p>
        </w:tc>
        <w:tc>
          <w:tcPr>
            <w:tcW w:w="1476" w:type="dxa"/>
            <w:shd w:val="clear" w:color="auto" w:fill="auto"/>
          </w:tcPr>
          <w:p w14:paraId="46C058ED" w14:textId="2ED789F0" w:rsidR="00A2164B" w:rsidRPr="00685C3E" w:rsidRDefault="00FD26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-0,00573</w:t>
            </w:r>
            <w:r w:rsidRPr="00685C3E">
              <w:rPr>
                <w:rFonts w:ascii="Times New Roman" w:eastAsia="Times New Roman" w:hAnsi="Times New Roman" w:cs="Times New Roman"/>
                <w:sz w:val="20"/>
                <w:szCs w:val="20"/>
                <w:vertAlign w:val="superscript"/>
              </w:rPr>
              <w:t>**</w:t>
            </w:r>
          </w:p>
          <w:p w14:paraId="2C73797E" w14:textId="5F46047F" w:rsidR="00FD260C" w:rsidRPr="00685C3E" w:rsidRDefault="00FD26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(0,00009)</w:t>
            </w:r>
          </w:p>
        </w:tc>
        <w:tc>
          <w:tcPr>
            <w:tcW w:w="1523" w:type="dxa"/>
            <w:shd w:val="clear" w:color="auto" w:fill="auto"/>
          </w:tcPr>
          <w:p w14:paraId="6DA7025F" w14:textId="390B32E1" w:rsidR="0052699D" w:rsidRPr="00685C3E" w:rsidRDefault="0060749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0,065939</w:t>
            </w:r>
            <w:r w:rsidR="008E73C5" w:rsidRPr="00685C3E">
              <w:rPr>
                <w:rFonts w:ascii="Times New Roman" w:eastAsia="Times New Roman" w:hAnsi="Times New Roman" w:cs="Times New Roman"/>
                <w:sz w:val="20"/>
                <w:szCs w:val="20"/>
              </w:rPr>
              <w:t>**</w:t>
            </w:r>
          </w:p>
          <w:p w14:paraId="19EDA2E4" w14:textId="65417221" w:rsidR="00607493" w:rsidRPr="00685C3E" w:rsidRDefault="0060749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w:t>
            </w:r>
            <w:r w:rsidR="003409B9" w:rsidRPr="00685C3E">
              <w:rPr>
                <w:rFonts w:ascii="Times New Roman" w:eastAsia="Times New Roman" w:hAnsi="Times New Roman" w:cs="Times New Roman"/>
                <w:sz w:val="20"/>
                <w:szCs w:val="20"/>
              </w:rPr>
              <w:t>7094)</w:t>
            </w:r>
          </w:p>
        </w:tc>
        <w:tc>
          <w:tcPr>
            <w:tcW w:w="1607" w:type="dxa"/>
            <w:shd w:val="clear" w:color="auto" w:fill="auto"/>
          </w:tcPr>
          <w:p w14:paraId="67DA5740" w14:textId="18AC9645" w:rsidR="00870898" w:rsidRPr="00685C3E" w:rsidRDefault="006B1E27" w:rsidP="00D35B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0,002627</w:t>
            </w:r>
            <w:r w:rsidRPr="00685C3E">
              <w:rPr>
                <w:rFonts w:ascii="Times New Roman" w:eastAsia="Times New Roman" w:hAnsi="Times New Roman" w:cs="Times New Roman"/>
                <w:sz w:val="20"/>
                <w:szCs w:val="20"/>
                <w:vertAlign w:val="superscript"/>
              </w:rPr>
              <w:t>**</w:t>
            </w:r>
          </w:p>
          <w:p w14:paraId="5FE1857A" w14:textId="024250D8" w:rsidR="006B1E27" w:rsidRPr="00685C3E" w:rsidRDefault="006B1E27" w:rsidP="00D35B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(0,000325)</w:t>
            </w:r>
          </w:p>
        </w:tc>
        <w:tc>
          <w:tcPr>
            <w:tcW w:w="1592" w:type="dxa"/>
            <w:shd w:val="clear" w:color="auto" w:fill="auto"/>
          </w:tcPr>
          <w:p w14:paraId="466054E5" w14:textId="688FAD19" w:rsidR="005E4276" w:rsidRPr="00685C3E" w:rsidRDefault="00776B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-0,002075</w:t>
            </w:r>
            <w:r w:rsidRPr="00685C3E">
              <w:rPr>
                <w:rFonts w:ascii="Times New Roman" w:eastAsia="Times New Roman" w:hAnsi="Times New Roman" w:cs="Times New Roman"/>
                <w:sz w:val="20"/>
                <w:szCs w:val="20"/>
                <w:vertAlign w:val="superscript"/>
              </w:rPr>
              <w:t>*</w:t>
            </w:r>
          </w:p>
          <w:p w14:paraId="19629E88" w14:textId="5E0E6042" w:rsidR="00776B4C" w:rsidRPr="00685C3E" w:rsidRDefault="00776B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(0,000995)</w:t>
            </w:r>
          </w:p>
        </w:tc>
        <w:tc>
          <w:tcPr>
            <w:tcW w:w="1669" w:type="dxa"/>
            <w:shd w:val="clear" w:color="auto" w:fill="auto"/>
          </w:tcPr>
          <w:p w14:paraId="351541AA" w14:textId="21968D01" w:rsidR="005E4276" w:rsidRPr="00685C3E" w:rsidRDefault="00145E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-0,002759</w:t>
            </w:r>
            <w:r w:rsidRPr="00685C3E">
              <w:rPr>
                <w:rFonts w:ascii="Times New Roman" w:eastAsia="Times New Roman" w:hAnsi="Times New Roman" w:cs="Times New Roman"/>
                <w:sz w:val="20"/>
                <w:szCs w:val="20"/>
                <w:vertAlign w:val="superscript"/>
              </w:rPr>
              <w:t>***</w:t>
            </w:r>
          </w:p>
          <w:p w14:paraId="7F6FB410" w14:textId="53DC1E37" w:rsidR="00145E5F" w:rsidRPr="00685C3E" w:rsidRDefault="00145E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(0,000134)</w:t>
            </w:r>
          </w:p>
        </w:tc>
      </w:tr>
      <w:tr w:rsidR="00ED1942" w:rsidRPr="00685C3E" w14:paraId="496F4E4F" w14:textId="77777777" w:rsidTr="008D45B3">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4971B043" w14:textId="45951008" w:rsidR="00ED1942" w:rsidRPr="00685C3E" w:rsidRDefault="00ED1942">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D(Taux de chômage)</w:t>
            </w:r>
          </w:p>
        </w:tc>
        <w:tc>
          <w:tcPr>
            <w:tcW w:w="1476" w:type="dxa"/>
            <w:shd w:val="clear" w:color="auto" w:fill="auto"/>
          </w:tcPr>
          <w:p w14:paraId="5C4B57B5" w14:textId="193F7704" w:rsidR="00A2164B" w:rsidRPr="00685C3E" w:rsidRDefault="00FD26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0,043154</w:t>
            </w:r>
            <w:r w:rsidRPr="00685C3E">
              <w:rPr>
                <w:rFonts w:ascii="Times New Roman" w:eastAsia="Times New Roman" w:hAnsi="Times New Roman" w:cs="Times New Roman"/>
                <w:sz w:val="20"/>
                <w:szCs w:val="20"/>
                <w:vertAlign w:val="superscript"/>
              </w:rPr>
              <w:t>**</w:t>
            </w:r>
          </w:p>
          <w:p w14:paraId="2983DBAC" w14:textId="6FC35553" w:rsidR="00FD260C" w:rsidRPr="00685C3E" w:rsidRDefault="00FD26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(0,009170)</w:t>
            </w:r>
          </w:p>
        </w:tc>
        <w:tc>
          <w:tcPr>
            <w:tcW w:w="1523" w:type="dxa"/>
            <w:shd w:val="clear" w:color="auto" w:fill="auto"/>
          </w:tcPr>
          <w:p w14:paraId="234F6FDA" w14:textId="1E0A772D" w:rsidR="00ED1942" w:rsidRPr="00685C3E" w:rsidRDefault="003409B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5,6</w:t>
            </w:r>
            <w:r w:rsidR="00D86FE2" w:rsidRPr="00685C3E">
              <w:rPr>
                <w:rFonts w:ascii="Times New Roman" w:eastAsia="Times New Roman" w:hAnsi="Times New Roman" w:cs="Times New Roman"/>
                <w:sz w:val="20"/>
                <w:szCs w:val="20"/>
              </w:rPr>
              <w:t>86653</w:t>
            </w:r>
            <w:r w:rsidR="00274EFC" w:rsidRPr="00685C3E">
              <w:rPr>
                <w:rFonts w:ascii="Times New Roman" w:eastAsia="Times New Roman" w:hAnsi="Times New Roman" w:cs="Times New Roman"/>
                <w:sz w:val="20"/>
                <w:szCs w:val="20"/>
                <w:vertAlign w:val="superscript"/>
              </w:rPr>
              <w:t>**</w:t>
            </w:r>
          </w:p>
          <w:p w14:paraId="428F2D73" w14:textId="3759B892" w:rsidR="00D86FE2" w:rsidRPr="00685C3E" w:rsidRDefault="00D86FE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(1,452008)</w:t>
            </w:r>
          </w:p>
        </w:tc>
        <w:tc>
          <w:tcPr>
            <w:tcW w:w="1607" w:type="dxa"/>
            <w:shd w:val="clear" w:color="auto" w:fill="auto"/>
          </w:tcPr>
          <w:p w14:paraId="40F09440" w14:textId="049897CA" w:rsidR="00ED1942" w:rsidRPr="00685C3E" w:rsidRDefault="00555E6E" w:rsidP="00D35B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0,099278</w:t>
            </w:r>
            <w:r w:rsidR="006B1E27" w:rsidRPr="00685C3E">
              <w:rPr>
                <w:rFonts w:ascii="Times New Roman" w:eastAsia="Times New Roman" w:hAnsi="Times New Roman" w:cs="Times New Roman"/>
                <w:sz w:val="20"/>
                <w:szCs w:val="20"/>
                <w:vertAlign w:val="superscript"/>
              </w:rPr>
              <w:t>**</w:t>
            </w:r>
          </w:p>
          <w:p w14:paraId="09CF7810" w14:textId="305E8A4E" w:rsidR="00555E6E" w:rsidRPr="00685C3E" w:rsidRDefault="00555E6E" w:rsidP="00D35B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(0,017730)</w:t>
            </w:r>
          </w:p>
        </w:tc>
        <w:tc>
          <w:tcPr>
            <w:tcW w:w="1592" w:type="dxa"/>
            <w:shd w:val="clear" w:color="auto" w:fill="auto"/>
          </w:tcPr>
          <w:p w14:paraId="656289C7" w14:textId="78BB61E6" w:rsidR="00ED1942" w:rsidRPr="00685C3E" w:rsidRDefault="00776B4C" w:rsidP="00D35B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0,162412</w:t>
            </w:r>
            <w:r w:rsidRPr="00685C3E">
              <w:rPr>
                <w:rFonts w:ascii="Times New Roman" w:eastAsia="Times New Roman" w:hAnsi="Times New Roman" w:cs="Times New Roman"/>
                <w:sz w:val="20"/>
                <w:szCs w:val="20"/>
                <w:vertAlign w:val="superscript"/>
              </w:rPr>
              <w:t>**</w:t>
            </w:r>
          </w:p>
          <w:p w14:paraId="773DA4C6" w14:textId="47A7A971" w:rsidR="00776B4C" w:rsidRPr="00685C3E" w:rsidRDefault="00776B4C" w:rsidP="00D35B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(0,040588)</w:t>
            </w:r>
          </w:p>
        </w:tc>
        <w:tc>
          <w:tcPr>
            <w:tcW w:w="1669" w:type="dxa"/>
            <w:shd w:val="clear" w:color="auto" w:fill="auto"/>
          </w:tcPr>
          <w:p w14:paraId="2AAE2ED8" w14:textId="431668D6" w:rsidR="00ED1942" w:rsidRPr="00685C3E" w:rsidRDefault="00145E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-0,122873</w:t>
            </w:r>
            <w:r w:rsidRPr="00685C3E">
              <w:rPr>
                <w:rFonts w:ascii="Times New Roman" w:eastAsia="Times New Roman" w:hAnsi="Times New Roman" w:cs="Times New Roman"/>
                <w:sz w:val="20"/>
                <w:szCs w:val="20"/>
                <w:vertAlign w:val="superscript"/>
              </w:rPr>
              <w:t>***</w:t>
            </w:r>
          </w:p>
          <w:p w14:paraId="12E72B28" w14:textId="6075676C" w:rsidR="00145E5F" w:rsidRPr="00685C3E" w:rsidRDefault="00145E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(0,006239)</w:t>
            </w:r>
          </w:p>
        </w:tc>
      </w:tr>
      <w:tr w:rsidR="005E4276" w:rsidRPr="00685C3E" w14:paraId="2A7EB6F4" w14:textId="77777777" w:rsidTr="008D4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Borders>
              <w:bottom w:val="single" w:sz="24" w:space="0" w:color="auto"/>
            </w:tcBorders>
            <w:shd w:val="clear" w:color="auto" w:fill="auto"/>
          </w:tcPr>
          <w:p w14:paraId="09176796" w14:textId="77777777" w:rsidR="005E4276" w:rsidRPr="00685C3E" w:rsidRDefault="006D388F">
            <w:pPr>
              <w:spacing w:line="360" w:lineRule="auto"/>
              <w:jc w:val="both"/>
              <w:rPr>
                <w:rFonts w:ascii="Times New Roman" w:eastAsia="Times New Roman" w:hAnsi="Times New Roman" w:cs="Times New Roman"/>
                <w:b w:val="0"/>
                <w:bCs w:val="0"/>
                <w:sz w:val="20"/>
                <w:szCs w:val="20"/>
              </w:rPr>
            </w:pPr>
            <w:r w:rsidRPr="00685C3E">
              <w:rPr>
                <w:rFonts w:ascii="Times New Roman" w:eastAsia="Times New Roman" w:hAnsi="Times New Roman" w:cs="Times New Roman"/>
                <w:sz w:val="20"/>
                <w:szCs w:val="20"/>
              </w:rPr>
              <w:t>CointEq (-1)*</w:t>
            </w:r>
          </w:p>
        </w:tc>
        <w:tc>
          <w:tcPr>
            <w:tcW w:w="1476" w:type="dxa"/>
            <w:tcBorders>
              <w:bottom w:val="single" w:sz="24" w:space="0" w:color="auto"/>
            </w:tcBorders>
            <w:shd w:val="clear" w:color="auto" w:fill="auto"/>
          </w:tcPr>
          <w:p w14:paraId="6515BF54" w14:textId="5F201C94" w:rsidR="00A2164B" w:rsidRPr="00685C3E" w:rsidRDefault="00FD26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-0,040516</w:t>
            </w:r>
            <w:r w:rsidRPr="00685C3E">
              <w:rPr>
                <w:rFonts w:ascii="Times New Roman" w:eastAsia="Times New Roman" w:hAnsi="Times New Roman" w:cs="Times New Roman"/>
                <w:sz w:val="20"/>
                <w:szCs w:val="20"/>
                <w:vertAlign w:val="superscript"/>
              </w:rPr>
              <w:t>**</w:t>
            </w:r>
          </w:p>
          <w:p w14:paraId="7390AE13" w14:textId="55EA1D5D" w:rsidR="00FD260C" w:rsidRPr="00685C3E" w:rsidRDefault="00FD26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(0,004254)</w:t>
            </w:r>
          </w:p>
        </w:tc>
        <w:tc>
          <w:tcPr>
            <w:tcW w:w="1523" w:type="dxa"/>
            <w:tcBorders>
              <w:bottom w:val="single" w:sz="24" w:space="0" w:color="auto"/>
            </w:tcBorders>
            <w:shd w:val="clear" w:color="auto" w:fill="auto"/>
          </w:tcPr>
          <w:p w14:paraId="03489C5F" w14:textId="556506A3" w:rsidR="005E4276" w:rsidRPr="00685C3E" w:rsidRDefault="00D86F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w:t>
            </w:r>
            <w:r w:rsidR="00FF798A" w:rsidRPr="00685C3E">
              <w:rPr>
                <w:rFonts w:ascii="Times New Roman" w:eastAsia="Times New Roman" w:hAnsi="Times New Roman" w:cs="Times New Roman"/>
                <w:sz w:val="20"/>
                <w:szCs w:val="20"/>
              </w:rPr>
              <w:t>0,887537</w:t>
            </w:r>
            <w:r w:rsidR="00274EFC" w:rsidRPr="00685C3E">
              <w:rPr>
                <w:rFonts w:ascii="Times New Roman" w:eastAsia="Times New Roman" w:hAnsi="Times New Roman" w:cs="Times New Roman"/>
                <w:sz w:val="20"/>
                <w:szCs w:val="20"/>
                <w:vertAlign w:val="superscript"/>
              </w:rPr>
              <w:t>**</w:t>
            </w:r>
          </w:p>
          <w:p w14:paraId="24D8C171" w14:textId="425EE4B4" w:rsidR="00FF798A" w:rsidRPr="00685C3E" w:rsidRDefault="00FF79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(0,235517)</w:t>
            </w:r>
          </w:p>
        </w:tc>
        <w:tc>
          <w:tcPr>
            <w:tcW w:w="1607" w:type="dxa"/>
            <w:tcBorders>
              <w:bottom w:val="single" w:sz="24" w:space="0" w:color="auto"/>
            </w:tcBorders>
            <w:shd w:val="clear" w:color="auto" w:fill="auto"/>
          </w:tcPr>
          <w:p w14:paraId="0141E4D3" w14:textId="7C1F342A" w:rsidR="005E4276" w:rsidRPr="00685C3E" w:rsidRDefault="00555E6E" w:rsidP="00ED194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-0,610147</w:t>
            </w:r>
            <w:r w:rsidRPr="00685C3E">
              <w:rPr>
                <w:rFonts w:ascii="Times New Roman" w:eastAsia="Times New Roman" w:hAnsi="Times New Roman" w:cs="Times New Roman"/>
                <w:sz w:val="20"/>
                <w:szCs w:val="20"/>
                <w:vertAlign w:val="superscript"/>
              </w:rPr>
              <w:t>**</w:t>
            </w:r>
          </w:p>
          <w:p w14:paraId="53129C5F" w14:textId="2B9A87CD" w:rsidR="00555E6E" w:rsidRPr="00685C3E" w:rsidRDefault="00555E6E" w:rsidP="00ED194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(0,060125)</w:t>
            </w:r>
          </w:p>
        </w:tc>
        <w:tc>
          <w:tcPr>
            <w:tcW w:w="1592" w:type="dxa"/>
            <w:tcBorders>
              <w:bottom w:val="single" w:sz="24" w:space="0" w:color="auto"/>
            </w:tcBorders>
            <w:shd w:val="clear" w:color="auto" w:fill="auto"/>
          </w:tcPr>
          <w:p w14:paraId="168CF6A4" w14:textId="1424223F" w:rsidR="005E4276" w:rsidRPr="00685C3E" w:rsidRDefault="00776B4C" w:rsidP="00D35B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-0,086030</w:t>
            </w:r>
            <w:r w:rsidRPr="00685C3E">
              <w:rPr>
                <w:rFonts w:ascii="Times New Roman" w:eastAsia="Times New Roman" w:hAnsi="Times New Roman" w:cs="Times New Roman"/>
                <w:sz w:val="20"/>
                <w:szCs w:val="20"/>
                <w:vertAlign w:val="superscript"/>
              </w:rPr>
              <w:t>***</w:t>
            </w:r>
          </w:p>
          <w:p w14:paraId="2C1EFA68" w14:textId="17770C04" w:rsidR="00776B4C" w:rsidRPr="00685C3E" w:rsidRDefault="00776B4C" w:rsidP="00D35B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(0,003715)</w:t>
            </w:r>
          </w:p>
        </w:tc>
        <w:tc>
          <w:tcPr>
            <w:tcW w:w="1669" w:type="dxa"/>
            <w:tcBorders>
              <w:bottom w:val="single" w:sz="24" w:space="0" w:color="auto"/>
            </w:tcBorders>
            <w:shd w:val="clear" w:color="auto" w:fill="auto"/>
          </w:tcPr>
          <w:p w14:paraId="78AB1134" w14:textId="3A8EEBE1" w:rsidR="005E4276" w:rsidRPr="00685C3E" w:rsidRDefault="007108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685C3E">
              <w:rPr>
                <w:rFonts w:ascii="Times New Roman" w:eastAsia="Times New Roman" w:hAnsi="Times New Roman" w:cs="Times New Roman"/>
                <w:sz w:val="20"/>
                <w:szCs w:val="20"/>
              </w:rPr>
              <w:t>-0,594125</w:t>
            </w:r>
            <w:r w:rsidRPr="00685C3E">
              <w:rPr>
                <w:rFonts w:ascii="Times New Roman" w:eastAsia="Times New Roman" w:hAnsi="Times New Roman" w:cs="Times New Roman"/>
                <w:sz w:val="20"/>
                <w:szCs w:val="20"/>
                <w:vertAlign w:val="superscript"/>
              </w:rPr>
              <w:t>***</w:t>
            </w:r>
          </w:p>
          <w:p w14:paraId="326D69C0" w14:textId="63509E44" w:rsidR="0071085B" w:rsidRPr="00685C3E" w:rsidRDefault="007108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85C3E">
              <w:rPr>
                <w:rFonts w:ascii="Times New Roman" w:eastAsia="Times New Roman" w:hAnsi="Times New Roman" w:cs="Times New Roman"/>
                <w:sz w:val="20"/>
                <w:szCs w:val="20"/>
              </w:rPr>
              <w:t>(0,031871)</w:t>
            </w:r>
          </w:p>
        </w:tc>
      </w:tr>
    </w:tbl>
    <w:p w14:paraId="5A3D7E10" w14:textId="77777777" w:rsidR="005E4276" w:rsidRDefault="005E4276">
      <w:pPr>
        <w:spacing w:after="0" w:line="360" w:lineRule="auto"/>
        <w:jc w:val="both"/>
        <w:rPr>
          <w:rFonts w:ascii="Times New Roman" w:eastAsia="Times New Roman" w:hAnsi="Times New Roman" w:cs="Times New Roman"/>
          <w:i/>
          <w:color w:val="000000"/>
          <w:sz w:val="24"/>
          <w:szCs w:val="24"/>
        </w:rPr>
      </w:pPr>
    </w:p>
    <w:p w14:paraId="041A1A56" w14:textId="2809C975" w:rsidR="005E4276" w:rsidRPr="00256989" w:rsidRDefault="00E1165A">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NB :</w:t>
      </w:r>
      <w:r w:rsidR="006D388F" w:rsidRPr="00256989">
        <w:rPr>
          <w:rFonts w:ascii="Times New Roman" w:eastAsia="Times New Roman" w:hAnsi="Times New Roman" w:cs="Times New Roman"/>
          <w:sz w:val="20"/>
          <w:szCs w:val="20"/>
          <w:lang w:val="fr-FR"/>
        </w:rPr>
        <w:t xml:space="preserve"> Les erreurs standards sont entre parenthèses, *** significatif à 1%, ** significatif à 5%, * significatif à 10%</w:t>
      </w:r>
    </w:p>
    <w:p w14:paraId="6012721A" w14:textId="77777777" w:rsidR="00C07CBB" w:rsidRDefault="006D388F" w:rsidP="00C07CBB">
      <w:pPr>
        <w:spacing w:after="0" w:line="240" w:lineRule="auto"/>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Source :</w:t>
      </w:r>
      <w:r w:rsidRPr="00256989">
        <w:rPr>
          <w:rFonts w:ascii="Times New Roman" w:eastAsia="Times New Roman" w:hAnsi="Times New Roman" w:cs="Times New Roman"/>
          <w:sz w:val="20"/>
          <w:szCs w:val="20"/>
          <w:lang w:val="fr-FR"/>
        </w:rPr>
        <w:t xml:space="preserve"> Construit par l’auteur</w:t>
      </w:r>
    </w:p>
    <w:p w14:paraId="4C6B4803" w14:textId="77777777" w:rsidR="00685C3E" w:rsidRDefault="00685C3E" w:rsidP="00C07CBB">
      <w:pPr>
        <w:spacing w:after="0" w:line="240" w:lineRule="auto"/>
        <w:rPr>
          <w:rFonts w:ascii="Times New Roman" w:eastAsia="Times New Roman" w:hAnsi="Times New Roman" w:cs="Times New Roman"/>
          <w:sz w:val="20"/>
          <w:szCs w:val="20"/>
          <w:lang w:val="fr-FR"/>
        </w:rPr>
      </w:pPr>
    </w:p>
    <w:p w14:paraId="74E19C46" w14:textId="26A34172" w:rsidR="00DA5422" w:rsidRDefault="00DA5422" w:rsidP="00C07CBB">
      <w:pPr>
        <w:spacing w:after="0" w:line="240" w:lineRule="auto"/>
        <w:rPr>
          <w:rFonts w:ascii="Times New Roman" w:eastAsia="Times New Roman" w:hAnsi="Times New Roman" w:cs="Times New Roman"/>
          <w:sz w:val="24"/>
          <w:szCs w:val="24"/>
          <w:lang w:val="fr-FR"/>
        </w:rPr>
      </w:pPr>
      <w:r w:rsidRPr="00256989">
        <w:rPr>
          <w:rFonts w:ascii="Times New Roman" w:eastAsia="Times New Roman" w:hAnsi="Times New Roman" w:cs="Times New Roman"/>
          <w:color w:val="000000"/>
          <w:sz w:val="24"/>
          <w:szCs w:val="24"/>
          <w:lang w:val="fr-FR"/>
        </w:rPr>
        <w:t xml:space="preserve">Les résultats consignés dans le tableau 10 sont les résultats de l’effet de l’IUTS sur les composantes des dépenses de la consommation finale des ménages respectivement à </w:t>
      </w:r>
      <w:r w:rsidRPr="00256989">
        <w:rPr>
          <w:rFonts w:ascii="Times New Roman" w:eastAsia="Times New Roman" w:hAnsi="Times New Roman" w:cs="Times New Roman"/>
          <w:sz w:val="24"/>
          <w:szCs w:val="24"/>
          <w:lang w:val="fr-FR"/>
        </w:rPr>
        <w:t>long terme.</w:t>
      </w:r>
    </w:p>
    <w:p w14:paraId="2066C966" w14:textId="77777777" w:rsidR="000414BC" w:rsidRPr="00256989" w:rsidRDefault="000414BC">
      <w:pPr>
        <w:spacing w:after="0" w:line="240" w:lineRule="auto"/>
        <w:rPr>
          <w:rFonts w:ascii="Times New Roman" w:eastAsia="Times New Roman" w:hAnsi="Times New Roman" w:cs="Times New Roman"/>
          <w:i/>
          <w:sz w:val="24"/>
          <w:szCs w:val="24"/>
          <w:lang w:val="fr-FR"/>
        </w:rPr>
      </w:pPr>
    </w:p>
    <w:p w14:paraId="4A0547E6" w14:textId="1A8267A5" w:rsidR="005E4276" w:rsidRDefault="006D388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Tableau 10: Résultat de long terme</w:t>
      </w:r>
    </w:p>
    <w:p w14:paraId="00A260AF" w14:textId="77777777" w:rsidR="005E4276" w:rsidRDefault="005E4276">
      <w:pPr>
        <w:spacing w:after="0" w:line="240" w:lineRule="auto"/>
        <w:rPr>
          <w:rFonts w:ascii="Arial" w:eastAsia="Arial" w:hAnsi="Arial" w:cs="Arial"/>
          <w:sz w:val="18"/>
          <w:szCs w:val="18"/>
        </w:rPr>
      </w:pPr>
    </w:p>
    <w:tbl>
      <w:tblPr>
        <w:tblStyle w:val="TableauListe6Couleur-Accentuation3"/>
        <w:tblW w:w="9351" w:type="dxa"/>
        <w:tblLayout w:type="fixed"/>
        <w:tblLook w:val="0400" w:firstRow="0" w:lastRow="0" w:firstColumn="0" w:lastColumn="0" w:noHBand="0" w:noVBand="1"/>
      </w:tblPr>
      <w:tblGrid>
        <w:gridCol w:w="1418"/>
        <w:gridCol w:w="1559"/>
        <w:gridCol w:w="1559"/>
        <w:gridCol w:w="1701"/>
        <w:gridCol w:w="1418"/>
        <w:gridCol w:w="1696"/>
      </w:tblGrid>
      <w:tr w:rsidR="005E4276" w:rsidRPr="00685C3E" w14:paraId="62A00A7A" w14:textId="77777777" w:rsidTr="00BB3984">
        <w:trPr>
          <w:cnfStyle w:val="000000100000" w:firstRow="0" w:lastRow="0" w:firstColumn="0" w:lastColumn="0" w:oddVBand="0" w:evenVBand="0" w:oddHBand="1" w:evenHBand="0" w:firstRowFirstColumn="0" w:firstRowLastColumn="0" w:lastRowFirstColumn="0" w:lastRowLastColumn="0"/>
        </w:trPr>
        <w:tc>
          <w:tcPr>
            <w:tcW w:w="1418" w:type="dxa"/>
            <w:tcBorders>
              <w:bottom w:val="single" w:sz="24" w:space="0" w:color="auto"/>
            </w:tcBorders>
            <w:shd w:val="clear" w:color="auto" w:fill="auto"/>
          </w:tcPr>
          <w:p w14:paraId="7063C062"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Variable</w:t>
            </w:r>
          </w:p>
        </w:tc>
        <w:tc>
          <w:tcPr>
            <w:tcW w:w="1559" w:type="dxa"/>
            <w:tcBorders>
              <w:bottom w:val="single" w:sz="24" w:space="0" w:color="auto"/>
            </w:tcBorders>
            <w:shd w:val="clear" w:color="auto" w:fill="auto"/>
          </w:tcPr>
          <w:p w14:paraId="3DD87341"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Groupe 1</w:t>
            </w:r>
          </w:p>
        </w:tc>
        <w:tc>
          <w:tcPr>
            <w:tcW w:w="1559" w:type="dxa"/>
            <w:tcBorders>
              <w:bottom w:val="single" w:sz="24" w:space="0" w:color="auto"/>
            </w:tcBorders>
            <w:shd w:val="clear" w:color="auto" w:fill="auto"/>
          </w:tcPr>
          <w:p w14:paraId="33CA492C"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Groupe 2</w:t>
            </w:r>
          </w:p>
        </w:tc>
        <w:tc>
          <w:tcPr>
            <w:tcW w:w="1701" w:type="dxa"/>
            <w:tcBorders>
              <w:bottom w:val="single" w:sz="24" w:space="0" w:color="auto"/>
            </w:tcBorders>
            <w:shd w:val="clear" w:color="auto" w:fill="auto"/>
          </w:tcPr>
          <w:p w14:paraId="7265FE8A"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Groupe 3</w:t>
            </w:r>
          </w:p>
        </w:tc>
        <w:tc>
          <w:tcPr>
            <w:tcW w:w="1418" w:type="dxa"/>
            <w:tcBorders>
              <w:bottom w:val="single" w:sz="24" w:space="0" w:color="auto"/>
            </w:tcBorders>
            <w:shd w:val="clear" w:color="auto" w:fill="auto"/>
          </w:tcPr>
          <w:p w14:paraId="4DE2E101"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Groupe 4</w:t>
            </w:r>
          </w:p>
        </w:tc>
        <w:tc>
          <w:tcPr>
            <w:tcW w:w="1696" w:type="dxa"/>
            <w:tcBorders>
              <w:bottom w:val="single" w:sz="24" w:space="0" w:color="auto"/>
            </w:tcBorders>
            <w:shd w:val="clear" w:color="auto" w:fill="auto"/>
          </w:tcPr>
          <w:p w14:paraId="13DEBA5C"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Groupe 5</w:t>
            </w:r>
          </w:p>
        </w:tc>
      </w:tr>
      <w:tr w:rsidR="005E4276" w:rsidRPr="00685C3E" w14:paraId="09A006E0" w14:textId="77777777" w:rsidTr="00BB3984">
        <w:tc>
          <w:tcPr>
            <w:tcW w:w="1418" w:type="dxa"/>
            <w:tcBorders>
              <w:top w:val="single" w:sz="24" w:space="0" w:color="auto"/>
            </w:tcBorders>
            <w:shd w:val="clear" w:color="auto" w:fill="auto"/>
          </w:tcPr>
          <w:p w14:paraId="30BEC6DC"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Taux effectif de l’IUTS</w:t>
            </w:r>
          </w:p>
        </w:tc>
        <w:tc>
          <w:tcPr>
            <w:tcW w:w="1559" w:type="dxa"/>
            <w:tcBorders>
              <w:top w:val="single" w:sz="24" w:space="0" w:color="auto"/>
            </w:tcBorders>
            <w:shd w:val="clear" w:color="auto" w:fill="auto"/>
          </w:tcPr>
          <w:p w14:paraId="57F2D106" w14:textId="77777777" w:rsidR="00C707D1" w:rsidRPr="00685C3E" w:rsidRDefault="00FD260C" w:rsidP="001838B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-0,126247</w:t>
            </w:r>
          </w:p>
          <w:p w14:paraId="1BECBA22" w14:textId="7A77CF34" w:rsidR="00FD260C" w:rsidRPr="00685C3E" w:rsidRDefault="00FD260C" w:rsidP="001838B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(0,986862)</w:t>
            </w:r>
          </w:p>
        </w:tc>
        <w:tc>
          <w:tcPr>
            <w:tcW w:w="1559" w:type="dxa"/>
            <w:tcBorders>
              <w:top w:val="single" w:sz="24" w:space="0" w:color="auto"/>
            </w:tcBorders>
            <w:shd w:val="clear" w:color="auto" w:fill="auto"/>
          </w:tcPr>
          <w:p w14:paraId="0279FD48" w14:textId="0054D693" w:rsidR="005E4276" w:rsidRPr="00685C3E" w:rsidRDefault="0027176A">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-0,385534</w:t>
            </w:r>
            <w:r w:rsidRPr="00685C3E">
              <w:rPr>
                <w:rFonts w:ascii="Times New Roman" w:eastAsia="Times New Roman" w:hAnsi="Times New Roman" w:cs="Times New Roman"/>
                <w:color w:val="000000"/>
                <w:sz w:val="20"/>
                <w:szCs w:val="20"/>
                <w:vertAlign w:val="superscript"/>
              </w:rPr>
              <w:t>**</w:t>
            </w:r>
          </w:p>
          <w:p w14:paraId="0D3D3C75" w14:textId="6734F6A5" w:rsidR="0052699D" w:rsidRPr="00685C3E" w:rsidRDefault="0027176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(0,119125</w:t>
            </w:r>
            <w:r w:rsidR="0052699D" w:rsidRPr="00685C3E">
              <w:rPr>
                <w:rFonts w:ascii="Times New Roman" w:eastAsia="Times New Roman" w:hAnsi="Times New Roman" w:cs="Times New Roman"/>
                <w:color w:val="000000"/>
                <w:sz w:val="20"/>
                <w:szCs w:val="20"/>
              </w:rPr>
              <w:t>)</w:t>
            </w:r>
          </w:p>
        </w:tc>
        <w:tc>
          <w:tcPr>
            <w:tcW w:w="1701" w:type="dxa"/>
            <w:tcBorders>
              <w:top w:val="single" w:sz="24" w:space="0" w:color="auto"/>
            </w:tcBorders>
            <w:shd w:val="clear" w:color="auto" w:fill="auto"/>
          </w:tcPr>
          <w:p w14:paraId="43949B71" w14:textId="08856BBA" w:rsidR="00870898" w:rsidRPr="00685C3E" w:rsidRDefault="00D10B21">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-0,020258</w:t>
            </w:r>
            <w:r w:rsidRPr="00685C3E">
              <w:rPr>
                <w:rFonts w:ascii="Times New Roman" w:eastAsia="Times New Roman" w:hAnsi="Times New Roman" w:cs="Times New Roman"/>
                <w:color w:val="000000"/>
                <w:sz w:val="20"/>
                <w:szCs w:val="20"/>
                <w:vertAlign w:val="superscript"/>
              </w:rPr>
              <w:t>**</w:t>
            </w:r>
          </w:p>
          <w:p w14:paraId="520D85CF" w14:textId="17053190" w:rsidR="00D10B21" w:rsidRPr="00685C3E" w:rsidRDefault="00D10B21">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(0,005262)</w:t>
            </w:r>
          </w:p>
        </w:tc>
        <w:tc>
          <w:tcPr>
            <w:tcW w:w="1418" w:type="dxa"/>
            <w:tcBorders>
              <w:top w:val="single" w:sz="24" w:space="0" w:color="auto"/>
            </w:tcBorders>
            <w:shd w:val="clear" w:color="auto" w:fill="auto"/>
          </w:tcPr>
          <w:p w14:paraId="432BA956" w14:textId="77777777" w:rsidR="005E4276"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0,025184</w:t>
            </w:r>
          </w:p>
          <w:p w14:paraId="21D81666" w14:textId="78D0521F" w:rsidR="00B105FA"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(0,314133)</w:t>
            </w:r>
          </w:p>
        </w:tc>
        <w:tc>
          <w:tcPr>
            <w:tcW w:w="1696" w:type="dxa"/>
            <w:tcBorders>
              <w:top w:val="single" w:sz="24" w:space="0" w:color="auto"/>
            </w:tcBorders>
            <w:shd w:val="clear" w:color="auto" w:fill="auto"/>
          </w:tcPr>
          <w:p w14:paraId="05ADC731" w14:textId="77777777" w:rsidR="005E4276" w:rsidRPr="00685C3E" w:rsidRDefault="00156AEF">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-0,004588</w:t>
            </w:r>
          </w:p>
          <w:p w14:paraId="21BA7826" w14:textId="73005E8F" w:rsidR="00156AEF" w:rsidRPr="00685C3E" w:rsidRDefault="00156AEF">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(0,004136)</w:t>
            </w:r>
          </w:p>
        </w:tc>
      </w:tr>
      <w:tr w:rsidR="005E4276" w:rsidRPr="00685C3E" w14:paraId="43FA97AB" w14:textId="77777777" w:rsidTr="00BB3984">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auto"/>
          </w:tcPr>
          <w:p w14:paraId="5B347446"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Inflation</w:t>
            </w:r>
          </w:p>
        </w:tc>
        <w:tc>
          <w:tcPr>
            <w:tcW w:w="1559" w:type="dxa"/>
            <w:shd w:val="clear" w:color="auto" w:fill="auto"/>
          </w:tcPr>
          <w:p w14:paraId="016DDF89" w14:textId="7E64B96F" w:rsidR="001838BA" w:rsidRPr="00685C3E" w:rsidRDefault="00FD260C" w:rsidP="001838B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-0,011203</w:t>
            </w:r>
          </w:p>
          <w:p w14:paraId="7CB1FB2B" w14:textId="3488E1ED" w:rsidR="00FD260C" w:rsidRPr="00685C3E" w:rsidRDefault="00FD260C" w:rsidP="001838B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(0,074800)</w:t>
            </w:r>
          </w:p>
          <w:p w14:paraId="4CAD87F6" w14:textId="61BD3AC7" w:rsidR="00C707D1" w:rsidRPr="00685C3E" w:rsidRDefault="00C707D1">
            <w:pPr>
              <w:spacing w:line="360" w:lineRule="auto"/>
              <w:jc w:val="both"/>
              <w:rPr>
                <w:rFonts w:ascii="Times New Roman" w:eastAsia="Times New Roman" w:hAnsi="Times New Roman" w:cs="Times New Roman"/>
                <w:color w:val="000000"/>
                <w:sz w:val="20"/>
                <w:szCs w:val="20"/>
              </w:rPr>
            </w:pPr>
          </w:p>
        </w:tc>
        <w:tc>
          <w:tcPr>
            <w:tcW w:w="1559" w:type="dxa"/>
            <w:shd w:val="clear" w:color="auto" w:fill="auto"/>
          </w:tcPr>
          <w:p w14:paraId="6BA7AA08" w14:textId="7FC4FB19" w:rsidR="005E4276" w:rsidRPr="00685C3E" w:rsidRDefault="0027176A">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-0,008</w:t>
            </w:r>
            <w:r w:rsidR="00D67D0B" w:rsidRPr="00685C3E">
              <w:rPr>
                <w:rFonts w:ascii="Times New Roman" w:eastAsia="Times New Roman" w:hAnsi="Times New Roman" w:cs="Times New Roman"/>
                <w:color w:val="000000"/>
                <w:sz w:val="20"/>
                <w:szCs w:val="20"/>
              </w:rPr>
              <w:t>282</w:t>
            </w:r>
          </w:p>
          <w:p w14:paraId="668BC4AF" w14:textId="2AC3102F" w:rsidR="0052699D" w:rsidRPr="00685C3E" w:rsidRDefault="00D67D0B">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(0,013303</w:t>
            </w:r>
            <w:r w:rsidR="0052699D" w:rsidRPr="00685C3E">
              <w:rPr>
                <w:rFonts w:ascii="Times New Roman" w:eastAsia="Times New Roman" w:hAnsi="Times New Roman" w:cs="Times New Roman"/>
                <w:color w:val="000000"/>
                <w:sz w:val="20"/>
                <w:szCs w:val="20"/>
              </w:rPr>
              <w:t>)</w:t>
            </w:r>
          </w:p>
        </w:tc>
        <w:tc>
          <w:tcPr>
            <w:tcW w:w="1701" w:type="dxa"/>
            <w:shd w:val="clear" w:color="auto" w:fill="auto"/>
          </w:tcPr>
          <w:p w14:paraId="187EAA75" w14:textId="4DB1BC64" w:rsidR="003960E8" w:rsidRPr="00685C3E" w:rsidRDefault="00D10B21" w:rsidP="003960E8">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0,015302</w:t>
            </w:r>
            <w:r w:rsidRPr="00685C3E">
              <w:rPr>
                <w:rFonts w:ascii="Times New Roman" w:eastAsia="Times New Roman" w:hAnsi="Times New Roman" w:cs="Times New Roman"/>
                <w:color w:val="000000"/>
                <w:sz w:val="20"/>
                <w:szCs w:val="20"/>
                <w:vertAlign w:val="superscript"/>
              </w:rPr>
              <w:t>**</w:t>
            </w:r>
          </w:p>
          <w:p w14:paraId="68CF53C2" w14:textId="24C09C87" w:rsidR="00D10B21" w:rsidRPr="00685C3E" w:rsidRDefault="00D10B21" w:rsidP="003960E8">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(0,001357)</w:t>
            </w:r>
          </w:p>
          <w:p w14:paraId="370FA278" w14:textId="7A592495" w:rsidR="005C668D" w:rsidRPr="00685C3E" w:rsidRDefault="005C668D">
            <w:pPr>
              <w:spacing w:line="360" w:lineRule="auto"/>
              <w:jc w:val="both"/>
              <w:rPr>
                <w:rFonts w:ascii="Times New Roman" w:eastAsia="Times New Roman" w:hAnsi="Times New Roman" w:cs="Times New Roman"/>
                <w:color w:val="000000"/>
                <w:sz w:val="20"/>
                <w:szCs w:val="20"/>
              </w:rPr>
            </w:pPr>
          </w:p>
        </w:tc>
        <w:tc>
          <w:tcPr>
            <w:tcW w:w="1418" w:type="dxa"/>
            <w:shd w:val="clear" w:color="auto" w:fill="auto"/>
          </w:tcPr>
          <w:p w14:paraId="34553CF3" w14:textId="77777777" w:rsidR="005E4276"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-0,047343</w:t>
            </w:r>
          </w:p>
          <w:p w14:paraId="2D9DFDB0" w14:textId="55D5A396" w:rsidR="00B105FA"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(0,044968)</w:t>
            </w:r>
          </w:p>
        </w:tc>
        <w:tc>
          <w:tcPr>
            <w:tcW w:w="1696" w:type="dxa"/>
            <w:shd w:val="clear" w:color="auto" w:fill="auto"/>
          </w:tcPr>
          <w:p w14:paraId="532AE199" w14:textId="77DD9A7A" w:rsidR="005E4276" w:rsidRPr="00685C3E" w:rsidRDefault="001D29BB">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-0,005140</w:t>
            </w:r>
            <w:r w:rsidRPr="00685C3E">
              <w:rPr>
                <w:rFonts w:ascii="Times New Roman" w:eastAsia="Times New Roman" w:hAnsi="Times New Roman" w:cs="Times New Roman"/>
                <w:color w:val="000000"/>
                <w:sz w:val="20"/>
                <w:szCs w:val="20"/>
                <w:vertAlign w:val="superscript"/>
              </w:rPr>
              <w:t>**</w:t>
            </w:r>
          </w:p>
          <w:p w14:paraId="7E70AF1B" w14:textId="5857F60C" w:rsidR="001D29BB" w:rsidRPr="00685C3E" w:rsidRDefault="001D29BB">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(0,000593)</w:t>
            </w:r>
          </w:p>
        </w:tc>
      </w:tr>
      <w:tr w:rsidR="005E4276" w:rsidRPr="00685C3E" w14:paraId="5B4D0002" w14:textId="77777777" w:rsidTr="00BB3984">
        <w:tc>
          <w:tcPr>
            <w:tcW w:w="1418" w:type="dxa"/>
            <w:shd w:val="clear" w:color="auto" w:fill="auto"/>
          </w:tcPr>
          <w:p w14:paraId="7F995482"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Taux d’intérêt</w:t>
            </w:r>
          </w:p>
        </w:tc>
        <w:tc>
          <w:tcPr>
            <w:tcW w:w="1559" w:type="dxa"/>
            <w:shd w:val="clear" w:color="auto" w:fill="auto"/>
          </w:tcPr>
          <w:p w14:paraId="713CB655" w14:textId="2AEACBC2" w:rsidR="00C707D1" w:rsidRPr="00685C3E" w:rsidRDefault="00FD260C">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w:t>
            </w:r>
            <w:r w:rsidR="00CF78C6" w:rsidRPr="00685C3E">
              <w:rPr>
                <w:rFonts w:ascii="Times New Roman" w:eastAsia="Times New Roman" w:hAnsi="Times New Roman" w:cs="Times New Roman"/>
                <w:color w:val="000000"/>
                <w:sz w:val="20"/>
                <w:szCs w:val="20"/>
              </w:rPr>
              <w:t>027245</w:t>
            </w:r>
          </w:p>
          <w:p w14:paraId="2E91B6C2" w14:textId="15738DE4" w:rsidR="00CF78C6" w:rsidRPr="00685C3E" w:rsidRDefault="00CF78C6">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(0,986862)</w:t>
            </w:r>
          </w:p>
          <w:p w14:paraId="54D564AD" w14:textId="5CA9DC66" w:rsidR="001838BA" w:rsidRPr="00685C3E" w:rsidRDefault="001838BA">
            <w:pPr>
              <w:spacing w:line="360" w:lineRule="auto"/>
              <w:jc w:val="both"/>
              <w:rPr>
                <w:rFonts w:ascii="Times New Roman" w:eastAsia="Times New Roman" w:hAnsi="Times New Roman" w:cs="Times New Roman"/>
                <w:color w:val="000000"/>
                <w:sz w:val="20"/>
                <w:szCs w:val="20"/>
              </w:rPr>
            </w:pPr>
          </w:p>
        </w:tc>
        <w:tc>
          <w:tcPr>
            <w:tcW w:w="1559" w:type="dxa"/>
            <w:shd w:val="clear" w:color="auto" w:fill="auto"/>
          </w:tcPr>
          <w:p w14:paraId="43CB8173" w14:textId="247BA6A3" w:rsidR="005E4276" w:rsidRPr="00685C3E" w:rsidRDefault="00D67D0B">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w:t>
            </w:r>
            <w:r w:rsidR="000C0231" w:rsidRPr="00685C3E">
              <w:rPr>
                <w:rFonts w:ascii="Times New Roman" w:eastAsia="Times New Roman" w:hAnsi="Times New Roman" w:cs="Times New Roman"/>
                <w:color w:val="000000"/>
                <w:sz w:val="20"/>
                <w:szCs w:val="20"/>
              </w:rPr>
              <w:t>065177</w:t>
            </w:r>
          </w:p>
          <w:p w14:paraId="7FAC9951" w14:textId="0294CD04" w:rsidR="0052699D" w:rsidRPr="00685C3E" w:rsidRDefault="0052699D">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(0,003013)</w:t>
            </w:r>
          </w:p>
        </w:tc>
        <w:tc>
          <w:tcPr>
            <w:tcW w:w="1701" w:type="dxa"/>
            <w:shd w:val="clear" w:color="auto" w:fill="auto"/>
          </w:tcPr>
          <w:p w14:paraId="6C3BA3C1" w14:textId="46BABA53" w:rsidR="00BC6908" w:rsidRPr="00685C3E" w:rsidRDefault="00C76006">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0, 0000</w:t>
            </w:r>
            <w:r w:rsidR="00C929C8" w:rsidRPr="00685C3E">
              <w:rPr>
                <w:rFonts w:ascii="Times New Roman" w:eastAsia="Times New Roman" w:hAnsi="Times New Roman" w:cs="Times New Roman"/>
                <w:color w:val="000000"/>
                <w:sz w:val="20"/>
                <w:szCs w:val="20"/>
              </w:rPr>
              <w:t>85</w:t>
            </w:r>
          </w:p>
          <w:p w14:paraId="0025B359" w14:textId="53A7CD42" w:rsidR="00C929C8" w:rsidRPr="00685C3E" w:rsidRDefault="00C929C8">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(0,001406)</w:t>
            </w:r>
          </w:p>
        </w:tc>
        <w:tc>
          <w:tcPr>
            <w:tcW w:w="1418" w:type="dxa"/>
            <w:shd w:val="clear" w:color="auto" w:fill="auto"/>
          </w:tcPr>
          <w:p w14:paraId="469942B2" w14:textId="77777777" w:rsidR="005E4276"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0,143685</w:t>
            </w:r>
          </w:p>
          <w:p w14:paraId="4E816059" w14:textId="0396695E" w:rsidR="00B105FA"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(0,138297)</w:t>
            </w:r>
          </w:p>
        </w:tc>
        <w:tc>
          <w:tcPr>
            <w:tcW w:w="1696" w:type="dxa"/>
            <w:shd w:val="clear" w:color="auto" w:fill="auto"/>
          </w:tcPr>
          <w:p w14:paraId="56994963" w14:textId="77777777" w:rsidR="005E4276" w:rsidRPr="00685C3E" w:rsidRDefault="001D29BB">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0,002070</w:t>
            </w:r>
          </w:p>
          <w:p w14:paraId="213076DF" w14:textId="1672F9FA" w:rsidR="001D29BB" w:rsidRPr="00685C3E" w:rsidRDefault="001D29BB">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(0,001133)</w:t>
            </w:r>
          </w:p>
        </w:tc>
      </w:tr>
      <w:tr w:rsidR="00ED1942" w:rsidRPr="00685C3E" w14:paraId="3E3D2F0A" w14:textId="77777777" w:rsidTr="00BB3984">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auto"/>
          </w:tcPr>
          <w:p w14:paraId="295A4DB5" w14:textId="7AC959FF" w:rsidR="00ED1942" w:rsidRPr="00685C3E" w:rsidRDefault="00ED1942">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Taux de chômage</w:t>
            </w:r>
          </w:p>
        </w:tc>
        <w:tc>
          <w:tcPr>
            <w:tcW w:w="1559" w:type="dxa"/>
            <w:shd w:val="clear" w:color="auto" w:fill="auto"/>
          </w:tcPr>
          <w:p w14:paraId="5FAFF9A6" w14:textId="77777777" w:rsidR="00C707D1" w:rsidRPr="00685C3E" w:rsidRDefault="00CF78C6">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0,171281</w:t>
            </w:r>
          </w:p>
          <w:p w14:paraId="0863E722" w14:textId="4A8EA49A" w:rsidR="00CF78C6" w:rsidRPr="00685C3E" w:rsidRDefault="00CF78C6">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(1,305436)</w:t>
            </w:r>
          </w:p>
        </w:tc>
        <w:tc>
          <w:tcPr>
            <w:tcW w:w="1559" w:type="dxa"/>
            <w:shd w:val="clear" w:color="auto" w:fill="auto"/>
          </w:tcPr>
          <w:p w14:paraId="0363745C" w14:textId="3725648E" w:rsidR="00ED1942" w:rsidRPr="00685C3E" w:rsidRDefault="005D7C2F">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0,010414</w:t>
            </w:r>
          </w:p>
          <w:p w14:paraId="7BA6B6AD" w14:textId="24A5C1D6" w:rsidR="0052699D" w:rsidRPr="00685C3E" w:rsidRDefault="009015E9">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(0,294810</w:t>
            </w:r>
            <w:r w:rsidR="0052699D" w:rsidRPr="00685C3E">
              <w:rPr>
                <w:rFonts w:ascii="Times New Roman" w:eastAsia="Times New Roman" w:hAnsi="Times New Roman" w:cs="Times New Roman"/>
                <w:color w:val="000000"/>
                <w:sz w:val="20"/>
                <w:szCs w:val="20"/>
              </w:rPr>
              <w:t>)</w:t>
            </w:r>
          </w:p>
        </w:tc>
        <w:tc>
          <w:tcPr>
            <w:tcW w:w="1701" w:type="dxa"/>
            <w:shd w:val="clear" w:color="auto" w:fill="auto"/>
          </w:tcPr>
          <w:p w14:paraId="44612D15" w14:textId="72D3B9C2" w:rsidR="00ED1942" w:rsidRPr="00685C3E" w:rsidRDefault="00D10B21">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-0,331462</w:t>
            </w:r>
            <w:r w:rsidRPr="00685C3E">
              <w:rPr>
                <w:rFonts w:ascii="Times New Roman" w:eastAsia="Times New Roman" w:hAnsi="Times New Roman" w:cs="Times New Roman"/>
                <w:color w:val="000000"/>
                <w:sz w:val="20"/>
                <w:szCs w:val="20"/>
                <w:vertAlign w:val="superscript"/>
              </w:rPr>
              <w:t>**</w:t>
            </w:r>
          </w:p>
          <w:p w14:paraId="45BAF4F2" w14:textId="7D6FCDE4" w:rsidR="00D10B21" w:rsidRPr="00685C3E" w:rsidRDefault="00D10B21">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(0,033143)</w:t>
            </w:r>
          </w:p>
        </w:tc>
        <w:tc>
          <w:tcPr>
            <w:tcW w:w="1418" w:type="dxa"/>
            <w:shd w:val="clear" w:color="auto" w:fill="auto"/>
          </w:tcPr>
          <w:p w14:paraId="35A5EDE8" w14:textId="77777777" w:rsidR="00ED1942"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3,345012</w:t>
            </w:r>
          </w:p>
          <w:p w14:paraId="3053C98C" w14:textId="564D62F6" w:rsidR="00B105FA"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(2,190130)</w:t>
            </w:r>
          </w:p>
        </w:tc>
        <w:tc>
          <w:tcPr>
            <w:tcW w:w="1696" w:type="dxa"/>
            <w:shd w:val="clear" w:color="auto" w:fill="auto"/>
          </w:tcPr>
          <w:p w14:paraId="63D024DB" w14:textId="6636B405" w:rsidR="00ED1942" w:rsidRPr="00685C3E" w:rsidRDefault="001D29BB">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0,076942</w:t>
            </w:r>
            <w:r w:rsidRPr="00685C3E">
              <w:rPr>
                <w:rFonts w:ascii="Times New Roman" w:eastAsia="Times New Roman" w:hAnsi="Times New Roman" w:cs="Times New Roman"/>
                <w:color w:val="000000"/>
                <w:sz w:val="20"/>
                <w:szCs w:val="20"/>
                <w:vertAlign w:val="superscript"/>
              </w:rPr>
              <w:t>**</w:t>
            </w:r>
          </w:p>
          <w:p w14:paraId="1967CD57" w14:textId="20D7F206" w:rsidR="001D29BB" w:rsidRPr="00685C3E" w:rsidRDefault="001D29BB">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(0,019513)</w:t>
            </w:r>
          </w:p>
        </w:tc>
      </w:tr>
      <w:tr w:rsidR="005E4276" w:rsidRPr="00685C3E" w14:paraId="7DAD39C5" w14:textId="77777777" w:rsidTr="00BB3984">
        <w:tc>
          <w:tcPr>
            <w:tcW w:w="1418" w:type="dxa"/>
            <w:tcBorders>
              <w:bottom w:val="single" w:sz="24" w:space="0" w:color="auto"/>
            </w:tcBorders>
            <w:shd w:val="clear" w:color="auto" w:fill="auto"/>
          </w:tcPr>
          <w:p w14:paraId="34063301" w14:textId="77777777" w:rsidR="005E4276" w:rsidRPr="00685C3E" w:rsidRDefault="006D388F">
            <w:pPr>
              <w:spacing w:line="360" w:lineRule="auto"/>
              <w:jc w:val="both"/>
              <w:rPr>
                <w:rFonts w:ascii="Times New Roman" w:eastAsia="Times New Roman" w:hAnsi="Times New Roman" w:cs="Times New Roman"/>
                <w:b/>
                <w:bCs/>
                <w:color w:val="000000"/>
                <w:sz w:val="20"/>
                <w:szCs w:val="20"/>
              </w:rPr>
            </w:pPr>
            <w:r w:rsidRPr="00685C3E">
              <w:rPr>
                <w:rFonts w:ascii="Times New Roman" w:eastAsia="Times New Roman" w:hAnsi="Times New Roman" w:cs="Times New Roman"/>
                <w:b/>
                <w:bCs/>
                <w:color w:val="000000"/>
                <w:sz w:val="20"/>
                <w:szCs w:val="20"/>
              </w:rPr>
              <w:t>C</w:t>
            </w:r>
          </w:p>
        </w:tc>
        <w:tc>
          <w:tcPr>
            <w:tcW w:w="1559" w:type="dxa"/>
            <w:tcBorders>
              <w:bottom w:val="single" w:sz="24" w:space="0" w:color="auto"/>
            </w:tcBorders>
            <w:shd w:val="clear" w:color="auto" w:fill="auto"/>
          </w:tcPr>
          <w:p w14:paraId="3896EDBB" w14:textId="77777777" w:rsidR="001E6FF1" w:rsidRPr="00685C3E" w:rsidRDefault="00CF78C6">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3,422180</w:t>
            </w:r>
          </w:p>
          <w:p w14:paraId="55F98B92" w14:textId="31C5A762" w:rsidR="00CF78C6" w:rsidRPr="00685C3E" w:rsidRDefault="00CF78C6">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(3,476604)</w:t>
            </w:r>
          </w:p>
        </w:tc>
        <w:tc>
          <w:tcPr>
            <w:tcW w:w="1559" w:type="dxa"/>
            <w:tcBorders>
              <w:bottom w:val="single" w:sz="24" w:space="0" w:color="auto"/>
            </w:tcBorders>
            <w:shd w:val="clear" w:color="auto" w:fill="auto"/>
          </w:tcPr>
          <w:p w14:paraId="47D11C4A" w14:textId="74E6F3DB" w:rsidR="005E4276" w:rsidRPr="00685C3E" w:rsidRDefault="009015E9">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1,222991</w:t>
            </w:r>
          </w:p>
          <w:p w14:paraId="11CCA934" w14:textId="5BF18856" w:rsidR="0052699D" w:rsidRPr="00685C3E" w:rsidRDefault="009015E9">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(1,1859</w:t>
            </w:r>
            <w:r w:rsidR="003536EF" w:rsidRPr="00685C3E">
              <w:rPr>
                <w:rFonts w:ascii="Times New Roman" w:eastAsia="Times New Roman" w:hAnsi="Times New Roman" w:cs="Times New Roman"/>
                <w:color w:val="000000"/>
                <w:sz w:val="20"/>
                <w:szCs w:val="20"/>
              </w:rPr>
              <w:t>26</w:t>
            </w:r>
            <w:r w:rsidR="0052699D" w:rsidRPr="00685C3E">
              <w:rPr>
                <w:rFonts w:ascii="Times New Roman" w:eastAsia="Times New Roman" w:hAnsi="Times New Roman" w:cs="Times New Roman"/>
                <w:color w:val="000000"/>
                <w:sz w:val="20"/>
                <w:szCs w:val="20"/>
              </w:rPr>
              <w:t>)</w:t>
            </w:r>
          </w:p>
        </w:tc>
        <w:tc>
          <w:tcPr>
            <w:tcW w:w="1701" w:type="dxa"/>
            <w:tcBorders>
              <w:bottom w:val="single" w:sz="24" w:space="0" w:color="auto"/>
            </w:tcBorders>
            <w:shd w:val="clear" w:color="auto" w:fill="auto"/>
          </w:tcPr>
          <w:p w14:paraId="4878A5B4" w14:textId="5C37F3C6" w:rsidR="00EE4763" w:rsidRPr="00685C3E" w:rsidRDefault="00D10B21">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3,820074</w:t>
            </w:r>
            <w:r w:rsidRPr="00685C3E">
              <w:rPr>
                <w:rFonts w:ascii="Times New Roman" w:eastAsia="Times New Roman" w:hAnsi="Times New Roman" w:cs="Times New Roman"/>
                <w:color w:val="000000"/>
                <w:sz w:val="20"/>
                <w:szCs w:val="20"/>
                <w:vertAlign w:val="superscript"/>
              </w:rPr>
              <w:t>***</w:t>
            </w:r>
          </w:p>
          <w:p w14:paraId="27D88640" w14:textId="655B5406" w:rsidR="00D10B21" w:rsidRPr="00685C3E" w:rsidRDefault="00D10B21">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(0,143477)</w:t>
            </w:r>
          </w:p>
        </w:tc>
        <w:tc>
          <w:tcPr>
            <w:tcW w:w="1418" w:type="dxa"/>
            <w:tcBorders>
              <w:bottom w:val="single" w:sz="24" w:space="0" w:color="auto"/>
            </w:tcBorders>
            <w:shd w:val="clear" w:color="auto" w:fill="auto"/>
          </w:tcPr>
          <w:p w14:paraId="334C9B8E" w14:textId="77777777" w:rsidR="005E4276"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-14,91676</w:t>
            </w:r>
          </w:p>
          <w:p w14:paraId="627FA2F6" w14:textId="64ABE080" w:rsidR="00B105FA" w:rsidRPr="00685C3E" w:rsidRDefault="00B105FA">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(10,77369)</w:t>
            </w:r>
          </w:p>
        </w:tc>
        <w:tc>
          <w:tcPr>
            <w:tcW w:w="1696" w:type="dxa"/>
            <w:tcBorders>
              <w:bottom w:val="single" w:sz="24" w:space="0" w:color="auto"/>
            </w:tcBorders>
            <w:shd w:val="clear" w:color="auto" w:fill="auto"/>
          </w:tcPr>
          <w:p w14:paraId="33300B67" w14:textId="5BBE74BD" w:rsidR="005E4276" w:rsidRPr="00685C3E" w:rsidRDefault="001D29BB">
            <w:pPr>
              <w:spacing w:line="360" w:lineRule="auto"/>
              <w:jc w:val="both"/>
              <w:rPr>
                <w:rFonts w:ascii="Times New Roman" w:eastAsia="Times New Roman" w:hAnsi="Times New Roman" w:cs="Times New Roman"/>
                <w:color w:val="000000"/>
                <w:sz w:val="20"/>
                <w:szCs w:val="20"/>
                <w:vertAlign w:val="superscript"/>
              </w:rPr>
            </w:pPr>
            <w:r w:rsidRPr="00685C3E">
              <w:rPr>
                <w:rFonts w:ascii="Times New Roman" w:eastAsia="Times New Roman" w:hAnsi="Times New Roman" w:cs="Times New Roman"/>
                <w:color w:val="000000"/>
                <w:sz w:val="20"/>
                <w:szCs w:val="20"/>
              </w:rPr>
              <w:t>2,398584</w:t>
            </w:r>
            <w:r w:rsidR="00156AEF" w:rsidRPr="00685C3E">
              <w:rPr>
                <w:rFonts w:ascii="Times New Roman" w:eastAsia="Times New Roman" w:hAnsi="Times New Roman" w:cs="Times New Roman"/>
                <w:color w:val="000000"/>
                <w:sz w:val="20"/>
                <w:szCs w:val="20"/>
                <w:vertAlign w:val="superscript"/>
              </w:rPr>
              <w:t>***</w:t>
            </w:r>
          </w:p>
          <w:p w14:paraId="4D382340" w14:textId="71D8D9AC" w:rsidR="001D29BB" w:rsidRPr="00685C3E" w:rsidRDefault="001D29BB">
            <w:pPr>
              <w:spacing w:line="360" w:lineRule="auto"/>
              <w:jc w:val="both"/>
              <w:rPr>
                <w:rFonts w:ascii="Times New Roman" w:eastAsia="Times New Roman" w:hAnsi="Times New Roman" w:cs="Times New Roman"/>
                <w:color w:val="000000"/>
                <w:sz w:val="20"/>
                <w:szCs w:val="20"/>
              </w:rPr>
            </w:pPr>
            <w:r w:rsidRPr="00685C3E">
              <w:rPr>
                <w:rFonts w:ascii="Times New Roman" w:eastAsia="Times New Roman" w:hAnsi="Times New Roman" w:cs="Times New Roman"/>
                <w:color w:val="000000"/>
                <w:sz w:val="20"/>
                <w:szCs w:val="20"/>
              </w:rPr>
              <w:t>(0,08</w:t>
            </w:r>
            <w:r w:rsidR="00156AEF" w:rsidRPr="00685C3E">
              <w:rPr>
                <w:rFonts w:ascii="Times New Roman" w:eastAsia="Times New Roman" w:hAnsi="Times New Roman" w:cs="Times New Roman"/>
                <w:color w:val="000000"/>
                <w:sz w:val="20"/>
                <w:szCs w:val="20"/>
              </w:rPr>
              <w:t>2255)</w:t>
            </w:r>
          </w:p>
        </w:tc>
      </w:tr>
    </w:tbl>
    <w:p w14:paraId="1623E63D" w14:textId="0375AB11" w:rsidR="0064310F" w:rsidRPr="00685C3E" w:rsidRDefault="00685C3E" w:rsidP="00685C3E">
      <w:pPr>
        <w:widowControl w:val="0"/>
        <w:spacing w:after="0" w:line="276"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NB :</w:t>
      </w:r>
      <w:r w:rsidRPr="00256989">
        <w:rPr>
          <w:rFonts w:ascii="Times New Roman" w:eastAsia="Times New Roman" w:hAnsi="Times New Roman" w:cs="Times New Roman"/>
          <w:sz w:val="20"/>
          <w:szCs w:val="20"/>
          <w:lang w:val="fr-FR"/>
        </w:rPr>
        <w:t xml:space="preserve"> Les erreurs standards sont entre parenthèses, *** significatif à 1%, ** significatif à 5%, * significatif à 10%</w:t>
      </w:r>
      <w:bookmarkEnd w:id="10"/>
    </w:p>
    <w:p w14:paraId="0F0F10C9" w14:textId="198E7C2F" w:rsidR="005E4276" w:rsidRPr="00256989" w:rsidRDefault="005E4276">
      <w:pPr>
        <w:spacing w:after="0" w:line="240" w:lineRule="auto"/>
        <w:rPr>
          <w:rFonts w:ascii="Arial" w:eastAsia="Arial" w:hAnsi="Arial" w:cs="Arial"/>
          <w:sz w:val="18"/>
          <w:szCs w:val="18"/>
          <w:lang w:val="fr-FR"/>
        </w:rPr>
      </w:pPr>
    </w:p>
    <w:p w14:paraId="50039814" w14:textId="1DD3FFBB" w:rsidR="005E4276" w:rsidRPr="00256989" w:rsidRDefault="006D388F">
      <w:pPr>
        <w:spacing w:line="360" w:lineRule="auto"/>
        <w:jc w:val="both"/>
        <w:rPr>
          <w:rFonts w:ascii="Times New Roman" w:eastAsia="Times New Roman" w:hAnsi="Times New Roman" w:cs="Times New Roman"/>
          <w:b/>
          <w:sz w:val="24"/>
          <w:szCs w:val="24"/>
          <w:lang w:val="fr-FR"/>
        </w:rPr>
      </w:pPr>
      <w:bookmarkStart w:id="13" w:name="_Hlk189837161"/>
      <w:r w:rsidRPr="00256989">
        <w:rPr>
          <w:rFonts w:ascii="Times New Roman" w:eastAsia="Times New Roman" w:hAnsi="Times New Roman" w:cs="Times New Roman"/>
          <w:b/>
          <w:sz w:val="24"/>
          <w:szCs w:val="24"/>
          <w:lang w:val="fr-FR"/>
        </w:rPr>
        <w:t>I</w:t>
      </w:r>
      <w:r w:rsidR="008739A4">
        <w:rPr>
          <w:rFonts w:ascii="Times New Roman" w:eastAsia="Times New Roman" w:hAnsi="Times New Roman" w:cs="Times New Roman"/>
          <w:b/>
          <w:sz w:val="24"/>
          <w:szCs w:val="24"/>
          <w:lang w:val="fr-FR"/>
        </w:rPr>
        <w:t>V</w:t>
      </w:r>
      <w:r w:rsidRPr="00256989">
        <w:rPr>
          <w:rFonts w:ascii="Times New Roman" w:eastAsia="Times New Roman" w:hAnsi="Times New Roman" w:cs="Times New Roman"/>
          <w:b/>
          <w:sz w:val="24"/>
          <w:szCs w:val="24"/>
          <w:lang w:val="fr-FR"/>
        </w:rPr>
        <w:t>.3.2 Interprétation économétrique</w:t>
      </w:r>
    </w:p>
    <w:p w14:paraId="34EE25C9" w14:textId="31A89B90" w:rsidR="005E4276"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Cette </w:t>
      </w:r>
      <w:r w:rsidR="00980017" w:rsidRPr="00256989">
        <w:rPr>
          <w:rFonts w:ascii="Times New Roman" w:eastAsia="Times New Roman" w:hAnsi="Times New Roman" w:cs="Times New Roman"/>
          <w:sz w:val="24"/>
          <w:szCs w:val="24"/>
          <w:lang w:val="fr-FR"/>
        </w:rPr>
        <w:t>section</w:t>
      </w:r>
      <w:r w:rsidRPr="00256989">
        <w:rPr>
          <w:rFonts w:ascii="Times New Roman" w:eastAsia="Times New Roman" w:hAnsi="Times New Roman" w:cs="Times New Roman"/>
          <w:sz w:val="24"/>
          <w:szCs w:val="24"/>
          <w:lang w:val="fr-FR"/>
        </w:rPr>
        <w:t xml:space="preserve"> expose</w:t>
      </w:r>
      <w:r w:rsidR="00CC3B69">
        <w:rPr>
          <w:rFonts w:ascii="Times New Roman" w:eastAsia="Times New Roman" w:hAnsi="Times New Roman" w:cs="Times New Roman"/>
          <w:sz w:val="24"/>
          <w:szCs w:val="24"/>
          <w:lang w:val="fr-FR"/>
        </w:rPr>
        <w:t xml:space="preserve"> </w:t>
      </w:r>
      <w:r w:rsidR="00020FC0">
        <w:rPr>
          <w:rFonts w:ascii="Times New Roman" w:eastAsia="Times New Roman" w:hAnsi="Times New Roman" w:cs="Times New Roman"/>
          <w:sz w:val="24"/>
          <w:szCs w:val="24"/>
          <w:lang w:val="fr-FR"/>
        </w:rPr>
        <w:t>les</w:t>
      </w:r>
      <w:r w:rsidR="00020FC0" w:rsidRPr="00256989">
        <w:rPr>
          <w:rFonts w:ascii="Times New Roman" w:eastAsia="Times New Roman" w:hAnsi="Times New Roman" w:cs="Times New Roman"/>
          <w:sz w:val="24"/>
          <w:szCs w:val="24"/>
          <w:lang w:val="fr-FR"/>
        </w:rPr>
        <w:t xml:space="preserve"> interprétations</w:t>
      </w:r>
      <w:r w:rsidR="00020FC0">
        <w:rPr>
          <w:rFonts w:ascii="Times New Roman" w:eastAsia="Times New Roman" w:hAnsi="Times New Roman" w:cs="Times New Roman"/>
          <w:sz w:val="24"/>
          <w:szCs w:val="24"/>
          <w:lang w:val="fr-FR"/>
        </w:rPr>
        <w:t xml:space="preserve"> économétriques</w:t>
      </w:r>
      <w:r w:rsidRPr="00256989">
        <w:rPr>
          <w:rFonts w:ascii="Times New Roman" w:eastAsia="Times New Roman" w:hAnsi="Times New Roman" w:cs="Times New Roman"/>
          <w:sz w:val="24"/>
          <w:szCs w:val="24"/>
          <w:lang w:val="fr-FR"/>
        </w:rPr>
        <w:t xml:space="preserve"> de nos différents coefficients sur les deux </w:t>
      </w:r>
      <w:r w:rsidR="004E040C">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modèles</w:t>
      </w:r>
      <w:r w:rsidR="00FF4C8E">
        <w:rPr>
          <w:rFonts w:ascii="Times New Roman" w:eastAsia="Times New Roman" w:hAnsi="Times New Roman" w:cs="Times New Roman"/>
          <w:sz w:val="24"/>
          <w:szCs w:val="24"/>
          <w:lang w:val="fr-FR"/>
        </w:rPr>
        <w:t xml:space="preserve"> ainsi que les modèles des différentes compos</w:t>
      </w:r>
      <w:r w:rsidR="00294744">
        <w:rPr>
          <w:rFonts w:ascii="Times New Roman" w:eastAsia="Times New Roman" w:hAnsi="Times New Roman" w:cs="Times New Roman"/>
          <w:sz w:val="24"/>
          <w:szCs w:val="24"/>
          <w:lang w:val="fr-FR"/>
        </w:rPr>
        <w:t>antes de la consommation finale</w:t>
      </w:r>
      <w:r w:rsidR="00FF4C8E">
        <w:rPr>
          <w:rFonts w:ascii="Times New Roman" w:eastAsia="Times New Roman" w:hAnsi="Times New Roman" w:cs="Times New Roman"/>
          <w:sz w:val="24"/>
          <w:szCs w:val="24"/>
          <w:lang w:val="fr-FR"/>
        </w:rPr>
        <w:t xml:space="preserve"> des ménages</w:t>
      </w:r>
      <w:r w:rsidR="0059754C">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Nous faisons l’hypothèse que toutes choses </w:t>
      </w:r>
      <w:r w:rsidR="004E040C">
        <w:rPr>
          <w:rFonts w:ascii="Times New Roman" w:eastAsia="Times New Roman" w:hAnsi="Times New Roman" w:cs="Times New Roman"/>
          <w:sz w:val="24"/>
          <w:szCs w:val="24"/>
          <w:lang w:val="fr-FR"/>
        </w:rPr>
        <w:t xml:space="preserve">étant </w:t>
      </w:r>
      <w:r w:rsidRPr="00256989">
        <w:rPr>
          <w:rFonts w:ascii="Times New Roman" w:eastAsia="Times New Roman" w:hAnsi="Times New Roman" w:cs="Times New Roman"/>
          <w:sz w:val="24"/>
          <w:szCs w:val="24"/>
          <w:lang w:val="fr-FR"/>
        </w:rPr>
        <w:t>égales par ailleurs.</w:t>
      </w:r>
    </w:p>
    <w:p w14:paraId="3BC226A6" w14:textId="380ADE07" w:rsidR="0059754C" w:rsidRDefault="00A00895" w:rsidP="0059754C">
      <w:pPr>
        <w:spacing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bCs/>
          <w:sz w:val="24"/>
          <w:szCs w:val="24"/>
          <w:lang w:val="fr-FR"/>
        </w:rPr>
        <w:t xml:space="preserve">Les résultats de l’effet de l’IUTS et de la TVA sur les dépenses de consommation finale des ménages à court terme et long terme sont consignés dans </w:t>
      </w:r>
      <w:r w:rsidRPr="00761D01">
        <w:rPr>
          <w:rFonts w:ascii="Times New Roman" w:eastAsia="Times New Roman" w:hAnsi="Times New Roman" w:cs="Times New Roman"/>
          <w:b/>
          <w:sz w:val="24"/>
          <w:szCs w:val="24"/>
          <w:lang w:val="fr-FR"/>
        </w:rPr>
        <w:t>le tableau 5 et 6</w:t>
      </w:r>
      <w:r>
        <w:rPr>
          <w:rFonts w:ascii="Times New Roman" w:eastAsia="Times New Roman" w:hAnsi="Times New Roman" w:cs="Times New Roman"/>
          <w:bCs/>
          <w:sz w:val="24"/>
          <w:szCs w:val="24"/>
          <w:lang w:val="fr-FR"/>
        </w:rPr>
        <w:t>.</w:t>
      </w:r>
      <w:r w:rsidR="00F0436E">
        <w:rPr>
          <w:rFonts w:ascii="Times New Roman" w:eastAsia="Times New Roman" w:hAnsi="Times New Roman" w:cs="Times New Roman"/>
          <w:bCs/>
          <w:sz w:val="24"/>
          <w:szCs w:val="24"/>
          <w:lang w:val="fr-FR"/>
        </w:rPr>
        <w:t xml:space="preserve"> </w:t>
      </w:r>
      <w:r>
        <w:rPr>
          <w:rFonts w:ascii="Times New Roman" w:eastAsia="Times New Roman" w:hAnsi="Times New Roman" w:cs="Times New Roman"/>
          <w:bCs/>
          <w:sz w:val="24"/>
          <w:szCs w:val="24"/>
          <w:lang w:val="fr-FR"/>
        </w:rPr>
        <w:t>Les résultats indiquent</w:t>
      </w:r>
      <w:r w:rsidR="00F0436E">
        <w:rPr>
          <w:rFonts w:ascii="Times New Roman" w:eastAsia="Times New Roman" w:hAnsi="Times New Roman" w:cs="Times New Roman"/>
          <w:bCs/>
          <w:sz w:val="24"/>
          <w:szCs w:val="24"/>
          <w:lang w:val="fr-FR"/>
        </w:rPr>
        <w:t xml:space="preserve"> que </w:t>
      </w:r>
      <w:r w:rsidR="00F0436E">
        <w:rPr>
          <w:rFonts w:ascii="Times New Roman" w:eastAsia="Times New Roman" w:hAnsi="Times New Roman" w:cs="Times New Roman"/>
          <w:color w:val="000000"/>
          <w:sz w:val="24"/>
          <w:szCs w:val="24"/>
          <w:lang w:val="fr-FR"/>
        </w:rPr>
        <w:t>l</w:t>
      </w:r>
      <w:r w:rsidR="00F0436E" w:rsidRPr="00256989">
        <w:rPr>
          <w:rFonts w:ascii="Times New Roman" w:eastAsia="Times New Roman" w:hAnsi="Times New Roman" w:cs="Times New Roman"/>
          <w:color w:val="000000"/>
          <w:sz w:val="24"/>
          <w:szCs w:val="24"/>
          <w:lang w:val="fr-FR"/>
        </w:rPr>
        <w:t>’IUTS a un effet négatif sur les dépenses de consommation finale des ménages au seuil de 5% à court terme. Ce qui signifie qu’il réduit les dépenses de consommation finale des ménages. De ce fait, une augmentation de l’IUTS d</w:t>
      </w:r>
      <w:r w:rsidR="00CC3B69">
        <w:rPr>
          <w:rFonts w:ascii="Times New Roman" w:eastAsia="Times New Roman" w:hAnsi="Times New Roman" w:cs="Times New Roman"/>
          <w:color w:val="000000"/>
          <w:sz w:val="24"/>
          <w:szCs w:val="24"/>
          <w:lang w:val="fr-FR"/>
        </w:rPr>
        <w:t>e 1%</w:t>
      </w:r>
      <w:r w:rsidR="00F0436E" w:rsidRPr="00256989">
        <w:rPr>
          <w:rFonts w:ascii="Times New Roman" w:eastAsia="Times New Roman" w:hAnsi="Times New Roman" w:cs="Times New Roman"/>
          <w:color w:val="000000"/>
          <w:sz w:val="24"/>
          <w:szCs w:val="24"/>
          <w:lang w:val="fr-FR"/>
        </w:rPr>
        <w:t xml:space="preserve"> </w:t>
      </w:r>
      <w:r w:rsidR="00F0436E" w:rsidRPr="00256989">
        <w:rPr>
          <w:rFonts w:ascii="Times New Roman" w:eastAsia="Times New Roman" w:hAnsi="Times New Roman" w:cs="Times New Roman"/>
          <w:sz w:val="24"/>
          <w:szCs w:val="24"/>
          <w:lang w:val="fr-FR"/>
        </w:rPr>
        <w:t>entraîne</w:t>
      </w:r>
      <w:r w:rsidR="00F0436E" w:rsidRPr="00256989">
        <w:rPr>
          <w:rFonts w:ascii="Times New Roman" w:eastAsia="Times New Roman" w:hAnsi="Times New Roman" w:cs="Times New Roman"/>
          <w:color w:val="000000"/>
          <w:sz w:val="24"/>
          <w:szCs w:val="24"/>
          <w:lang w:val="fr-FR"/>
        </w:rPr>
        <w:t xml:space="preserve"> une diminution des dépenses de consommation finale des ménages de 0,</w:t>
      </w:r>
      <w:r w:rsidR="00F0436E">
        <w:rPr>
          <w:rFonts w:ascii="Times New Roman" w:eastAsia="Times New Roman" w:hAnsi="Times New Roman" w:cs="Times New Roman"/>
          <w:color w:val="000000"/>
          <w:sz w:val="24"/>
          <w:szCs w:val="24"/>
          <w:lang w:val="fr-FR"/>
        </w:rPr>
        <w:t>0</w:t>
      </w:r>
      <w:r w:rsidR="00F0436E" w:rsidRPr="00256989">
        <w:rPr>
          <w:rFonts w:ascii="Times New Roman" w:eastAsia="Times New Roman" w:hAnsi="Times New Roman" w:cs="Times New Roman"/>
          <w:color w:val="000000"/>
          <w:sz w:val="24"/>
          <w:szCs w:val="24"/>
          <w:lang w:val="fr-FR"/>
        </w:rPr>
        <w:t>18</w:t>
      </w:r>
      <w:r w:rsidR="00F0436E">
        <w:rPr>
          <w:rFonts w:ascii="Times New Roman" w:eastAsia="Times New Roman" w:hAnsi="Times New Roman" w:cs="Times New Roman"/>
          <w:color w:val="000000"/>
          <w:sz w:val="24"/>
          <w:szCs w:val="24"/>
          <w:lang w:val="fr-FR"/>
        </w:rPr>
        <w:t xml:space="preserve"> point de pourcentage de</w:t>
      </w:r>
      <w:r w:rsidR="00F0436E" w:rsidRPr="00256989">
        <w:rPr>
          <w:rFonts w:ascii="Times New Roman" w:eastAsia="Times New Roman" w:hAnsi="Times New Roman" w:cs="Times New Roman"/>
          <w:color w:val="000000"/>
          <w:sz w:val="24"/>
          <w:szCs w:val="24"/>
          <w:lang w:val="fr-FR"/>
        </w:rPr>
        <w:t xml:space="preserve"> à court terme</w:t>
      </w:r>
      <w:r w:rsidR="00F0436E">
        <w:rPr>
          <w:rFonts w:ascii="Times New Roman" w:eastAsia="Times New Roman" w:hAnsi="Times New Roman" w:cs="Times New Roman"/>
          <w:color w:val="000000"/>
          <w:sz w:val="24"/>
          <w:szCs w:val="24"/>
          <w:lang w:val="fr-FR"/>
        </w:rPr>
        <w:t>.</w:t>
      </w:r>
      <w:r w:rsidR="006C3155">
        <w:rPr>
          <w:rFonts w:ascii="Times New Roman" w:eastAsia="Times New Roman" w:hAnsi="Times New Roman" w:cs="Times New Roman"/>
          <w:color w:val="000000"/>
          <w:sz w:val="24"/>
          <w:szCs w:val="24"/>
          <w:lang w:val="fr-FR"/>
        </w:rPr>
        <w:t xml:space="preserve"> Nos résultats sont conformes aux </w:t>
      </w:r>
      <w:r w:rsidR="002766F7">
        <w:rPr>
          <w:rFonts w:ascii="Times New Roman" w:eastAsia="Times New Roman" w:hAnsi="Times New Roman" w:cs="Times New Roman"/>
          <w:color w:val="000000"/>
          <w:sz w:val="24"/>
          <w:szCs w:val="24"/>
          <w:lang w:val="fr-FR"/>
        </w:rPr>
        <w:t>résultats</w:t>
      </w:r>
      <w:r w:rsidR="006C3155">
        <w:rPr>
          <w:rFonts w:ascii="Times New Roman" w:eastAsia="Times New Roman" w:hAnsi="Times New Roman" w:cs="Times New Roman"/>
          <w:color w:val="000000"/>
          <w:sz w:val="24"/>
          <w:szCs w:val="24"/>
          <w:lang w:val="fr-FR"/>
        </w:rPr>
        <w:t xml:space="preserve"> de Idris et Sébastine </w:t>
      </w:r>
      <w:r w:rsidR="00D7406D">
        <w:rPr>
          <w:rFonts w:ascii="Times New Roman" w:eastAsia="Times New Roman" w:hAnsi="Times New Roman" w:cs="Times New Roman"/>
          <w:color w:val="000000"/>
          <w:sz w:val="24"/>
          <w:szCs w:val="24"/>
          <w:lang w:val="fr-FR"/>
        </w:rPr>
        <w:t>(</w:t>
      </w:r>
      <w:r w:rsidR="006C3155">
        <w:rPr>
          <w:rFonts w:ascii="Times New Roman" w:eastAsia="Times New Roman" w:hAnsi="Times New Roman" w:cs="Times New Roman"/>
          <w:color w:val="000000"/>
          <w:sz w:val="24"/>
          <w:szCs w:val="24"/>
          <w:lang w:val="fr-FR"/>
        </w:rPr>
        <w:t>2</w:t>
      </w:r>
      <w:r w:rsidR="00D7406D">
        <w:rPr>
          <w:rFonts w:ascii="Times New Roman" w:eastAsia="Times New Roman" w:hAnsi="Times New Roman" w:cs="Times New Roman"/>
          <w:color w:val="000000"/>
          <w:sz w:val="24"/>
          <w:szCs w:val="24"/>
          <w:lang w:val="fr-FR"/>
        </w:rPr>
        <w:t>023).</w:t>
      </w:r>
      <w:r w:rsidR="00F0436E">
        <w:rPr>
          <w:rFonts w:ascii="Times New Roman" w:eastAsia="Times New Roman" w:hAnsi="Times New Roman" w:cs="Times New Roman"/>
          <w:color w:val="000000"/>
          <w:sz w:val="24"/>
          <w:szCs w:val="24"/>
          <w:lang w:val="fr-FR"/>
        </w:rPr>
        <w:t xml:space="preserve"> </w:t>
      </w:r>
      <w:r w:rsidR="00444AEE">
        <w:rPr>
          <w:rFonts w:ascii="Times New Roman" w:eastAsia="Times New Roman" w:hAnsi="Times New Roman" w:cs="Times New Roman"/>
          <w:color w:val="000000"/>
          <w:sz w:val="24"/>
          <w:szCs w:val="24"/>
          <w:lang w:val="fr-FR"/>
        </w:rPr>
        <w:t>Cependant au Burkina</w:t>
      </w:r>
      <w:r w:rsidR="005B282D">
        <w:rPr>
          <w:rFonts w:ascii="Times New Roman" w:eastAsia="Times New Roman" w:hAnsi="Times New Roman" w:cs="Times New Roman"/>
          <w:color w:val="000000"/>
          <w:sz w:val="24"/>
          <w:szCs w:val="24"/>
          <w:lang w:val="fr-FR"/>
        </w:rPr>
        <w:t>, certains ménages ajustent leurs dépenses</w:t>
      </w:r>
      <w:r w:rsidR="00655F42">
        <w:rPr>
          <w:rFonts w:ascii="Times New Roman" w:eastAsia="Times New Roman" w:hAnsi="Times New Roman" w:cs="Times New Roman"/>
          <w:color w:val="000000"/>
          <w:sz w:val="24"/>
          <w:szCs w:val="24"/>
          <w:lang w:val="fr-FR"/>
        </w:rPr>
        <w:t xml:space="preserve"> en réduisant </w:t>
      </w:r>
      <w:r w:rsidR="003218C0">
        <w:rPr>
          <w:rFonts w:ascii="Times New Roman" w:eastAsia="Times New Roman" w:hAnsi="Times New Roman" w:cs="Times New Roman"/>
          <w:color w:val="000000"/>
          <w:sz w:val="24"/>
          <w:szCs w:val="24"/>
          <w:lang w:val="fr-FR"/>
        </w:rPr>
        <w:t xml:space="preserve">leur consommation de biens et services. </w:t>
      </w:r>
      <w:r w:rsidR="00F0436E">
        <w:rPr>
          <w:rFonts w:ascii="Times New Roman" w:eastAsia="Times New Roman" w:hAnsi="Times New Roman" w:cs="Times New Roman"/>
          <w:color w:val="000000"/>
          <w:sz w:val="24"/>
          <w:szCs w:val="24"/>
          <w:lang w:val="fr-FR"/>
        </w:rPr>
        <w:t xml:space="preserve">En revanche à long terme, l’augmentation de l’IUTS n’a pas d’effet sur les dépenses de consommation </w:t>
      </w:r>
      <w:r w:rsidR="005058FD">
        <w:rPr>
          <w:rFonts w:ascii="Times New Roman" w:eastAsia="Times New Roman" w:hAnsi="Times New Roman" w:cs="Times New Roman"/>
          <w:color w:val="000000"/>
          <w:sz w:val="24"/>
          <w:szCs w:val="24"/>
          <w:lang w:val="fr-FR"/>
        </w:rPr>
        <w:t>finale des ménages.</w:t>
      </w:r>
      <w:r w:rsidR="003218C0">
        <w:rPr>
          <w:rFonts w:ascii="Times New Roman" w:eastAsia="Times New Roman" w:hAnsi="Times New Roman" w:cs="Times New Roman"/>
          <w:color w:val="000000"/>
          <w:sz w:val="24"/>
          <w:szCs w:val="24"/>
          <w:lang w:val="fr-FR"/>
        </w:rPr>
        <w:t xml:space="preserve"> Ce qui signifie que les ménages font un lissage de leur consommation dans le temps.</w:t>
      </w:r>
    </w:p>
    <w:p w14:paraId="0076FE91" w14:textId="08ED3F0A" w:rsidR="0059754C" w:rsidRDefault="005058FD">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color w:val="000000"/>
          <w:sz w:val="24"/>
          <w:szCs w:val="24"/>
          <w:lang w:val="fr-FR"/>
        </w:rPr>
        <w:t xml:space="preserve">Concernant la TVA, les résultats indiquent que la </w:t>
      </w:r>
      <w:r w:rsidRPr="00256989">
        <w:rPr>
          <w:rFonts w:ascii="Times New Roman" w:eastAsia="Times New Roman" w:hAnsi="Times New Roman" w:cs="Times New Roman"/>
          <w:sz w:val="24"/>
          <w:szCs w:val="24"/>
          <w:lang w:val="fr-FR"/>
        </w:rPr>
        <w:t>TVA a un effet négatif sur les dépenses de consommation finale au seuil de 5% à court terme</w:t>
      </w:r>
      <w:r>
        <w:rPr>
          <w:rFonts w:ascii="Times New Roman" w:eastAsia="Times New Roman" w:hAnsi="Times New Roman" w:cs="Times New Roman"/>
          <w:sz w:val="24"/>
          <w:szCs w:val="24"/>
          <w:lang w:val="fr-FR"/>
        </w:rPr>
        <w:t xml:space="preserve"> et à long terme</w:t>
      </w:r>
      <w:r w:rsidRPr="00256989">
        <w:rPr>
          <w:rFonts w:ascii="Times New Roman" w:eastAsia="Times New Roman" w:hAnsi="Times New Roman" w:cs="Times New Roman"/>
          <w:sz w:val="24"/>
          <w:szCs w:val="24"/>
          <w:lang w:val="fr-FR"/>
        </w:rPr>
        <w:t xml:space="preserve">. Cela </w:t>
      </w:r>
      <w:r>
        <w:rPr>
          <w:rFonts w:ascii="Times New Roman" w:eastAsia="Times New Roman" w:hAnsi="Times New Roman" w:cs="Times New Roman"/>
          <w:sz w:val="24"/>
          <w:szCs w:val="24"/>
          <w:lang w:val="fr-FR"/>
        </w:rPr>
        <w:t xml:space="preserve">montre </w:t>
      </w:r>
      <w:r w:rsidRPr="00256989">
        <w:rPr>
          <w:rFonts w:ascii="Times New Roman" w:eastAsia="Times New Roman" w:hAnsi="Times New Roman" w:cs="Times New Roman"/>
          <w:sz w:val="24"/>
          <w:szCs w:val="24"/>
          <w:lang w:val="fr-FR"/>
        </w:rPr>
        <w:t>qu’une augmentation d</w:t>
      </w:r>
      <w:r w:rsidR="00CC3B69">
        <w:rPr>
          <w:rFonts w:ascii="Times New Roman" w:eastAsia="Times New Roman" w:hAnsi="Times New Roman" w:cs="Times New Roman"/>
          <w:sz w:val="24"/>
          <w:szCs w:val="24"/>
          <w:lang w:val="fr-FR"/>
        </w:rPr>
        <w:t xml:space="preserve">e 1% </w:t>
      </w:r>
      <w:r w:rsidRPr="00256989">
        <w:rPr>
          <w:rFonts w:ascii="Times New Roman" w:eastAsia="Times New Roman" w:hAnsi="Times New Roman" w:cs="Times New Roman"/>
          <w:sz w:val="24"/>
          <w:szCs w:val="24"/>
          <w:lang w:val="fr-FR"/>
        </w:rPr>
        <w:t>de la TVA entraîne une diminution de</w:t>
      </w:r>
      <w:r w:rsidR="007C0F5E">
        <w:rPr>
          <w:rFonts w:ascii="Times New Roman" w:eastAsia="Times New Roman" w:hAnsi="Times New Roman" w:cs="Times New Roman"/>
          <w:sz w:val="24"/>
          <w:szCs w:val="24"/>
          <w:lang w:val="fr-FR"/>
        </w:rPr>
        <w:t>s dépenses de</w:t>
      </w:r>
      <w:r w:rsidR="007C0F5E" w:rsidRPr="00256989">
        <w:rPr>
          <w:rFonts w:ascii="Times New Roman" w:eastAsia="Times New Roman" w:hAnsi="Times New Roman" w:cs="Times New Roman"/>
          <w:sz w:val="24"/>
          <w:szCs w:val="24"/>
          <w:lang w:val="fr-FR"/>
        </w:rPr>
        <w:t xml:space="preserve"> consommation</w:t>
      </w:r>
      <w:r w:rsidRPr="00256989">
        <w:rPr>
          <w:rFonts w:ascii="Times New Roman" w:eastAsia="Times New Roman" w:hAnsi="Times New Roman" w:cs="Times New Roman"/>
          <w:sz w:val="24"/>
          <w:szCs w:val="24"/>
          <w:lang w:val="fr-FR"/>
        </w:rPr>
        <w:t xml:space="preserve"> finale des ménages de 0,0</w:t>
      </w:r>
      <w:r>
        <w:rPr>
          <w:rFonts w:ascii="Times New Roman" w:eastAsia="Times New Roman" w:hAnsi="Times New Roman" w:cs="Times New Roman"/>
          <w:sz w:val="24"/>
          <w:szCs w:val="24"/>
          <w:lang w:val="fr-FR"/>
        </w:rPr>
        <w:t>0</w:t>
      </w:r>
      <w:r w:rsidRPr="00256989">
        <w:rPr>
          <w:rFonts w:ascii="Times New Roman" w:eastAsia="Times New Roman" w:hAnsi="Times New Roman" w:cs="Times New Roman"/>
          <w:sz w:val="24"/>
          <w:szCs w:val="24"/>
          <w:lang w:val="fr-FR"/>
        </w:rPr>
        <w:t>1</w:t>
      </w:r>
      <w:r>
        <w:rPr>
          <w:rFonts w:ascii="Times New Roman" w:eastAsia="Times New Roman" w:hAnsi="Times New Roman" w:cs="Times New Roman"/>
          <w:sz w:val="24"/>
          <w:szCs w:val="24"/>
          <w:lang w:val="fr-FR"/>
        </w:rPr>
        <w:t>5</w:t>
      </w:r>
      <w:r w:rsidRPr="00256989">
        <w:rPr>
          <w:rFonts w:ascii="Times New Roman" w:eastAsia="Times New Roman" w:hAnsi="Times New Roman" w:cs="Times New Roman"/>
          <w:sz w:val="24"/>
          <w:szCs w:val="24"/>
          <w:lang w:val="fr-FR"/>
        </w:rPr>
        <w:t xml:space="preserve"> à court terme</w:t>
      </w:r>
      <w:r w:rsidR="00B36C3B">
        <w:rPr>
          <w:rFonts w:ascii="Times New Roman" w:eastAsia="Times New Roman" w:hAnsi="Times New Roman" w:cs="Times New Roman"/>
          <w:sz w:val="24"/>
          <w:szCs w:val="24"/>
          <w:lang w:val="fr-FR"/>
        </w:rPr>
        <w:t xml:space="preserve"> mais l’effet est encore plus prononcé à 0,</w:t>
      </w:r>
      <w:r w:rsidR="004135DF">
        <w:rPr>
          <w:rFonts w:ascii="Times New Roman" w:eastAsia="Times New Roman" w:hAnsi="Times New Roman" w:cs="Times New Roman"/>
          <w:sz w:val="24"/>
          <w:szCs w:val="24"/>
          <w:lang w:val="fr-FR"/>
        </w:rPr>
        <w:t>108 point de pourcentage.</w:t>
      </w:r>
    </w:p>
    <w:p w14:paraId="68DF497A" w14:textId="071D6159" w:rsidR="00290A62" w:rsidRPr="005003F0" w:rsidRDefault="00A3635E" w:rsidP="00290A62">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Certaines variables de contrôles affectent également les dépenses de consommation finales des ménages.</w:t>
      </w:r>
      <w:r w:rsidR="00A21E4E">
        <w:rPr>
          <w:rFonts w:ascii="Times New Roman" w:eastAsia="Times New Roman" w:hAnsi="Times New Roman" w:cs="Times New Roman"/>
          <w:sz w:val="24"/>
          <w:szCs w:val="24"/>
          <w:lang w:val="fr-FR"/>
        </w:rPr>
        <w:t xml:space="preserve"> </w:t>
      </w:r>
      <w:r w:rsidR="00761D01">
        <w:rPr>
          <w:rFonts w:ascii="Times New Roman" w:eastAsia="Times New Roman" w:hAnsi="Times New Roman" w:cs="Times New Roman"/>
          <w:sz w:val="24"/>
          <w:szCs w:val="24"/>
          <w:lang w:val="fr-FR"/>
        </w:rPr>
        <w:t>A court terme, l</w:t>
      </w:r>
      <w:r w:rsidR="00A21E4E">
        <w:rPr>
          <w:rFonts w:ascii="Times New Roman" w:eastAsia="Times New Roman" w:hAnsi="Times New Roman" w:cs="Times New Roman"/>
          <w:sz w:val="24"/>
          <w:szCs w:val="24"/>
          <w:lang w:val="fr-FR"/>
        </w:rPr>
        <w:t xml:space="preserve">e taux de chômage réduit les dépenses de consommation finale des </w:t>
      </w:r>
      <w:r w:rsidR="007C0F5E">
        <w:rPr>
          <w:rFonts w:ascii="Times New Roman" w:eastAsia="Times New Roman" w:hAnsi="Times New Roman" w:cs="Times New Roman"/>
          <w:sz w:val="24"/>
          <w:szCs w:val="24"/>
          <w:lang w:val="fr-FR"/>
        </w:rPr>
        <w:t>ménages</w:t>
      </w:r>
      <w:r w:rsidR="002C21AF">
        <w:rPr>
          <w:rFonts w:ascii="Times New Roman" w:eastAsia="Times New Roman" w:hAnsi="Times New Roman" w:cs="Times New Roman"/>
          <w:sz w:val="24"/>
          <w:szCs w:val="24"/>
          <w:lang w:val="fr-FR"/>
        </w:rPr>
        <w:t>, cela montre que lorsque le taux de chômage</w:t>
      </w:r>
      <w:r w:rsidR="005003F0">
        <w:rPr>
          <w:rFonts w:ascii="Times New Roman" w:eastAsia="Times New Roman" w:hAnsi="Times New Roman" w:cs="Times New Roman"/>
          <w:sz w:val="24"/>
          <w:szCs w:val="24"/>
          <w:lang w:val="fr-FR"/>
        </w:rPr>
        <w:t xml:space="preserve"> augmente de 1%</w:t>
      </w:r>
      <w:r w:rsidR="00563006">
        <w:rPr>
          <w:rFonts w:ascii="Times New Roman" w:eastAsia="Times New Roman" w:hAnsi="Times New Roman" w:cs="Times New Roman"/>
          <w:sz w:val="24"/>
          <w:szCs w:val="24"/>
          <w:lang w:val="fr-FR"/>
        </w:rPr>
        <w:t>, les dépenses de consommation des ménages diminuent</w:t>
      </w:r>
      <w:r w:rsidR="005003F0">
        <w:rPr>
          <w:rFonts w:ascii="Times New Roman" w:eastAsia="Times New Roman" w:hAnsi="Times New Roman" w:cs="Times New Roman"/>
          <w:sz w:val="24"/>
          <w:szCs w:val="24"/>
          <w:lang w:val="fr-FR"/>
        </w:rPr>
        <w:t xml:space="preserve"> de 0,003 point de pourcentage</w:t>
      </w:r>
      <w:r w:rsidR="00563006">
        <w:rPr>
          <w:rFonts w:ascii="Times New Roman" w:eastAsia="Times New Roman" w:hAnsi="Times New Roman" w:cs="Times New Roman"/>
          <w:sz w:val="24"/>
          <w:szCs w:val="24"/>
          <w:lang w:val="fr-FR"/>
        </w:rPr>
        <w:t>.</w:t>
      </w:r>
      <w:r w:rsidR="005003F0">
        <w:rPr>
          <w:rFonts w:ascii="Times New Roman" w:eastAsia="Times New Roman" w:hAnsi="Times New Roman" w:cs="Times New Roman"/>
          <w:sz w:val="24"/>
          <w:szCs w:val="24"/>
          <w:lang w:val="fr-FR"/>
        </w:rPr>
        <w:t xml:space="preserve"> Quant </w:t>
      </w:r>
      <w:r w:rsidR="00090CC7">
        <w:rPr>
          <w:rFonts w:ascii="Times New Roman" w:eastAsia="Times New Roman" w:hAnsi="Times New Roman" w:cs="Times New Roman"/>
          <w:sz w:val="24"/>
          <w:szCs w:val="24"/>
          <w:lang w:val="fr-FR"/>
        </w:rPr>
        <w:t>aux revenus ainsi que la population, l</w:t>
      </w:r>
      <w:r w:rsidR="00563006">
        <w:rPr>
          <w:rFonts w:ascii="Times New Roman" w:eastAsia="Times New Roman" w:hAnsi="Times New Roman" w:cs="Times New Roman"/>
          <w:sz w:val="24"/>
          <w:szCs w:val="24"/>
          <w:lang w:val="fr-FR"/>
        </w:rPr>
        <w:t xml:space="preserve">’augmentation du revenu tout comme l’augmentation de la population </w:t>
      </w:r>
      <w:r w:rsidR="00090CC7">
        <w:rPr>
          <w:rFonts w:ascii="Times New Roman" w:eastAsia="Times New Roman" w:hAnsi="Times New Roman" w:cs="Times New Roman"/>
          <w:sz w:val="24"/>
          <w:szCs w:val="24"/>
          <w:lang w:val="fr-FR"/>
        </w:rPr>
        <w:t xml:space="preserve">d’un point de pourcentage </w:t>
      </w:r>
      <w:r w:rsidR="00563006">
        <w:rPr>
          <w:rFonts w:ascii="Times New Roman" w:eastAsia="Times New Roman" w:hAnsi="Times New Roman" w:cs="Times New Roman"/>
          <w:sz w:val="24"/>
          <w:szCs w:val="24"/>
          <w:lang w:val="fr-FR"/>
        </w:rPr>
        <w:t xml:space="preserve">augmentent le niveau des dépenses de la consommation finale des ménages </w:t>
      </w:r>
      <w:r w:rsidR="00090CC7">
        <w:rPr>
          <w:rFonts w:ascii="Times New Roman" w:eastAsia="Times New Roman" w:hAnsi="Times New Roman" w:cs="Times New Roman"/>
          <w:sz w:val="24"/>
          <w:szCs w:val="24"/>
          <w:lang w:val="fr-FR"/>
        </w:rPr>
        <w:t xml:space="preserve">respectivement de 0,61 et 1,17 point de pourcentage </w:t>
      </w:r>
      <w:r w:rsidR="00563006">
        <w:rPr>
          <w:rFonts w:ascii="Times New Roman" w:eastAsia="Times New Roman" w:hAnsi="Times New Roman" w:cs="Times New Roman"/>
          <w:sz w:val="24"/>
          <w:szCs w:val="24"/>
          <w:lang w:val="fr-FR"/>
        </w:rPr>
        <w:t>à long terme.</w:t>
      </w:r>
      <w:r w:rsidR="00290A62">
        <w:rPr>
          <w:rFonts w:ascii="Times New Roman" w:eastAsia="Times New Roman" w:hAnsi="Times New Roman" w:cs="Times New Roman"/>
          <w:sz w:val="24"/>
          <w:szCs w:val="24"/>
          <w:lang w:val="fr-FR"/>
        </w:rPr>
        <w:t xml:space="preserve"> En effet,</w:t>
      </w:r>
      <w:r w:rsidR="00290A62" w:rsidRPr="00290A62">
        <w:rPr>
          <w:rFonts w:ascii="Times New Roman" w:eastAsia="Times New Roman" w:hAnsi="Times New Roman" w:cs="Times New Roman"/>
          <w:color w:val="000000"/>
          <w:sz w:val="24"/>
          <w:szCs w:val="24"/>
          <w:lang w:val="fr-FR"/>
        </w:rPr>
        <w:t xml:space="preserve"> </w:t>
      </w:r>
      <w:r w:rsidR="00290A62" w:rsidRPr="00256989">
        <w:rPr>
          <w:rFonts w:ascii="Times New Roman" w:eastAsia="Times New Roman" w:hAnsi="Times New Roman" w:cs="Times New Roman"/>
          <w:color w:val="000000"/>
          <w:sz w:val="24"/>
          <w:szCs w:val="24"/>
          <w:lang w:val="fr-FR"/>
        </w:rPr>
        <w:t>l’augmentation du revenu, les habitudes de consommation évoluent. En effet, les ménages peuvent se permettre de diversifier leurs achats, passant de produits de base à des produits plus variés et linéaires, ce qui augmente globalement les dépenses de consommation.</w:t>
      </w:r>
      <w:r w:rsidR="0098389D">
        <w:rPr>
          <w:rFonts w:ascii="Times New Roman" w:eastAsia="Times New Roman" w:hAnsi="Times New Roman" w:cs="Times New Roman"/>
          <w:color w:val="000000"/>
          <w:sz w:val="24"/>
          <w:szCs w:val="24"/>
          <w:lang w:val="fr-FR"/>
        </w:rPr>
        <w:t xml:space="preserve"> De plus, les dépenses des ménages de </w:t>
      </w:r>
      <w:r w:rsidR="0098389D">
        <w:rPr>
          <w:rFonts w:ascii="Times New Roman" w:eastAsia="Times New Roman" w:hAnsi="Times New Roman" w:cs="Times New Roman"/>
          <w:color w:val="000000"/>
          <w:sz w:val="24"/>
          <w:szCs w:val="24"/>
          <w:lang w:val="fr-FR"/>
        </w:rPr>
        <w:lastRenderedPageBreak/>
        <w:t>l’année précédente ont un effet positif sur celles de l’année en cours</w:t>
      </w:r>
      <w:r w:rsidR="005731BC">
        <w:rPr>
          <w:rFonts w:ascii="Times New Roman" w:eastAsia="Times New Roman" w:hAnsi="Times New Roman" w:cs="Times New Roman"/>
          <w:color w:val="000000"/>
          <w:sz w:val="24"/>
          <w:szCs w:val="24"/>
          <w:lang w:val="fr-FR"/>
        </w:rPr>
        <w:t>. Cependant</w:t>
      </w:r>
      <w:r w:rsidR="00993BD4">
        <w:rPr>
          <w:rFonts w:ascii="Times New Roman" w:eastAsia="Times New Roman" w:hAnsi="Times New Roman" w:cs="Times New Roman"/>
          <w:color w:val="000000"/>
          <w:sz w:val="24"/>
          <w:szCs w:val="24"/>
          <w:lang w:val="fr-FR"/>
        </w:rPr>
        <w:t>,</w:t>
      </w:r>
      <w:r w:rsidR="005731BC">
        <w:rPr>
          <w:rFonts w:ascii="Times New Roman" w:eastAsia="Times New Roman" w:hAnsi="Times New Roman" w:cs="Times New Roman"/>
          <w:color w:val="000000"/>
          <w:sz w:val="24"/>
          <w:szCs w:val="24"/>
          <w:lang w:val="fr-FR"/>
        </w:rPr>
        <w:t xml:space="preserve"> lorsque les dépenses de consommation finale</w:t>
      </w:r>
      <w:r w:rsidR="00993BD4">
        <w:rPr>
          <w:rFonts w:ascii="Times New Roman" w:eastAsia="Times New Roman" w:hAnsi="Times New Roman" w:cs="Times New Roman"/>
          <w:color w:val="000000"/>
          <w:sz w:val="24"/>
          <w:szCs w:val="24"/>
          <w:lang w:val="fr-FR"/>
        </w:rPr>
        <w:t xml:space="preserve"> de l’année précédente augmente</w:t>
      </w:r>
      <w:r w:rsidR="00C768AE">
        <w:rPr>
          <w:rFonts w:ascii="Times New Roman" w:eastAsia="Times New Roman" w:hAnsi="Times New Roman" w:cs="Times New Roman"/>
          <w:color w:val="000000"/>
          <w:sz w:val="24"/>
          <w:szCs w:val="24"/>
          <w:lang w:val="fr-FR"/>
        </w:rPr>
        <w:t>nt</w:t>
      </w:r>
      <w:r w:rsidR="00993BD4">
        <w:rPr>
          <w:rFonts w:ascii="Times New Roman" w:eastAsia="Times New Roman" w:hAnsi="Times New Roman" w:cs="Times New Roman"/>
          <w:color w:val="000000"/>
          <w:sz w:val="24"/>
          <w:szCs w:val="24"/>
          <w:lang w:val="fr-FR"/>
        </w:rPr>
        <w:t xml:space="preserve"> d’1 point de pourcentage, les dépenses de consommation finale des ménages de l’année en cours</w:t>
      </w:r>
      <w:r w:rsidR="00C768AE">
        <w:rPr>
          <w:rFonts w:ascii="Times New Roman" w:eastAsia="Times New Roman" w:hAnsi="Times New Roman" w:cs="Times New Roman"/>
          <w:color w:val="000000"/>
          <w:sz w:val="24"/>
          <w:szCs w:val="24"/>
          <w:lang w:val="fr-FR"/>
        </w:rPr>
        <w:t xml:space="preserve"> de 0,39 point de pourcentage.</w:t>
      </w:r>
      <w:r w:rsidR="00993BD4">
        <w:rPr>
          <w:rFonts w:ascii="Times New Roman" w:eastAsia="Times New Roman" w:hAnsi="Times New Roman" w:cs="Times New Roman"/>
          <w:color w:val="000000"/>
          <w:sz w:val="24"/>
          <w:szCs w:val="24"/>
          <w:lang w:val="fr-FR"/>
        </w:rPr>
        <w:t xml:space="preserve"> </w:t>
      </w:r>
      <w:r w:rsidR="00751502">
        <w:rPr>
          <w:rFonts w:ascii="Times New Roman" w:eastAsia="Times New Roman" w:hAnsi="Times New Roman" w:cs="Times New Roman"/>
          <w:color w:val="000000"/>
          <w:sz w:val="24"/>
          <w:szCs w:val="24"/>
          <w:lang w:val="fr-FR"/>
        </w:rPr>
        <w:t xml:space="preserve">Ces résultats corroborent aux travaux de Bodart et al(2008). </w:t>
      </w:r>
      <w:r w:rsidR="0062033C">
        <w:rPr>
          <w:rFonts w:ascii="Times New Roman" w:eastAsia="Times New Roman" w:hAnsi="Times New Roman" w:cs="Times New Roman"/>
          <w:color w:val="000000"/>
          <w:sz w:val="24"/>
          <w:szCs w:val="24"/>
          <w:lang w:val="fr-FR"/>
        </w:rPr>
        <w:t>C</w:t>
      </w:r>
      <w:r w:rsidR="0098389D">
        <w:rPr>
          <w:rFonts w:ascii="Times New Roman" w:eastAsia="Times New Roman" w:hAnsi="Times New Roman" w:cs="Times New Roman"/>
          <w:color w:val="000000"/>
          <w:sz w:val="24"/>
          <w:szCs w:val="24"/>
          <w:lang w:val="fr-FR"/>
        </w:rPr>
        <w:t xml:space="preserve">e qui révèle une continuité dans le comportement des consommateurs. </w:t>
      </w:r>
    </w:p>
    <w:p w14:paraId="7CEB4260" w14:textId="0E0D7CA9" w:rsidR="000919C4" w:rsidRDefault="000919C4" w:rsidP="00290A6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En outre, étant donné l’importance des différents types de dépenses de consommation finale des ménages au Burkina Faso, nous avons dissocié </w:t>
      </w:r>
      <w:r w:rsidR="00B74AE3">
        <w:rPr>
          <w:rFonts w:ascii="Times New Roman" w:eastAsia="Times New Roman" w:hAnsi="Times New Roman" w:cs="Times New Roman"/>
          <w:color w:val="000000"/>
          <w:sz w:val="24"/>
          <w:szCs w:val="24"/>
          <w:lang w:val="fr-FR"/>
        </w:rPr>
        <w:t xml:space="preserve">ces dépenses </w:t>
      </w:r>
      <w:r>
        <w:rPr>
          <w:rFonts w:ascii="Times New Roman" w:eastAsia="Times New Roman" w:hAnsi="Times New Roman" w:cs="Times New Roman"/>
          <w:color w:val="000000"/>
          <w:sz w:val="24"/>
          <w:szCs w:val="24"/>
          <w:lang w:val="fr-FR"/>
        </w:rPr>
        <w:t>en cinq (5) groupes.</w:t>
      </w:r>
    </w:p>
    <w:p w14:paraId="7F25BBDD" w14:textId="0FA3B394" w:rsidR="000919C4" w:rsidRDefault="000919C4" w:rsidP="00290A62">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color w:val="000000"/>
          <w:sz w:val="24"/>
          <w:szCs w:val="24"/>
          <w:lang w:val="fr-FR"/>
        </w:rPr>
        <w:t xml:space="preserve">Cependant les résultats de l’effet de la TVA sur </w:t>
      </w:r>
      <w:r w:rsidR="00B74AE3">
        <w:rPr>
          <w:rFonts w:ascii="Times New Roman" w:eastAsia="Times New Roman" w:hAnsi="Times New Roman" w:cs="Times New Roman"/>
          <w:color w:val="000000"/>
          <w:sz w:val="24"/>
          <w:szCs w:val="24"/>
          <w:lang w:val="fr-FR"/>
        </w:rPr>
        <w:t>c</w:t>
      </w:r>
      <w:r>
        <w:rPr>
          <w:rFonts w:ascii="Times New Roman" w:eastAsia="Times New Roman" w:hAnsi="Times New Roman" w:cs="Times New Roman"/>
          <w:color w:val="000000"/>
          <w:sz w:val="24"/>
          <w:szCs w:val="24"/>
          <w:lang w:val="fr-FR"/>
        </w:rPr>
        <w:t>es différen</w:t>
      </w:r>
      <w:r w:rsidR="00B74AE3">
        <w:rPr>
          <w:rFonts w:ascii="Times New Roman" w:eastAsia="Times New Roman" w:hAnsi="Times New Roman" w:cs="Times New Roman"/>
          <w:color w:val="000000"/>
          <w:sz w:val="24"/>
          <w:szCs w:val="24"/>
          <w:lang w:val="fr-FR"/>
        </w:rPr>
        <w:t xml:space="preserve">ts types de dépenses </w:t>
      </w:r>
      <w:r w:rsidR="00272F3A">
        <w:rPr>
          <w:rFonts w:ascii="Times New Roman" w:eastAsia="Times New Roman" w:hAnsi="Times New Roman" w:cs="Times New Roman"/>
          <w:color w:val="000000"/>
          <w:sz w:val="24"/>
          <w:szCs w:val="24"/>
          <w:lang w:val="fr-FR"/>
        </w:rPr>
        <w:t>indiquent qu’</w:t>
      </w:r>
      <w:r w:rsidR="00272F3A" w:rsidRPr="00256989">
        <w:rPr>
          <w:rFonts w:ascii="Times New Roman" w:eastAsia="Times New Roman" w:hAnsi="Times New Roman" w:cs="Times New Roman"/>
          <w:color w:val="000000"/>
          <w:sz w:val="24"/>
          <w:szCs w:val="24"/>
          <w:lang w:val="fr-FR"/>
        </w:rPr>
        <w:t xml:space="preserve">à court terme, </w:t>
      </w:r>
      <w:r w:rsidR="00272F3A">
        <w:rPr>
          <w:rFonts w:ascii="Times New Roman" w:eastAsia="Times New Roman" w:hAnsi="Times New Roman" w:cs="Times New Roman"/>
          <w:color w:val="000000"/>
          <w:sz w:val="24"/>
          <w:szCs w:val="24"/>
          <w:lang w:val="fr-FR"/>
        </w:rPr>
        <w:t xml:space="preserve">elle a </w:t>
      </w:r>
      <w:r w:rsidR="00272F3A" w:rsidRPr="00256989">
        <w:rPr>
          <w:rFonts w:ascii="Times New Roman" w:eastAsia="Times New Roman" w:hAnsi="Times New Roman" w:cs="Times New Roman"/>
          <w:color w:val="000000"/>
          <w:sz w:val="24"/>
          <w:szCs w:val="24"/>
          <w:lang w:val="fr-FR"/>
        </w:rPr>
        <w:t>un effet positif sur les groupe</w:t>
      </w:r>
      <w:r w:rsidR="00272F3A">
        <w:rPr>
          <w:rFonts w:ascii="Times New Roman" w:eastAsia="Times New Roman" w:hAnsi="Times New Roman" w:cs="Times New Roman"/>
          <w:color w:val="000000"/>
          <w:sz w:val="24"/>
          <w:szCs w:val="24"/>
          <w:lang w:val="fr-FR"/>
        </w:rPr>
        <w:t>s</w:t>
      </w:r>
      <w:r w:rsidR="00272F3A" w:rsidRPr="00256989">
        <w:rPr>
          <w:rFonts w:ascii="Times New Roman" w:eastAsia="Times New Roman" w:hAnsi="Times New Roman" w:cs="Times New Roman"/>
          <w:color w:val="000000"/>
          <w:sz w:val="24"/>
          <w:szCs w:val="24"/>
          <w:lang w:val="fr-FR"/>
        </w:rPr>
        <w:t xml:space="preserve"> 1</w:t>
      </w:r>
      <w:r w:rsidR="00272F3A">
        <w:rPr>
          <w:rFonts w:ascii="Times New Roman" w:eastAsia="Times New Roman" w:hAnsi="Times New Roman" w:cs="Times New Roman"/>
          <w:color w:val="000000"/>
          <w:sz w:val="24"/>
          <w:szCs w:val="24"/>
          <w:lang w:val="fr-FR"/>
        </w:rPr>
        <w:t>,</w:t>
      </w:r>
      <w:r w:rsidR="00272F3A" w:rsidRPr="00256989">
        <w:rPr>
          <w:rFonts w:ascii="Times New Roman" w:eastAsia="Times New Roman" w:hAnsi="Times New Roman" w:cs="Times New Roman"/>
          <w:color w:val="000000"/>
          <w:sz w:val="24"/>
          <w:szCs w:val="24"/>
          <w:lang w:val="fr-FR"/>
        </w:rPr>
        <w:t xml:space="preserve"> 2</w:t>
      </w:r>
      <w:r w:rsidR="00272F3A">
        <w:rPr>
          <w:rFonts w:ascii="Times New Roman" w:eastAsia="Times New Roman" w:hAnsi="Times New Roman" w:cs="Times New Roman"/>
          <w:color w:val="000000"/>
          <w:sz w:val="24"/>
          <w:szCs w:val="24"/>
          <w:lang w:val="fr-FR"/>
        </w:rPr>
        <w:t xml:space="preserve"> et 3</w:t>
      </w:r>
      <w:r w:rsidR="00272F3A" w:rsidRPr="00256989">
        <w:rPr>
          <w:rFonts w:ascii="Times New Roman" w:eastAsia="Times New Roman" w:hAnsi="Times New Roman" w:cs="Times New Roman"/>
          <w:color w:val="000000"/>
          <w:sz w:val="24"/>
          <w:szCs w:val="24"/>
          <w:lang w:val="fr-FR"/>
        </w:rPr>
        <w:t xml:space="preserve">. Cela implique qu’une augmentation de </w:t>
      </w:r>
      <w:r w:rsidR="003B4A16">
        <w:rPr>
          <w:rFonts w:ascii="Times New Roman" w:eastAsia="Times New Roman" w:hAnsi="Times New Roman" w:cs="Times New Roman"/>
          <w:color w:val="000000"/>
          <w:sz w:val="24"/>
          <w:szCs w:val="24"/>
          <w:lang w:val="fr-FR"/>
        </w:rPr>
        <w:t xml:space="preserve">1% </w:t>
      </w:r>
      <w:r w:rsidR="00272F3A" w:rsidRPr="00256989">
        <w:rPr>
          <w:rFonts w:ascii="Times New Roman" w:eastAsia="Times New Roman" w:hAnsi="Times New Roman" w:cs="Times New Roman"/>
          <w:color w:val="000000"/>
          <w:sz w:val="24"/>
          <w:szCs w:val="24"/>
          <w:lang w:val="fr-FR"/>
        </w:rPr>
        <w:t xml:space="preserve">la TVA entraîne une augmentation des dépenses liées </w:t>
      </w:r>
      <w:r w:rsidR="00272F3A">
        <w:rPr>
          <w:rFonts w:ascii="Times New Roman" w:eastAsia="Times New Roman" w:hAnsi="Times New Roman" w:cs="Times New Roman"/>
          <w:color w:val="000000"/>
          <w:sz w:val="24"/>
          <w:szCs w:val="24"/>
          <w:lang w:val="fr-FR"/>
        </w:rPr>
        <w:t>à</w:t>
      </w:r>
      <w:r w:rsidR="00272F3A" w:rsidRPr="00256989">
        <w:rPr>
          <w:rFonts w:ascii="Times New Roman" w:eastAsia="Times New Roman" w:hAnsi="Times New Roman" w:cs="Times New Roman"/>
          <w:color w:val="000000"/>
          <w:sz w:val="24"/>
          <w:szCs w:val="24"/>
          <w:lang w:val="fr-FR"/>
        </w:rPr>
        <w:t xml:space="preserve"> ces domaines</w:t>
      </w:r>
      <w:r w:rsidR="003B4A16">
        <w:rPr>
          <w:rFonts w:ascii="Times New Roman" w:eastAsia="Times New Roman" w:hAnsi="Times New Roman" w:cs="Times New Roman"/>
          <w:color w:val="000000"/>
          <w:sz w:val="24"/>
          <w:szCs w:val="24"/>
          <w:lang w:val="fr-FR"/>
        </w:rPr>
        <w:t xml:space="preserve"> respectivement à 0,015 ; 0,17 et 0, 003 point de pourcentage</w:t>
      </w:r>
      <w:r w:rsidR="00272F3A" w:rsidRPr="00256989">
        <w:rPr>
          <w:rFonts w:ascii="Times New Roman" w:eastAsia="Times New Roman" w:hAnsi="Times New Roman" w:cs="Times New Roman"/>
          <w:color w:val="000000"/>
          <w:sz w:val="24"/>
          <w:szCs w:val="24"/>
          <w:lang w:val="fr-FR"/>
        </w:rPr>
        <w:t xml:space="preserve">. Par contre, sur les dépenses portées sur les </w:t>
      </w:r>
      <w:r w:rsidR="006B056A" w:rsidRPr="00256989">
        <w:rPr>
          <w:rFonts w:ascii="Times New Roman" w:eastAsia="Times New Roman" w:hAnsi="Times New Roman" w:cs="Times New Roman"/>
          <w:color w:val="000000"/>
          <w:sz w:val="24"/>
          <w:szCs w:val="24"/>
          <w:lang w:val="fr-FR"/>
        </w:rPr>
        <w:t xml:space="preserve">groupes </w:t>
      </w:r>
      <w:r w:rsidR="006B056A">
        <w:rPr>
          <w:rFonts w:ascii="Times New Roman" w:eastAsia="Times New Roman" w:hAnsi="Times New Roman" w:cs="Times New Roman"/>
          <w:color w:val="000000"/>
          <w:sz w:val="24"/>
          <w:szCs w:val="24"/>
          <w:lang w:val="fr-FR"/>
        </w:rPr>
        <w:t>4</w:t>
      </w:r>
      <w:r w:rsidR="00272F3A" w:rsidRPr="00256989">
        <w:rPr>
          <w:rFonts w:ascii="Times New Roman" w:eastAsia="Times New Roman" w:hAnsi="Times New Roman" w:cs="Times New Roman"/>
          <w:color w:val="000000"/>
          <w:sz w:val="24"/>
          <w:szCs w:val="24"/>
          <w:lang w:val="fr-FR"/>
        </w:rPr>
        <w:t xml:space="preserve"> et 5, l’augmentation de la TVA entraine une diminution des dépenses de consommation finale des ménages dans ces domaines</w:t>
      </w:r>
      <w:r w:rsidR="003B4A16">
        <w:rPr>
          <w:rFonts w:ascii="Times New Roman" w:eastAsia="Times New Roman" w:hAnsi="Times New Roman" w:cs="Times New Roman"/>
          <w:color w:val="000000"/>
          <w:sz w:val="24"/>
          <w:szCs w:val="24"/>
          <w:lang w:val="fr-FR"/>
        </w:rPr>
        <w:t>. Cela montre qu’une augmentation de 1%</w:t>
      </w:r>
      <w:r w:rsidR="003B4A16">
        <w:rPr>
          <w:rFonts w:ascii="Times New Roman" w:eastAsia="Times New Roman" w:hAnsi="Times New Roman" w:cs="Times New Roman"/>
          <w:b/>
          <w:bCs/>
          <w:color w:val="000000"/>
          <w:sz w:val="24"/>
          <w:szCs w:val="24"/>
          <w:lang w:val="fr-FR"/>
        </w:rPr>
        <w:t xml:space="preserve"> </w:t>
      </w:r>
      <w:r w:rsidR="003B4A16" w:rsidRPr="003B4A16">
        <w:rPr>
          <w:rFonts w:ascii="Times New Roman" w:eastAsia="Times New Roman" w:hAnsi="Times New Roman" w:cs="Times New Roman"/>
          <w:color w:val="000000"/>
          <w:sz w:val="24"/>
          <w:szCs w:val="24"/>
          <w:lang w:val="fr-FR"/>
        </w:rPr>
        <w:t>de la TVA entraine une diminution</w:t>
      </w:r>
      <w:r w:rsidR="003B4A16">
        <w:rPr>
          <w:rFonts w:ascii="Times New Roman" w:eastAsia="Times New Roman" w:hAnsi="Times New Roman" w:cs="Times New Roman"/>
          <w:b/>
          <w:bCs/>
          <w:color w:val="000000"/>
          <w:sz w:val="24"/>
          <w:szCs w:val="24"/>
          <w:lang w:val="fr-FR"/>
        </w:rPr>
        <w:t xml:space="preserve"> </w:t>
      </w:r>
      <w:r w:rsidR="003B4A16" w:rsidRPr="003B4A16">
        <w:rPr>
          <w:rFonts w:ascii="Times New Roman" w:eastAsia="Times New Roman" w:hAnsi="Times New Roman" w:cs="Times New Roman"/>
          <w:color w:val="000000"/>
          <w:sz w:val="24"/>
          <w:szCs w:val="24"/>
          <w:lang w:val="fr-FR"/>
        </w:rPr>
        <w:t xml:space="preserve">des dépenses liées à l’éducation et la santé de 0, 041 point de pourcentage et de 0,004 point de pourcentage des dépenses portées sur le logement, l’eau, l’électricité </w:t>
      </w:r>
      <w:r w:rsidR="009A4E4D" w:rsidRPr="003B4A16">
        <w:rPr>
          <w:rFonts w:ascii="Times New Roman" w:eastAsia="Times New Roman" w:hAnsi="Times New Roman" w:cs="Times New Roman"/>
          <w:color w:val="000000"/>
          <w:sz w:val="24"/>
          <w:szCs w:val="24"/>
          <w:lang w:val="fr-FR"/>
        </w:rPr>
        <w:t>(Tableau 7</w:t>
      </w:r>
      <w:r w:rsidR="00612B0F" w:rsidRPr="003B4A16">
        <w:rPr>
          <w:rFonts w:ascii="Times New Roman" w:eastAsia="Times New Roman" w:hAnsi="Times New Roman" w:cs="Times New Roman"/>
          <w:color w:val="000000"/>
          <w:sz w:val="24"/>
          <w:szCs w:val="24"/>
          <w:lang w:val="fr-FR"/>
        </w:rPr>
        <w:t>).</w:t>
      </w:r>
      <w:r w:rsidR="00612B0F" w:rsidRPr="00256989">
        <w:rPr>
          <w:rFonts w:ascii="Times New Roman" w:eastAsia="Times New Roman" w:hAnsi="Times New Roman" w:cs="Times New Roman"/>
          <w:color w:val="000000"/>
          <w:sz w:val="24"/>
          <w:szCs w:val="24"/>
          <w:lang w:val="fr-FR"/>
        </w:rPr>
        <w:t xml:space="preserve"> A</w:t>
      </w:r>
      <w:r w:rsidR="006B056A" w:rsidRPr="00256989">
        <w:rPr>
          <w:rFonts w:ascii="Times New Roman" w:eastAsia="Times New Roman" w:hAnsi="Times New Roman" w:cs="Times New Roman"/>
          <w:color w:val="000000"/>
          <w:sz w:val="24"/>
          <w:szCs w:val="24"/>
          <w:lang w:val="fr-FR"/>
        </w:rPr>
        <w:t xml:space="preserve"> long terme, l’augmentation de la TVA entraine toujours </w:t>
      </w:r>
      <w:r w:rsidR="00211429" w:rsidRPr="00256989">
        <w:rPr>
          <w:rFonts w:ascii="Times New Roman" w:eastAsia="Times New Roman" w:hAnsi="Times New Roman" w:cs="Times New Roman"/>
          <w:color w:val="000000"/>
          <w:sz w:val="24"/>
          <w:szCs w:val="24"/>
          <w:lang w:val="fr-FR"/>
        </w:rPr>
        <w:t xml:space="preserve">une </w:t>
      </w:r>
      <w:r w:rsidR="00211429">
        <w:rPr>
          <w:rFonts w:ascii="Times New Roman" w:eastAsia="Times New Roman" w:hAnsi="Times New Roman" w:cs="Times New Roman"/>
          <w:color w:val="000000"/>
          <w:sz w:val="24"/>
          <w:szCs w:val="24"/>
          <w:lang w:val="fr-FR"/>
        </w:rPr>
        <w:t xml:space="preserve">augmentation du groupe 1 et une </w:t>
      </w:r>
      <w:r w:rsidR="006B056A">
        <w:rPr>
          <w:rFonts w:ascii="Times New Roman" w:eastAsia="Times New Roman" w:hAnsi="Times New Roman" w:cs="Times New Roman"/>
          <w:color w:val="000000"/>
          <w:sz w:val="24"/>
          <w:szCs w:val="24"/>
          <w:lang w:val="fr-FR"/>
        </w:rPr>
        <w:t xml:space="preserve">diminution </w:t>
      </w:r>
      <w:r w:rsidR="006B056A" w:rsidRPr="00256989">
        <w:rPr>
          <w:rFonts w:ascii="Times New Roman" w:eastAsia="Times New Roman" w:hAnsi="Times New Roman" w:cs="Times New Roman"/>
          <w:color w:val="000000"/>
          <w:sz w:val="24"/>
          <w:szCs w:val="24"/>
          <w:lang w:val="fr-FR"/>
        </w:rPr>
        <w:t xml:space="preserve">des dépenses du groupe </w:t>
      </w:r>
      <w:r w:rsidR="006B056A">
        <w:rPr>
          <w:rFonts w:ascii="Times New Roman" w:eastAsia="Times New Roman" w:hAnsi="Times New Roman" w:cs="Times New Roman"/>
          <w:color w:val="000000"/>
          <w:sz w:val="24"/>
          <w:szCs w:val="24"/>
          <w:lang w:val="fr-FR"/>
        </w:rPr>
        <w:t xml:space="preserve">4 mais elle n’a pas d’effet sur les groupes </w:t>
      </w:r>
      <w:r w:rsidR="00C87C98">
        <w:rPr>
          <w:rFonts w:ascii="Times New Roman" w:eastAsia="Times New Roman" w:hAnsi="Times New Roman" w:cs="Times New Roman"/>
          <w:color w:val="000000"/>
          <w:sz w:val="24"/>
          <w:szCs w:val="24"/>
          <w:lang w:val="fr-FR"/>
        </w:rPr>
        <w:t>2,3, et 5</w:t>
      </w:r>
      <w:r w:rsidR="008A3B53">
        <w:rPr>
          <w:rFonts w:ascii="Times New Roman" w:eastAsia="Times New Roman" w:hAnsi="Times New Roman" w:cs="Times New Roman"/>
          <w:color w:val="000000"/>
          <w:sz w:val="24"/>
          <w:szCs w:val="24"/>
          <w:lang w:val="fr-FR"/>
        </w:rPr>
        <w:t xml:space="preserve"> (</w:t>
      </w:r>
      <w:r w:rsidR="008A3B53" w:rsidRPr="008A3B53">
        <w:rPr>
          <w:rFonts w:ascii="Times New Roman" w:eastAsia="Times New Roman" w:hAnsi="Times New Roman" w:cs="Times New Roman"/>
          <w:b/>
          <w:bCs/>
          <w:color w:val="000000"/>
          <w:sz w:val="24"/>
          <w:szCs w:val="24"/>
          <w:lang w:val="fr-FR"/>
        </w:rPr>
        <w:t>Tableau 8</w:t>
      </w:r>
      <w:r w:rsidR="008A3B53">
        <w:rPr>
          <w:rFonts w:ascii="Times New Roman" w:eastAsia="Times New Roman" w:hAnsi="Times New Roman" w:cs="Times New Roman"/>
          <w:b/>
          <w:bCs/>
          <w:color w:val="000000"/>
          <w:sz w:val="24"/>
          <w:szCs w:val="24"/>
          <w:lang w:val="fr-FR"/>
        </w:rPr>
        <w:t>).</w:t>
      </w:r>
    </w:p>
    <w:p w14:paraId="1DB8FAC8" w14:textId="31673B76" w:rsidR="00326869" w:rsidRDefault="00456073" w:rsidP="00612B0F">
      <w:pPr>
        <w:spacing w:line="360" w:lineRule="auto"/>
        <w:jc w:val="both"/>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color w:val="000000"/>
          <w:sz w:val="24"/>
          <w:szCs w:val="24"/>
          <w:lang w:val="fr-FR"/>
        </w:rPr>
        <w:t xml:space="preserve">Concernant, l’effet de l’IUTS sur les différents types de dépenses de consommation finale des ménages, </w:t>
      </w:r>
      <w:r w:rsidR="00EF19A8">
        <w:rPr>
          <w:rFonts w:ascii="Times New Roman" w:eastAsia="Times New Roman" w:hAnsi="Times New Roman" w:cs="Times New Roman"/>
          <w:color w:val="000000"/>
          <w:sz w:val="24"/>
          <w:szCs w:val="24"/>
          <w:lang w:val="fr-FR"/>
        </w:rPr>
        <w:t>les résultats</w:t>
      </w:r>
      <w:r w:rsidR="0011140A">
        <w:rPr>
          <w:rFonts w:ascii="Times New Roman" w:eastAsia="Times New Roman" w:hAnsi="Times New Roman" w:cs="Times New Roman"/>
          <w:color w:val="000000"/>
          <w:sz w:val="24"/>
          <w:szCs w:val="24"/>
          <w:lang w:val="fr-FR"/>
        </w:rPr>
        <w:t xml:space="preserve"> indiquent qu</w:t>
      </w:r>
      <w:r w:rsidR="00CC3B69">
        <w:rPr>
          <w:rFonts w:ascii="Times New Roman" w:eastAsia="Times New Roman" w:hAnsi="Times New Roman" w:cs="Times New Roman"/>
          <w:color w:val="000000"/>
          <w:sz w:val="24"/>
          <w:szCs w:val="24"/>
          <w:lang w:val="fr-FR"/>
        </w:rPr>
        <w:t>’</w:t>
      </w:r>
      <w:r w:rsidR="009A4E4D" w:rsidRPr="00256989">
        <w:rPr>
          <w:rFonts w:ascii="Times New Roman" w:eastAsia="Times New Roman" w:hAnsi="Times New Roman" w:cs="Times New Roman"/>
          <w:sz w:val="24"/>
          <w:szCs w:val="24"/>
          <w:lang w:val="fr-FR"/>
        </w:rPr>
        <w:t>à court terme, l’IUTS a une influence positive sur les dépenses rapportées aux</w:t>
      </w:r>
      <w:r w:rsidR="001C7865">
        <w:rPr>
          <w:rFonts w:ascii="Times New Roman" w:eastAsia="Times New Roman" w:hAnsi="Times New Roman" w:cs="Times New Roman"/>
          <w:sz w:val="24"/>
          <w:szCs w:val="24"/>
          <w:lang w:val="fr-FR"/>
        </w:rPr>
        <w:t xml:space="preserve"> </w:t>
      </w:r>
      <w:r w:rsidR="001C7865" w:rsidRPr="00256989">
        <w:rPr>
          <w:rFonts w:ascii="Times New Roman" w:eastAsia="Times New Roman" w:hAnsi="Times New Roman" w:cs="Times New Roman"/>
          <w:color w:val="000000"/>
          <w:sz w:val="24"/>
          <w:szCs w:val="24"/>
          <w:lang w:val="fr-FR"/>
        </w:rPr>
        <w:t xml:space="preserve">logement, l’eau, l’électricité, le gaz et autres </w:t>
      </w:r>
      <w:r w:rsidR="001C7865" w:rsidRPr="005C6076">
        <w:rPr>
          <w:rFonts w:ascii="Times New Roman" w:eastAsia="Times New Roman" w:hAnsi="Times New Roman" w:cs="Times New Roman"/>
          <w:color w:val="000000"/>
          <w:sz w:val="24"/>
          <w:szCs w:val="24"/>
          <w:lang w:val="fr-FR"/>
        </w:rPr>
        <w:t>combustibles</w:t>
      </w:r>
      <w:r w:rsidR="001C7865" w:rsidRPr="00256989">
        <w:rPr>
          <w:rFonts w:ascii="Times New Roman" w:eastAsia="Times New Roman" w:hAnsi="Times New Roman" w:cs="Times New Roman"/>
          <w:sz w:val="24"/>
          <w:szCs w:val="24"/>
          <w:lang w:val="fr-FR"/>
        </w:rPr>
        <w:t xml:space="preserve"> </w:t>
      </w:r>
      <w:r w:rsidR="009A4E4D" w:rsidRPr="00256989">
        <w:rPr>
          <w:rFonts w:ascii="Times New Roman" w:eastAsia="Times New Roman" w:hAnsi="Times New Roman" w:cs="Times New Roman"/>
          <w:sz w:val="24"/>
          <w:szCs w:val="24"/>
          <w:lang w:val="fr-FR"/>
        </w:rPr>
        <w:t xml:space="preserve">pour le groupe 5. Cela implique qu’une augmentation de </w:t>
      </w:r>
      <w:r w:rsidR="00CC3B69">
        <w:rPr>
          <w:rFonts w:ascii="Times New Roman" w:eastAsia="Times New Roman" w:hAnsi="Times New Roman" w:cs="Times New Roman"/>
          <w:sz w:val="24"/>
          <w:szCs w:val="24"/>
          <w:lang w:val="fr-FR"/>
        </w:rPr>
        <w:t xml:space="preserve">1% de </w:t>
      </w:r>
      <w:r w:rsidR="009A4E4D" w:rsidRPr="00256989">
        <w:rPr>
          <w:rFonts w:ascii="Times New Roman" w:eastAsia="Times New Roman" w:hAnsi="Times New Roman" w:cs="Times New Roman"/>
          <w:sz w:val="24"/>
          <w:szCs w:val="24"/>
          <w:lang w:val="fr-FR"/>
        </w:rPr>
        <w:t xml:space="preserve">l’IUTS entraîne une augmentation </w:t>
      </w:r>
      <w:r w:rsidR="00623137">
        <w:rPr>
          <w:rFonts w:ascii="Times New Roman" w:eastAsia="Times New Roman" w:hAnsi="Times New Roman" w:cs="Times New Roman"/>
          <w:sz w:val="24"/>
          <w:szCs w:val="24"/>
          <w:lang w:val="fr-FR"/>
        </w:rPr>
        <w:t xml:space="preserve">de ces </w:t>
      </w:r>
      <w:r w:rsidR="009A4E4D" w:rsidRPr="00256989">
        <w:rPr>
          <w:rFonts w:ascii="Times New Roman" w:eastAsia="Times New Roman" w:hAnsi="Times New Roman" w:cs="Times New Roman"/>
          <w:sz w:val="24"/>
          <w:szCs w:val="24"/>
          <w:lang w:val="fr-FR"/>
        </w:rPr>
        <w:t>dépenses</w:t>
      </w:r>
      <w:r w:rsidR="00623137">
        <w:rPr>
          <w:rFonts w:ascii="Times New Roman" w:eastAsia="Times New Roman" w:hAnsi="Times New Roman" w:cs="Times New Roman"/>
          <w:sz w:val="24"/>
          <w:szCs w:val="24"/>
          <w:lang w:val="fr-FR"/>
        </w:rPr>
        <w:t xml:space="preserve"> de 0,0026 point de pourcentage</w:t>
      </w:r>
      <w:r w:rsidR="009A4E4D" w:rsidRPr="00256989">
        <w:rPr>
          <w:rFonts w:ascii="Times New Roman" w:eastAsia="Times New Roman" w:hAnsi="Times New Roman" w:cs="Times New Roman"/>
          <w:sz w:val="24"/>
          <w:szCs w:val="24"/>
          <w:lang w:val="fr-FR"/>
        </w:rPr>
        <w:t xml:space="preserve"> à court terme. Mais, cet effet est négatif pour le</w:t>
      </w:r>
      <w:r w:rsidR="00DB38D5">
        <w:rPr>
          <w:rFonts w:ascii="Times New Roman" w:eastAsia="Times New Roman" w:hAnsi="Times New Roman" w:cs="Times New Roman"/>
          <w:sz w:val="24"/>
          <w:szCs w:val="24"/>
          <w:lang w:val="fr-FR"/>
        </w:rPr>
        <w:t>s</w:t>
      </w:r>
      <w:r w:rsidR="009A4E4D" w:rsidRPr="00256989">
        <w:rPr>
          <w:rFonts w:ascii="Times New Roman" w:eastAsia="Times New Roman" w:hAnsi="Times New Roman" w:cs="Times New Roman"/>
          <w:sz w:val="24"/>
          <w:szCs w:val="24"/>
          <w:lang w:val="fr-FR"/>
        </w:rPr>
        <w:t xml:space="preserve"> groupe</w:t>
      </w:r>
      <w:r w:rsidR="00DB38D5">
        <w:rPr>
          <w:rFonts w:ascii="Times New Roman" w:eastAsia="Times New Roman" w:hAnsi="Times New Roman" w:cs="Times New Roman"/>
          <w:sz w:val="24"/>
          <w:szCs w:val="24"/>
          <w:lang w:val="fr-FR"/>
        </w:rPr>
        <w:t xml:space="preserve">s </w:t>
      </w:r>
      <w:r w:rsidR="00623137">
        <w:rPr>
          <w:rFonts w:ascii="Times New Roman" w:eastAsia="Times New Roman" w:hAnsi="Times New Roman" w:cs="Times New Roman"/>
          <w:sz w:val="24"/>
          <w:szCs w:val="24"/>
          <w:lang w:val="fr-FR"/>
        </w:rPr>
        <w:t xml:space="preserve">3 </w:t>
      </w:r>
      <w:r w:rsidR="009A4E4D" w:rsidRPr="00256989">
        <w:rPr>
          <w:rFonts w:ascii="Times New Roman" w:eastAsia="Times New Roman" w:hAnsi="Times New Roman" w:cs="Times New Roman"/>
          <w:sz w:val="24"/>
          <w:szCs w:val="24"/>
          <w:lang w:val="fr-FR"/>
        </w:rPr>
        <w:t>en ce qui concerne les dépenses</w:t>
      </w:r>
      <w:r w:rsidR="005E27B2">
        <w:rPr>
          <w:rFonts w:ascii="Times New Roman" w:eastAsia="Times New Roman" w:hAnsi="Times New Roman" w:cs="Times New Roman"/>
          <w:sz w:val="24"/>
          <w:szCs w:val="24"/>
          <w:lang w:val="fr-FR"/>
        </w:rPr>
        <w:t xml:space="preserve"> liées</w:t>
      </w:r>
      <w:r w:rsidR="009A4E4D" w:rsidRPr="00256989">
        <w:rPr>
          <w:rFonts w:ascii="Times New Roman" w:eastAsia="Times New Roman" w:hAnsi="Times New Roman" w:cs="Times New Roman"/>
          <w:sz w:val="24"/>
          <w:szCs w:val="24"/>
          <w:lang w:val="fr-FR"/>
        </w:rPr>
        <w:t xml:space="preserve"> </w:t>
      </w:r>
      <w:r w:rsidR="005E27B2" w:rsidRPr="00256989">
        <w:rPr>
          <w:rFonts w:ascii="Times New Roman" w:eastAsia="Times New Roman" w:hAnsi="Times New Roman" w:cs="Times New Roman"/>
          <w:sz w:val="24"/>
          <w:szCs w:val="24"/>
          <w:lang w:val="fr-FR"/>
        </w:rPr>
        <w:t>transports, communications et informations</w:t>
      </w:r>
      <w:r w:rsidR="009A4E4D">
        <w:rPr>
          <w:rFonts w:ascii="Times New Roman" w:eastAsia="Times New Roman" w:hAnsi="Times New Roman" w:cs="Times New Roman"/>
          <w:color w:val="000000"/>
          <w:sz w:val="24"/>
          <w:szCs w:val="24"/>
          <w:lang w:val="fr-FR"/>
        </w:rPr>
        <w:t xml:space="preserve">. Il en est de même </w:t>
      </w:r>
      <w:r w:rsidR="009A4E4D" w:rsidRPr="00256989">
        <w:rPr>
          <w:rFonts w:ascii="Times New Roman" w:eastAsia="Times New Roman" w:hAnsi="Times New Roman" w:cs="Times New Roman"/>
          <w:color w:val="000000"/>
          <w:sz w:val="24"/>
          <w:szCs w:val="24"/>
          <w:lang w:val="fr-FR"/>
        </w:rPr>
        <w:t>pour le groupe 4 en ce qui concerne les dépenses en santé et en éducation</w:t>
      </w:r>
      <w:r w:rsidR="009A4E4D" w:rsidRPr="009A4E4D">
        <w:rPr>
          <w:rFonts w:ascii="Times New Roman" w:eastAsia="Times New Roman" w:hAnsi="Times New Roman" w:cs="Times New Roman"/>
          <w:b/>
          <w:bCs/>
          <w:color w:val="000000"/>
          <w:sz w:val="24"/>
          <w:szCs w:val="24"/>
          <w:lang w:val="fr-FR"/>
        </w:rPr>
        <w:t xml:space="preserve">. </w:t>
      </w:r>
      <w:r w:rsidR="00623137" w:rsidRPr="00623137">
        <w:rPr>
          <w:rFonts w:ascii="Times New Roman" w:eastAsia="Times New Roman" w:hAnsi="Times New Roman" w:cs="Times New Roman"/>
          <w:color w:val="000000"/>
          <w:sz w:val="24"/>
          <w:szCs w:val="24"/>
          <w:lang w:val="fr-FR"/>
        </w:rPr>
        <w:t xml:space="preserve">Ce qui implique qu’une augmentation de 1% de l’IUTS entraine une baisse de ces dépenses respectivement de ces dépenses de 0,0046 et 0,032 point de pourcentage </w:t>
      </w:r>
      <w:r w:rsidR="009A4E4D" w:rsidRPr="00623137">
        <w:rPr>
          <w:rFonts w:ascii="Times New Roman" w:eastAsia="Times New Roman" w:hAnsi="Times New Roman" w:cs="Times New Roman"/>
          <w:b/>
          <w:bCs/>
          <w:color w:val="000000"/>
          <w:sz w:val="24"/>
          <w:szCs w:val="24"/>
          <w:lang w:val="fr-FR"/>
        </w:rPr>
        <w:t>(Tableau 9</w:t>
      </w:r>
      <w:r w:rsidR="00612B0F" w:rsidRPr="00623137">
        <w:rPr>
          <w:rFonts w:ascii="Times New Roman" w:eastAsia="Times New Roman" w:hAnsi="Times New Roman" w:cs="Times New Roman"/>
          <w:b/>
          <w:bCs/>
          <w:color w:val="000000"/>
          <w:sz w:val="24"/>
          <w:szCs w:val="24"/>
          <w:lang w:val="fr-FR"/>
        </w:rPr>
        <w:t>)</w:t>
      </w:r>
      <w:r w:rsidR="00612B0F" w:rsidRPr="00623137">
        <w:rPr>
          <w:rFonts w:ascii="Times New Roman" w:eastAsia="Times New Roman" w:hAnsi="Times New Roman" w:cs="Times New Roman"/>
          <w:color w:val="000000"/>
          <w:sz w:val="24"/>
          <w:szCs w:val="24"/>
          <w:lang w:val="fr-FR"/>
        </w:rPr>
        <w:t>. En</w:t>
      </w:r>
      <w:r w:rsidR="00AC723F" w:rsidRPr="00256989">
        <w:rPr>
          <w:rFonts w:ascii="Times New Roman" w:eastAsia="Times New Roman" w:hAnsi="Times New Roman" w:cs="Times New Roman"/>
          <w:color w:val="000000"/>
          <w:sz w:val="24"/>
          <w:szCs w:val="24"/>
          <w:lang w:val="fr-FR"/>
        </w:rPr>
        <w:t xml:space="preserve"> revanche, à long terme,</w:t>
      </w:r>
      <w:r w:rsidR="00AA2B3C" w:rsidRPr="00256989">
        <w:rPr>
          <w:rFonts w:ascii="Times New Roman" w:eastAsia="Times New Roman" w:hAnsi="Times New Roman" w:cs="Times New Roman"/>
          <w:color w:val="000000"/>
          <w:sz w:val="24"/>
          <w:szCs w:val="24"/>
          <w:lang w:val="fr-FR"/>
        </w:rPr>
        <w:t xml:space="preserve"> l’IUTS influence négativement le groupe</w:t>
      </w:r>
      <w:r w:rsidR="00DB38D5">
        <w:rPr>
          <w:rFonts w:ascii="Times New Roman" w:eastAsia="Times New Roman" w:hAnsi="Times New Roman" w:cs="Times New Roman"/>
          <w:color w:val="000000"/>
          <w:sz w:val="24"/>
          <w:szCs w:val="24"/>
          <w:lang w:val="fr-FR"/>
        </w:rPr>
        <w:t xml:space="preserve"> 2 et</w:t>
      </w:r>
      <w:r w:rsidR="00AA2B3C" w:rsidRPr="00256989">
        <w:rPr>
          <w:rFonts w:ascii="Times New Roman" w:eastAsia="Times New Roman" w:hAnsi="Times New Roman" w:cs="Times New Roman"/>
          <w:color w:val="000000"/>
          <w:sz w:val="24"/>
          <w:szCs w:val="24"/>
          <w:lang w:val="fr-FR"/>
        </w:rPr>
        <w:t xml:space="preserve"> </w:t>
      </w:r>
      <w:r w:rsidR="00612B0F">
        <w:rPr>
          <w:rFonts w:ascii="Times New Roman" w:eastAsia="Times New Roman" w:hAnsi="Times New Roman" w:cs="Times New Roman"/>
          <w:color w:val="000000"/>
          <w:sz w:val="24"/>
          <w:szCs w:val="24"/>
          <w:lang w:val="fr-FR"/>
        </w:rPr>
        <w:t>3</w:t>
      </w:r>
      <w:r w:rsidR="00AA2B3C" w:rsidRPr="00256989">
        <w:rPr>
          <w:rFonts w:ascii="Times New Roman" w:eastAsia="Times New Roman" w:hAnsi="Times New Roman" w:cs="Times New Roman"/>
          <w:color w:val="000000"/>
          <w:sz w:val="24"/>
          <w:szCs w:val="24"/>
          <w:lang w:val="fr-FR"/>
        </w:rPr>
        <w:t xml:space="preserve">. Cela signifie qu’une augmentation de </w:t>
      </w:r>
      <w:r w:rsidR="00C475C5">
        <w:rPr>
          <w:rFonts w:ascii="Times New Roman" w:eastAsia="Times New Roman" w:hAnsi="Times New Roman" w:cs="Times New Roman"/>
          <w:color w:val="000000"/>
          <w:sz w:val="24"/>
          <w:szCs w:val="24"/>
          <w:lang w:val="fr-FR"/>
        </w:rPr>
        <w:t xml:space="preserve">1% de </w:t>
      </w:r>
      <w:r w:rsidR="00AA2B3C" w:rsidRPr="00256989">
        <w:rPr>
          <w:rFonts w:ascii="Times New Roman" w:eastAsia="Times New Roman" w:hAnsi="Times New Roman" w:cs="Times New Roman"/>
          <w:color w:val="000000"/>
          <w:sz w:val="24"/>
          <w:szCs w:val="24"/>
          <w:lang w:val="fr-FR"/>
        </w:rPr>
        <w:t xml:space="preserve">cet impôt </w:t>
      </w:r>
      <w:r w:rsidR="00AA2B3C" w:rsidRPr="00256989">
        <w:rPr>
          <w:rFonts w:ascii="Times New Roman" w:eastAsia="Times New Roman" w:hAnsi="Times New Roman" w:cs="Times New Roman"/>
          <w:sz w:val="24"/>
          <w:szCs w:val="24"/>
          <w:lang w:val="fr-FR"/>
        </w:rPr>
        <w:t>entraîne</w:t>
      </w:r>
      <w:r w:rsidR="00AA2B3C" w:rsidRPr="00256989">
        <w:rPr>
          <w:rFonts w:ascii="Times New Roman" w:eastAsia="Times New Roman" w:hAnsi="Times New Roman" w:cs="Times New Roman"/>
          <w:color w:val="000000"/>
          <w:sz w:val="24"/>
          <w:szCs w:val="24"/>
          <w:lang w:val="fr-FR"/>
        </w:rPr>
        <w:t xml:space="preserve"> une baisse des dépenses </w:t>
      </w:r>
      <w:r w:rsidR="00DC1F2D">
        <w:rPr>
          <w:rFonts w:ascii="Times New Roman" w:eastAsia="Times New Roman" w:hAnsi="Times New Roman" w:cs="Times New Roman"/>
          <w:color w:val="000000"/>
          <w:sz w:val="24"/>
          <w:szCs w:val="24"/>
          <w:lang w:val="fr-FR"/>
        </w:rPr>
        <w:t>liées au</w:t>
      </w:r>
      <w:r w:rsidR="00E44FA8">
        <w:rPr>
          <w:rFonts w:ascii="Times New Roman" w:eastAsia="Times New Roman" w:hAnsi="Times New Roman" w:cs="Times New Roman"/>
          <w:color w:val="000000"/>
          <w:sz w:val="24"/>
          <w:szCs w:val="24"/>
          <w:lang w:val="fr-FR"/>
        </w:rPr>
        <w:t xml:space="preserve">x tabacs, </w:t>
      </w:r>
      <w:r w:rsidR="00642975">
        <w:rPr>
          <w:rFonts w:ascii="Times New Roman" w:eastAsia="Times New Roman" w:hAnsi="Times New Roman" w:cs="Times New Roman"/>
          <w:color w:val="000000"/>
          <w:sz w:val="24"/>
          <w:szCs w:val="24"/>
          <w:lang w:val="fr-FR"/>
        </w:rPr>
        <w:t>boissons alcoolisées et stupéfiants</w:t>
      </w:r>
      <w:r w:rsidR="00C475C5">
        <w:rPr>
          <w:rFonts w:ascii="Times New Roman" w:eastAsia="Times New Roman" w:hAnsi="Times New Roman" w:cs="Times New Roman"/>
          <w:color w:val="000000"/>
          <w:sz w:val="24"/>
          <w:szCs w:val="24"/>
          <w:lang w:val="fr-FR"/>
        </w:rPr>
        <w:t xml:space="preserve"> de 0,47 point de pourcentage</w:t>
      </w:r>
      <w:r w:rsidR="00642975">
        <w:rPr>
          <w:rFonts w:ascii="Times New Roman" w:eastAsia="Times New Roman" w:hAnsi="Times New Roman" w:cs="Times New Roman"/>
          <w:color w:val="000000"/>
          <w:sz w:val="24"/>
          <w:szCs w:val="24"/>
          <w:lang w:val="fr-FR"/>
        </w:rPr>
        <w:t xml:space="preserve"> ainsi que les dépenses sur les transports</w:t>
      </w:r>
      <w:r w:rsidR="00DC1F2D">
        <w:rPr>
          <w:rFonts w:ascii="Times New Roman" w:eastAsia="Times New Roman" w:hAnsi="Times New Roman" w:cs="Times New Roman"/>
          <w:color w:val="000000"/>
          <w:sz w:val="24"/>
          <w:szCs w:val="24"/>
          <w:lang w:val="fr-FR"/>
        </w:rPr>
        <w:t>, l’information et la communication</w:t>
      </w:r>
      <w:r w:rsidR="00C475C5">
        <w:rPr>
          <w:rFonts w:ascii="Times New Roman" w:eastAsia="Times New Roman" w:hAnsi="Times New Roman" w:cs="Times New Roman"/>
          <w:color w:val="000000"/>
          <w:sz w:val="24"/>
          <w:szCs w:val="24"/>
          <w:lang w:val="fr-FR"/>
        </w:rPr>
        <w:t xml:space="preserve"> de 0,02 </w:t>
      </w:r>
      <w:r w:rsidR="00C475C5">
        <w:rPr>
          <w:rFonts w:ascii="Times New Roman" w:eastAsia="Times New Roman" w:hAnsi="Times New Roman" w:cs="Times New Roman"/>
          <w:color w:val="000000"/>
          <w:sz w:val="24"/>
          <w:szCs w:val="24"/>
          <w:lang w:val="fr-FR"/>
        </w:rPr>
        <w:lastRenderedPageBreak/>
        <w:t>point de pourcentage</w:t>
      </w:r>
      <w:r w:rsidR="00642975">
        <w:rPr>
          <w:rFonts w:ascii="Times New Roman" w:eastAsia="Times New Roman" w:hAnsi="Times New Roman" w:cs="Times New Roman"/>
          <w:color w:val="000000"/>
          <w:sz w:val="24"/>
          <w:szCs w:val="24"/>
          <w:lang w:val="fr-FR"/>
        </w:rPr>
        <w:t>.</w:t>
      </w:r>
      <w:r w:rsidR="00AA2B3C" w:rsidRPr="00256989">
        <w:rPr>
          <w:rFonts w:ascii="Times New Roman" w:eastAsia="Times New Roman" w:hAnsi="Times New Roman" w:cs="Times New Roman"/>
          <w:color w:val="000000"/>
          <w:sz w:val="24"/>
          <w:szCs w:val="24"/>
          <w:lang w:val="fr-FR"/>
        </w:rPr>
        <w:t xml:space="preserve"> Contrairement à ces domaines de dépenses de consommation, l’IUTS n’a pas d’effet sur le</w:t>
      </w:r>
      <w:r w:rsidR="00DC1F2D">
        <w:rPr>
          <w:rFonts w:ascii="Times New Roman" w:eastAsia="Times New Roman" w:hAnsi="Times New Roman" w:cs="Times New Roman"/>
          <w:color w:val="000000"/>
          <w:sz w:val="24"/>
          <w:szCs w:val="24"/>
          <w:lang w:val="fr-FR"/>
        </w:rPr>
        <w:t>s</w:t>
      </w:r>
      <w:r w:rsidR="00AA2B3C" w:rsidRPr="00256989">
        <w:rPr>
          <w:rFonts w:ascii="Times New Roman" w:eastAsia="Times New Roman" w:hAnsi="Times New Roman" w:cs="Times New Roman"/>
          <w:color w:val="000000"/>
          <w:sz w:val="24"/>
          <w:szCs w:val="24"/>
          <w:lang w:val="fr-FR"/>
        </w:rPr>
        <w:t xml:space="preserve"> groupe</w:t>
      </w:r>
      <w:r w:rsidR="00DC1F2D">
        <w:rPr>
          <w:rFonts w:ascii="Times New Roman" w:eastAsia="Times New Roman" w:hAnsi="Times New Roman" w:cs="Times New Roman"/>
          <w:color w:val="000000"/>
          <w:sz w:val="24"/>
          <w:szCs w:val="24"/>
          <w:lang w:val="fr-FR"/>
        </w:rPr>
        <w:t>s</w:t>
      </w:r>
      <w:r w:rsidR="00642975">
        <w:rPr>
          <w:rFonts w:ascii="Times New Roman" w:eastAsia="Times New Roman" w:hAnsi="Times New Roman" w:cs="Times New Roman"/>
          <w:color w:val="000000"/>
          <w:sz w:val="24"/>
          <w:szCs w:val="24"/>
          <w:lang w:val="fr-FR"/>
        </w:rPr>
        <w:t xml:space="preserve"> 1,</w:t>
      </w:r>
      <w:r w:rsidR="00AA2B3C" w:rsidRPr="00256989">
        <w:rPr>
          <w:rFonts w:ascii="Times New Roman" w:eastAsia="Times New Roman" w:hAnsi="Times New Roman" w:cs="Times New Roman"/>
          <w:color w:val="000000"/>
          <w:sz w:val="24"/>
          <w:szCs w:val="24"/>
          <w:lang w:val="fr-FR"/>
        </w:rPr>
        <w:t xml:space="preserve"> </w:t>
      </w:r>
      <w:r w:rsidR="00612B0F">
        <w:rPr>
          <w:rFonts w:ascii="Times New Roman" w:eastAsia="Times New Roman" w:hAnsi="Times New Roman" w:cs="Times New Roman"/>
          <w:color w:val="000000"/>
          <w:sz w:val="24"/>
          <w:szCs w:val="24"/>
          <w:lang w:val="fr-FR"/>
        </w:rPr>
        <w:t>4</w:t>
      </w:r>
      <w:r w:rsidR="00DC1F2D">
        <w:rPr>
          <w:rFonts w:ascii="Times New Roman" w:eastAsia="Times New Roman" w:hAnsi="Times New Roman" w:cs="Times New Roman"/>
          <w:color w:val="000000"/>
          <w:sz w:val="24"/>
          <w:szCs w:val="24"/>
          <w:lang w:val="fr-FR"/>
        </w:rPr>
        <w:t xml:space="preserve"> et 5</w:t>
      </w:r>
      <w:r w:rsidR="00612B0F" w:rsidRPr="00612B0F">
        <w:rPr>
          <w:rFonts w:ascii="Times New Roman" w:eastAsia="Times New Roman" w:hAnsi="Times New Roman" w:cs="Times New Roman"/>
          <w:b/>
          <w:bCs/>
          <w:color w:val="000000"/>
          <w:sz w:val="24"/>
          <w:szCs w:val="24"/>
          <w:lang w:val="fr-FR"/>
        </w:rPr>
        <w:t>. (Tableau 10).</w:t>
      </w:r>
    </w:p>
    <w:p w14:paraId="2BDC7CD2" w14:textId="77777777" w:rsidR="0064310F" w:rsidRPr="00BE1F2A" w:rsidRDefault="0064310F" w:rsidP="00612B0F">
      <w:pPr>
        <w:spacing w:line="360" w:lineRule="auto"/>
        <w:jc w:val="both"/>
        <w:rPr>
          <w:rFonts w:ascii="Times New Roman" w:eastAsia="Times New Roman" w:hAnsi="Times New Roman" w:cs="Times New Roman"/>
          <w:b/>
          <w:bCs/>
          <w:color w:val="000000"/>
          <w:sz w:val="24"/>
          <w:szCs w:val="24"/>
          <w:lang w:val="fr-FR"/>
        </w:rPr>
      </w:pPr>
    </w:p>
    <w:p w14:paraId="7D542AF5" w14:textId="79308DA1" w:rsidR="00D54CC3" w:rsidRDefault="00D54CC3" w:rsidP="00612B0F">
      <w:pPr>
        <w:spacing w:line="36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V. Discussion des résultats</w:t>
      </w:r>
    </w:p>
    <w:p w14:paraId="46AE7ADA" w14:textId="260DBC79" w:rsidR="00301571" w:rsidRDefault="00D54CC3" w:rsidP="00612B0F">
      <w:pPr>
        <w:spacing w:line="360" w:lineRule="auto"/>
        <w:jc w:val="both"/>
        <w:rPr>
          <w:rFonts w:ascii="Times New Roman" w:eastAsia="Times New Roman" w:hAnsi="Times New Roman" w:cs="Times New Roman"/>
          <w:bCs/>
          <w:sz w:val="24"/>
          <w:szCs w:val="24"/>
          <w:lang w:val="fr-FR"/>
        </w:rPr>
      </w:pPr>
      <w:r w:rsidRPr="0094537B">
        <w:rPr>
          <w:rFonts w:ascii="Times New Roman" w:eastAsia="Times New Roman" w:hAnsi="Times New Roman" w:cs="Times New Roman"/>
          <w:bCs/>
          <w:sz w:val="24"/>
          <w:szCs w:val="24"/>
          <w:lang w:val="fr-FR"/>
        </w:rPr>
        <w:t xml:space="preserve">Dans cette partie, </w:t>
      </w:r>
      <w:r w:rsidR="0094537B" w:rsidRPr="0094537B">
        <w:rPr>
          <w:rFonts w:ascii="Times New Roman" w:eastAsia="Times New Roman" w:hAnsi="Times New Roman" w:cs="Times New Roman"/>
          <w:bCs/>
          <w:sz w:val="24"/>
          <w:szCs w:val="24"/>
          <w:lang w:val="fr-FR"/>
        </w:rPr>
        <w:t>nous discutons les résultats de nos estimations</w:t>
      </w:r>
      <w:r w:rsidR="0094537B">
        <w:rPr>
          <w:rFonts w:ascii="Times New Roman" w:eastAsia="Times New Roman" w:hAnsi="Times New Roman" w:cs="Times New Roman"/>
          <w:bCs/>
          <w:sz w:val="24"/>
          <w:szCs w:val="24"/>
          <w:lang w:val="fr-FR"/>
        </w:rPr>
        <w:t xml:space="preserve"> sur l’effet de la TVA et l’IUTS sur les</w:t>
      </w:r>
      <w:r w:rsidR="00326869">
        <w:rPr>
          <w:rFonts w:ascii="Times New Roman" w:eastAsia="Times New Roman" w:hAnsi="Times New Roman" w:cs="Times New Roman"/>
          <w:bCs/>
          <w:sz w:val="24"/>
          <w:szCs w:val="24"/>
          <w:lang w:val="fr-FR"/>
        </w:rPr>
        <w:t xml:space="preserve"> composantes des dépenses de consommation finale des ménages.</w:t>
      </w:r>
    </w:p>
    <w:p w14:paraId="5BB2688D" w14:textId="591144FA" w:rsidR="00BE1F2A" w:rsidRDefault="00326869">
      <w:pPr>
        <w:spacing w:line="36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 xml:space="preserve">A l’issu des résultats, à court terme, </w:t>
      </w:r>
      <w:r w:rsidR="00301571">
        <w:rPr>
          <w:rFonts w:ascii="Times New Roman" w:eastAsia="Times New Roman" w:hAnsi="Times New Roman" w:cs="Times New Roman"/>
          <w:bCs/>
          <w:sz w:val="24"/>
          <w:szCs w:val="24"/>
          <w:lang w:val="fr-FR"/>
        </w:rPr>
        <w:t>u</w:t>
      </w:r>
      <w:r>
        <w:rPr>
          <w:rFonts w:ascii="Times New Roman" w:eastAsia="Times New Roman" w:hAnsi="Times New Roman" w:cs="Times New Roman"/>
          <w:bCs/>
          <w:sz w:val="24"/>
          <w:szCs w:val="24"/>
          <w:lang w:val="fr-FR"/>
        </w:rPr>
        <w:t>ne augmentation de la TVA entraine une augmentation des dépenses liées au</w:t>
      </w:r>
      <w:r w:rsidR="00215E3C">
        <w:rPr>
          <w:rFonts w:ascii="Times New Roman" w:eastAsia="Times New Roman" w:hAnsi="Times New Roman" w:cs="Times New Roman"/>
          <w:bCs/>
          <w:sz w:val="24"/>
          <w:szCs w:val="24"/>
          <w:lang w:val="fr-FR"/>
        </w:rPr>
        <w:t>x</w:t>
      </w:r>
      <w:r>
        <w:rPr>
          <w:rFonts w:ascii="Times New Roman" w:eastAsia="Times New Roman" w:hAnsi="Times New Roman" w:cs="Times New Roman"/>
          <w:bCs/>
          <w:sz w:val="24"/>
          <w:szCs w:val="24"/>
          <w:lang w:val="fr-FR"/>
        </w:rPr>
        <w:t xml:space="preserve"> </w:t>
      </w:r>
      <w:r w:rsidR="00215E3C">
        <w:rPr>
          <w:rFonts w:ascii="Times New Roman" w:eastAsia="Times New Roman" w:hAnsi="Times New Roman" w:cs="Times New Roman"/>
          <w:bCs/>
          <w:sz w:val="24"/>
          <w:szCs w:val="24"/>
          <w:lang w:val="fr-FR"/>
        </w:rPr>
        <w:t>p</w:t>
      </w:r>
      <w:r>
        <w:rPr>
          <w:rFonts w:ascii="Times New Roman" w:eastAsia="Times New Roman" w:hAnsi="Times New Roman" w:cs="Times New Roman"/>
          <w:bCs/>
          <w:sz w:val="24"/>
          <w:szCs w:val="24"/>
          <w:lang w:val="fr-FR"/>
        </w:rPr>
        <w:t xml:space="preserve">roduits alimentaires, </w:t>
      </w:r>
      <w:r w:rsidR="009025F5">
        <w:rPr>
          <w:rFonts w:ascii="Times New Roman" w:eastAsia="Times New Roman" w:hAnsi="Times New Roman" w:cs="Times New Roman"/>
          <w:bCs/>
          <w:sz w:val="24"/>
          <w:szCs w:val="24"/>
          <w:lang w:val="fr-FR"/>
        </w:rPr>
        <w:t>boissons</w:t>
      </w:r>
      <w:r>
        <w:rPr>
          <w:rFonts w:ascii="Times New Roman" w:eastAsia="Times New Roman" w:hAnsi="Times New Roman" w:cs="Times New Roman"/>
          <w:bCs/>
          <w:sz w:val="24"/>
          <w:szCs w:val="24"/>
          <w:lang w:val="fr-FR"/>
        </w:rPr>
        <w:t xml:space="preserve"> non alcoolisées, les dépenses rapportées au tabacs, boissons alcoolisées et stupéfiants et les dépenses sur les transports, communications et informations.</w:t>
      </w:r>
      <w:r w:rsidR="005B457F">
        <w:rPr>
          <w:rFonts w:ascii="Times New Roman" w:eastAsia="Times New Roman" w:hAnsi="Times New Roman" w:cs="Times New Roman"/>
          <w:bCs/>
          <w:sz w:val="24"/>
          <w:szCs w:val="24"/>
          <w:lang w:val="fr-FR"/>
        </w:rPr>
        <w:t xml:space="preserve"> </w:t>
      </w:r>
      <w:r>
        <w:rPr>
          <w:rFonts w:ascii="Times New Roman" w:eastAsia="Times New Roman" w:hAnsi="Times New Roman" w:cs="Times New Roman"/>
          <w:bCs/>
          <w:sz w:val="24"/>
          <w:szCs w:val="24"/>
          <w:lang w:val="fr-FR"/>
        </w:rPr>
        <w:t xml:space="preserve">En revanche, on observe une </w:t>
      </w:r>
      <w:r w:rsidR="005B457F">
        <w:rPr>
          <w:rFonts w:ascii="Times New Roman" w:eastAsia="Times New Roman" w:hAnsi="Times New Roman" w:cs="Times New Roman"/>
          <w:bCs/>
          <w:sz w:val="24"/>
          <w:szCs w:val="24"/>
          <w:lang w:val="fr-FR"/>
        </w:rPr>
        <w:t>diminution des dépenses liées à l’éducation et la santé et les dépenses sur le logement, l’eau, l’électricité.</w:t>
      </w:r>
      <w:r w:rsidR="00301571">
        <w:rPr>
          <w:rFonts w:ascii="Times New Roman" w:eastAsia="Times New Roman" w:hAnsi="Times New Roman" w:cs="Times New Roman"/>
          <w:bCs/>
          <w:sz w:val="24"/>
          <w:szCs w:val="24"/>
          <w:lang w:val="fr-FR"/>
        </w:rPr>
        <w:t xml:space="preserve"> </w:t>
      </w:r>
      <w:r w:rsidR="0024274A">
        <w:rPr>
          <w:rFonts w:ascii="Times New Roman" w:eastAsia="Times New Roman" w:hAnsi="Times New Roman" w:cs="Times New Roman"/>
          <w:bCs/>
          <w:sz w:val="24"/>
          <w:szCs w:val="24"/>
          <w:lang w:val="fr-FR"/>
        </w:rPr>
        <w:t>A long terme, la TVA a toujours un effet positif sur le groupe 1 et négatif sur le groupe 4 mais pas d’effet sur le groupe 2,3,</w:t>
      </w:r>
      <w:r w:rsidR="008B6AE5">
        <w:rPr>
          <w:rFonts w:ascii="Times New Roman" w:eastAsia="Times New Roman" w:hAnsi="Times New Roman" w:cs="Times New Roman"/>
          <w:bCs/>
          <w:sz w:val="24"/>
          <w:szCs w:val="24"/>
          <w:lang w:val="fr-FR"/>
        </w:rPr>
        <w:t>5. Ces</w:t>
      </w:r>
      <w:r w:rsidR="00DE577C">
        <w:rPr>
          <w:rFonts w:ascii="Times New Roman" w:eastAsia="Times New Roman" w:hAnsi="Times New Roman" w:cs="Times New Roman"/>
          <w:bCs/>
          <w:sz w:val="24"/>
          <w:szCs w:val="24"/>
          <w:lang w:val="fr-FR"/>
        </w:rPr>
        <w:t xml:space="preserve"> résultats corroborent aux travaux de Tochukwu et al (2015).</w:t>
      </w:r>
      <w:r w:rsidR="000D3489">
        <w:rPr>
          <w:rFonts w:ascii="Times New Roman" w:eastAsia="Times New Roman" w:hAnsi="Times New Roman" w:cs="Times New Roman"/>
          <w:bCs/>
          <w:sz w:val="24"/>
          <w:szCs w:val="24"/>
          <w:lang w:val="fr-FR"/>
        </w:rPr>
        <w:t xml:space="preserve"> </w:t>
      </w:r>
      <w:r w:rsidR="00301571">
        <w:rPr>
          <w:rFonts w:ascii="Times New Roman" w:eastAsia="Times New Roman" w:hAnsi="Times New Roman" w:cs="Times New Roman"/>
          <w:bCs/>
          <w:sz w:val="24"/>
          <w:szCs w:val="24"/>
          <w:lang w:val="fr-FR"/>
        </w:rPr>
        <w:t xml:space="preserve">Ce résultat pourrait s’expliquer par le fait </w:t>
      </w:r>
      <w:r w:rsidR="00CB6576">
        <w:rPr>
          <w:rFonts w:ascii="Times New Roman" w:eastAsia="Times New Roman" w:hAnsi="Times New Roman" w:cs="Times New Roman"/>
          <w:bCs/>
          <w:sz w:val="24"/>
          <w:szCs w:val="24"/>
          <w:lang w:val="fr-FR"/>
        </w:rPr>
        <w:t xml:space="preserve">que </w:t>
      </w:r>
      <w:r w:rsidR="00A84AED">
        <w:rPr>
          <w:rFonts w:ascii="Times New Roman" w:eastAsia="Times New Roman" w:hAnsi="Times New Roman" w:cs="Times New Roman"/>
          <w:bCs/>
          <w:sz w:val="24"/>
          <w:szCs w:val="24"/>
          <w:lang w:val="fr-FR"/>
        </w:rPr>
        <w:t>le Burkina Faso dépend en partie des importations pour ses produits alimentaires et d’autres produits de base. Si la TVA touche les produits importés cela augmente directement leur prix. Etant donné la forte dépendance à l’égard de ces importations pour l’alimentation quotidienne, l’</w:t>
      </w:r>
      <w:r w:rsidR="0035265F">
        <w:rPr>
          <w:rFonts w:ascii="Times New Roman" w:eastAsia="Times New Roman" w:hAnsi="Times New Roman" w:cs="Times New Roman"/>
          <w:bCs/>
          <w:sz w:val="24"/>
          <w:szCs w:val="24"/>
          <w:lang w:val="fr-FR"/>
        </w:rPr>
        <w:t>augmentation de la TVA a un effet immédiat sur les prix à la consommation. Et même si les prix augmentent en raison de l’augmentation de l’augmentation de la TVA, les consommateurs continueront à acheter ces produits pour se nourrir et nourrir leur famille, ce qui maintiendra les dépenses élevées dans ce domaine. De plus, les consommateurs ne peuvent pas facilement substituer ces produits par d’autres options moins taxées, ce qui les rend plus enclins à continuer à acheter ces produits.</w:t>
      </w:r>
      <w:r w:rsidR="00935352">
        <w:rPr>
          <w:rFonts w:ascii="Times New Roman" w:eastAsia="Times New Roman" w:hAnsi="Times New Roman" w:cs="Times New Roman"/>
          <w:bCs/>
          <w:sz w:val="24"/>
          <w:szCs w:val="24"/>
          <w:lang w:val="fr-FR"/>
        </w:rPr>
        <w:t xml:space="preserve"> En effet, selon l’INSD (2021), l’enquête harmonisé</w:t>
      </w:r>
      <w:r w:rsidR="00935352" w:rsidRPr="00935352">
        <w:rPr>
          <w:rFonts w:ascii="Times New Roman" w:eastAsia="Times New Roman" w:hAnsi="Times New Roman" w:cs="Times New Roman"/>
          <w:bCs/>
          <w:sz w:val="24"/>
          <w:szCs w:val="24"/>
        </w:rPr>
        <w:t xml:space="preserve"> sur les Conditions de Vie des Ménages de 2021</w:t>
      </w:r>
      <w:r w:rsidR="00935352">
        <w:rPr>
          <w:rFonts w:ascii="Times New Roman" w:eastAsia="Times New Roman" w:hAnsi="Times New Roman" w:cs="Times New Roman"/>
          <w:bCs/>
          <w:sz w:val="24"/>
          <w:szCs w:val="24"/>
        </w:rPr>
        <w:t xml:space="preserve"> révèle qu’au Burkina Faso, les biens alimentaires</w:t>
      </w:r>
      <w:r w:rsidR="0085130D">
        <w:rPr>
          <w:rFonts w:ascii="Times New Roman" w:eastAsia="Times New Roman" w:hAnsi="Times New Roman" w:cs="Times New Roman"/>
          <w:bCs/>
          <w:sz w:val="24"/>
          <w:szCs w:val="24"/>
        </w:rPr>
        <w:t xml:space="preserve"> et les boissons non alcoolisées</w:t>
      </w:r>
      <w:r w:rsidR="00935352">
        <w:rPr>
          <w:rFonts w:ascii="Times New Roman" w:eastAsia="Times New Roman" w:hAnsi="Times New Roman" w:cs="Times New Roman"/>
          <w:bCs/>
          <w:sz w:val="24"/>
          <w:szCs w:val="24"/>
        </w:rPr>
        <w:t xml:space="preserve"> ont constitué les besoins prioritaires des ménages au niveau de leur panier de consommation. Les ménages ont investi </w:t>
      </w:r>
      <w:r w:rsidR="0085130D">
        <w:rPr>
          <w:rFonts w:ascii="Times New Roman" w:eastAsia="Times New Roman" w:hAnsi="Times New Roman" w:cs="Times New Roman"/>
          <w:bCs/>
          <w:sz w:val="24"/>
          <w:szCs w:val="24"/>
        </w:rPr>
        <w:t xml:space="preserve">près de </w:t>
      </w:r>
      <w:r w:rsidR="00935352">
        <w:rPr>
          <w:rFonts w:ascii="Times New Roman" w:eastAsia="Times New Roman" w:hAnsi="Times New Roman" w:cs="Times New Roman"/>
          <w:bCs/>
          <w:sz w:val="24"/>
          <w:szCs w:val="24"/>
        </w:rPr>
        <w:t>43,5% de leur</w:t>
      </w:r>
      <w:r w:rsidR="003173D8">
        <w:rPr>
          <w:rFonts w:ascii="Times New Roman" w:eastAsia="Times New Roman" w:hAnsi="Times New Roman" w:cs="Times New Roman"/>
          <w:bCs/>
          <w:sz w:val="24"/>
          <w:szCs w:val="24"/>
        </w:rPr>
        <w:t>s</w:t>
      </w:r>
      <w:r w:rsidR="00935352">
        <w:rPr>
          <w:rFonts w:ascii="Times New Roman" w:eastAsia="Times New Roman" w:hAnsi="Times New Roman" w:cs="Times New Roman"/>
          <w:bCs/>
          <w:sz w:val="24"/>
          <w:szCs w:val="24"/>
        </w:rPr>
        <w:t xml:space="preserve"> dépenses annuelles. </w:t>
      </w:r>
      <w:r w:rsidR="00542B18">
        <w:rPr>
          <w:rFonts w:ascii="Times New Roman" w:eastAsia="Times New Roman" w:hAnsi="Times New Roman" w:cs="Times New Roman"/>
          <w:bCs/>
          <w:sz w:val="24"/>
          <w:szCs w:val="24"/>
        </w:rPr>
        <w:t>Par la suite, les dépenses rapportées aux logements, l’eau, l’électricité, gaz représentent 18,2% de leur</w:t>
      </w:r>
      <w:r w:rsidR="003173D8">
        <w:rPr>
          <w:rFonts w:ascii="Times New Roman" w:eastAsia="Times New Roman" w:hAnsi="Times New Roman" w:cs="Times New Roman"/>
          <w:bCs/>
          <w:sz w:val="24"/>
          <w:szCs w:val="24"/>
        </w:rPr>
        <w:t>s</w:t>
      </w:r>
      <w:r w:rsidR="00542B18">
        <w:rPr>
          <w:rFonts w:ascii="Times New Roman" w:eastAsia="Times New Roman" w:hAnsi="Times New Roman" w:cs="Times New Roman"/>
          <w:bCs/>
          <w:sz w:val="24"/>
          <w:szCs w:val="24"/>
        </w:rPr>
        <w:t xml:space="preserve"> dépenses. En</w:t>
      </w:r>
      <w:r w:rsidR="00935352">
        <w:rPr>
          <w:rFonts w:ascii="Times New Roman" w:eastAsia="Times New Roman" w:hAnsi="Times New Roman" w:cs="Times New Roman"/>
          <w:bCs/>
          <w:sz w:val="24"/>
          <w:szCs w:val="24"/>
        </w:rPr>
        <w:t xml:space="preserve"> revanche, ils dépense</w:t>
      </w:r>
      <w:r w:rsidR="003173D8">
        <w:rPr>
          <w:rFonts w:ascii="Times New Roman" w:eastAsia="Times New Roman" w:hAnsi="Times New Roman" w:cs="Times New Roman"/>
          <w:bCs/>
          <w:sz w:val="24"/>
          <w:szCs w:val="24"/>
        </w:rPr>
        <w:t>nt</w:t>
      </w:r>
      <w:r w:rsidR="00935352">
        <w:rPr>
          <w:rFonts w:ascii="Times New Roman" w:eastAsia="Times New Roman" w:hAnsi="Times New Roman" w:cs="Times New Roman"/>
          <w:bCs/>
          <w:sz w:val="24"/>
          <w:szCs w:val="24"/>
        </w:rPr>
        <w:t xml:space="preserve"> faiblement pour leur dépenses de santé (4,6%) et leur éducation (1,5%).</w:t>
      </w:r>
    </w:p>
    <w:p w14:paraId="105402CD" w14:textId="2B28280D" w:rsidR="00A80ACE" w:rsidRDefault="00A80ACE">
      <w:pPr>
        <w:spacing w:line="36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lastRenderedPageBreak/>
        <w:t>L’effet négatif de la TVA</w:t>
      </w:r>
      <w:r w:rsidR="0086001B">
        <w:rPr>
          <w:rFonts w:ascii="Times New Roman" w:eastAsia="Times New Roman" w:hAnsi="Times New Roman" w:cs="Times New Roman"/>
          <w:bCs/>
          <w:sz w:val="24"/>
          <w:szCs w:val="24"/>
          <w:lang w:val="fr-FR"/>
        </w:rPr>
        <w:t xml:space="preserve"> sur les groupes 4 et 5 s’expliquent par le fait qu’au Burkina Faso, contrairement aux produits alimentaires et aux boissons non alcoolisées, les services publics comme l’eau, le gaz et l’électricité sont sensibles aux fluctuations de prix. De ce fait, les consommateurs réduisent leur consommation et cherchent des alternatives plus abordables pour compenser l’augmentation du prix résultant de la hausse de la TVA afin de mieux gérer la consommation d’eau et installer des panneaux solaires. De plus,</w:t>
      </w:r>
      <w:r w:rsidR="00286514">
        <w:rPr>
          <w:rFonts w:ascii="Times New Roman" w:eastAsia="Times New Roman" w:hAnsi="Times New Roman" w:cs="Times New Roman"/>
          <w:bCs/>
          <w:sz w:val="24"/>
          <w:szCs w:val="24"/>
          <w:lang w:val="fr-FR"/>
        </w:rPr>
        <w:t xml:space="preserve"> bien que l’éducation et la santé soient des besoins essentiels, l’augmentation des prix à travers la TVA conduit certains ménages à réduire l’utilisation de ces services ou reporter certains soins </w:t>
      </w:r>
      <w:r w:rsidR="0024274A">
        <w:rPr>
          <w:rFonts w:ascii="Times New Roman" w:eastAsia="Times New Roman" w:hAnsi="Times New Roman" w:cs="Times New Roman"/>
          <w:bCs/>
          <w:sz w:val="24"/>
          <w:szCs w:val="24"/>
          <w:lang w:val="fr-FR"/>
        </w:rPr>
        <w:t>ou des dépense éducatives.</w:t>
      </w:r>
    </w:p>
    <w:p w14:paraId="5196F85E" w14:textId="02CAD5DE" w:rsidR="00774E1D" w:rsidRDefault="00774E1D">
      <w:pPr>
        <w:spacing w:line="36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 xml:space="preserve">L’absence </w:t>
      </w:r>
      <w:r w:rsidR="008A39A9">
        <w:rPr>
          <w:rFonts w:ascii="Times New Roman" w:eastAsia="Times New Roman" w:hAnsi="Times New Roman" w:cs="Times New Roman"/>
          <w:bCs/>
          <w:sz w:val="24"/>
          <w:szCs w:val="24"/>
          <w:lang w:val="fr-FR"/>
        </w:rPr>
        <w:t xml:space="preserve">d’effet de la TVA sur les dépenses liées au groupes 2,3 et 5 à long terme s’explique par le fait qu’au Burkina Faso, les prix de services de transport et de communication se stabilisent après un certain temps. Une fois que l’effet de la TVA sur les intrants et les services de base a été intégré et que les ajustements ont été effectués, les hausses des prix pourraient se </w:t>
      </w:r>
      <w:r w:rsidR="00836104">
        <w:rPr>
          <w:rFonts w:ascii="Times New Roman" w:eastAsia="Times New Roman" w:hAnsi="Times New Roman" w:cs="Times New Roman"/>
          <w:bCs/>
          <w:sz w:val="24"/>
          <w:szCs w:val="24"/>
          <w:lang w:val="fr-FR"/>
        </w:rPr>
        <w:t>stabiliser. En</w:t>
      </w:r>
      <w:r w:rsidR="008A39A9">
        <w:rPr>
          <w:rFonts w:ascii="Times New Roman" w:eastAsia="Times New Roman" w:hAnsi="Times New Roman" w:cs="Times New Roman"/>
          <w:bCs/>
          <w:sz w:val="24"/>
          <w:szCs w:val="24"/>
          <w:lang w:val="fr-FR"/>
        </w:rPr>
        <w:t xml:space="preserve"> effet, les entreprises ajustent souvent leurs tarifs en fonction de la demande et de la capacité de paiement des consommateurs. Si les hausses de prix sont trop</w:t>
      </w:r>
      <w:r w:rsidR="00836104">
        <w:rPr>
          <w:rFonts w:ascii="Times New Roman" w:eastAsia="Times New Roman" w:hAnsi="Times New Roman" w:cs="Times New Roman"/>
          <w:bCs/>
          <w:sz w:val="24"/>
          <w:szCs w:val="24"/>
          <w:lang w:val="fr-FR"/>
        </w:rPr>
        <w:t xml:space="preserve"> importantes, elles risquent de réduire la demande pour leurs services. Cela pourrait inciter les entreprises à proposer des alternatives moins coûteuses.</w:t>
      </w:r>
    </w:p>
    <w:p w14:paraId="4331E1EF" w14:textId="53215646" w:rsidR="000D3489" w:rsidRDefault="000D3489">
      <w:pPr>
        <w:spacing w:line="36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Concernant de l’IUTS, à court terme, l’effet négatif sur les dépenses liées à la santé et l’éducation</w:t>
      </w:r>
      <w:r w:rsidR="00AD18FE">
        <w:rPr>
          <w:rFonts w:ascii="Times New Roman" w:eastAsia="Times New Roman" w:hAnsi="Times New Roman" w:cs="Times New Roman"/>
          <w:bCs/>
          <w:sz w:val="24"/>
          <w:szCs w:val="24"/>
          <w:lang w:val="fr-FR"/>
        </w:rPr>
        <w:t xml:space="preserve"> </w:t>
      </w:r>
      <w:r>
        <w:rPr>
          <w:rFonts w:ascii="Times New Roman" w:eastAsia="Times New Roman" w:hAnsi="Times New Roman" w:cs="Times New Roman"/>
          <w:bCs/>
          <w:sz w:val="24"/>
          <w:szCs w:val="24"/>
          <w:lang w:val="fr-FR"/>
        </w:rPr>
        <w:t>positif sur les dépenses liées</w:t>
      </w:r>
      <w:r w:rsidR="00CB3902">
        <w:rPr>
          <w:rFonts w:ascii="Times New Roman" w:eastAsia="Times New Roman" w:hAnsi="Times New Roman" w:cs="Times New Roman"/>
          <w:bCs/>
          <w:sz w:val="24"/>
          <w:szCs w:val="24"/>
          <w:lang w:val="fr-FR"/>
        </w:rPr>
        <w:t xml:space="preserve"> aux</w:t>
      </w:r>
      <w:r w:rsidR="00B91DB9">
        <w:rPr>
          <w:rFonts w:ascii="Times New Roman" w:eastAsia="Times New Roman" w:hAnsi="Times New Roman" w:cs="Times New Roman"/>
          <w:bCs/>
          <w:sz w:val="24"/>
          <w:szCs w:val="24"/>
          <w:lang w:val="fr-FR"/>
        </w:rPr>
        <w:t xml:space="preserve"> </w:t>
      </w:r>
      <w:r w:rsidR="00CB3902">
        <w:rPr>
          <w:rFonts w:ascii="Times New Roman" w:eastAsia="Times New Roman" w:hAnsi="Times New Roman" w:cs="Times New Roman"/>
          <w:bCs/>
          <w:sz w:val="24"/>
          <w:szCs w:val="24"/>
          <w:lang w:val="fr-FR"/>
        </w:rPr>
        <w:t>transport</w:t>
      </w:r>
      <w:r w:rsidR="00B91DB9">
        <w:rPr>
          <w:rFonts w:ascii="Times New Roman" w:eastAsia="Times New Roman" w:hAnsi="Times New Roman" w:cs="Times New Roman"/>
          <w:bCs/>
          <w:sz w:val="24"/>
          <w:szCs w:val="24"/>
          <w:lang w:val="fr-FR"/>
        </w:rPr>
        <w:t>s</w:t>
      </w:r>
      <w:r w:rsidR="00CB31AA">
        <w:rPr>
          <w:rFonts w:ascii="Times New Roman" w:eastAsia="Times New Roman" w:hAnsi="Times New Roman" w:cs="Times New Roman"/>
          <w:bCs/>
          <w:sz w:val="24"/>
          <w:szCs w:val="24"/>
          <w:lang w:val="fr-FR"/>
        </w:rPr>
        <w:t>, la communication</w:t>
      </w:r>
      <w:r>
        <w:rPr>
          <w:rFonts w:ascii="Times New Roman" w:eastAsia="Times New Roman" w:hAnsi="Times New Roman" w:cs="Times New Roman"/>
          <w:bCs/>
          <w:sz w:val="24"/>
          <w:szCs w:val="24"/>
          <w:lang w:val="fr-FR"/>
        </w:rPr>
        <w:t xml:space="preserve"> </w:t>
      </w:r>
      <w:r w:rsidR="00AD18FE">
        <w:rPr>
          <w:rFonts w:ascii="Times New Roman" w:eastAsia="Times New Roman" w:hAnsi="Times New Roman" w:cs="Times New Roman"/>
          <w:bCs/>
          <w:sz w:val="24"/>
          <w:szCs w:val="24"/>
          <w:lang w:val="fr-FR"/>
        </w:rPr>
        <w:t>et l’effet positif</w:t>
      </w:r>
      <w:r w:rsidR="00CB3902">
        <w:rPr>
          <w:rFonts w:ascii="Times New Roman" w:eastAsia="Times New Roman" w:hAnsi="Times New Roman" w:cs="Times New Roman"/>
          <w:bCs/>
          <w:sz w:val="24"/>
          <w:szCs w:val="24"/>
          <w:lang w:val="fr-FR"/>
        </w:rPr>
        <w:t xml:space="preserve"> sur les dépenses portées sur le logements, l’eau et l’électricité</w:t>
      </w:r>
      <w:r w:rsidR="00C023A3">
        <w:rPr>
          <w:rFonts w:ascii="Times New Roman" w:eastAsia="Times New Roman" w:hAnsi="Times New Roman" w:cs="Times New Roman"/>
          <w:bCs/>
          <w:sz w:val="24"/>
          <w:szCs w:val="24"/>
          <w:lang w:val="fr-FR"/>
        </w:rPr>
        <w:t xml:space="preserve">. Mais il n’a pas d’effet sur les produits alimentaires. Ce résultat </w:t>
      </w:r>
      <w:r w:rsidR="006D10EF">
        <w:rPr>
          <w:rFonts w:ascii="Times New Roman" w:eastAsia="Times New Roman" w:hAnsi="Times New Roman" w:cs="Times New Roman"/>
          <w:bCs/>
          <w:sz w:val="24"/>
          <w:szCs w:val="24"/>
          <w:lang w:val="fr-FR"/>
        </w:rPr>
        <w:t>pourra s’explique</w:t>
      </w:r>
      <w:r w:rsidR="00C023A3">
        <w:rPr>
          <w:rFonts w:ascii="Times New Roman" w:eastAsia="Times New Roman" w:hAnsi="Times New Roman" w:cs="Times New Roman"/>
          <w:bCs/>
          <w:sz w:val="24"/>
          <w:szCs w:val="24"/>
          <w:lang w:val="fr-FR"/>
        </w:rPr>
        <w:t xml:space="preserve"> par le fait qu’au Burkina Faso, </w:t>
      </w:r>
      <w:r w:rsidR="003B24C2">
        <w:rPr>
          <w:rFonts w:ascii="Times New Roman" w:eastAsia="Times New Roman" w:hAnsi="Times New Roman" w:cs="Times New Roman"/>
          <w:bCs/>
          <w:sz w:val="24"/>
          <w:szCs w:val="24"/>
          <w:lang w:val="fr-FR"/>
        </w:rPr>
        <w:t>les</w:t>
      </w:r>
      <w:r w:rsidR="00292A7D">
        <w:rPr>
          <w:rFonts w:ascii="Times New Roman" w:eastAsia="Times New Roman" w:hAnsi="Times New Roman" w:cs="Times New Roman"/>
          <w:bCs/>
          <w:sz w:val="24"/>
          <w:szCs w:val="24"/>
          <w:lang w:val="fr-FR"/>
        </w:rPr>
        <w:t xml:space="preserve"> dépenses liées aux produits alimentaires et les logements, eau et électricité sont des besoins de base</w:t>
      </w:r>
      <w:r w:rsidR="008C62B0">
        <w:rPr>
          <w:rFonts w:ascii="Times New Roman" w:eastAsia="Times New Roman" w:hAnsi="Times New Roman" w:cs="Times New Roman"/>
          <w:bCs/>
          <w:sz w:val="24"/>
          <w:szCs w:val="24"/>
          <w:lang w:val="fr-FR"/>
        </w:rPr>
        <w:t>.</w:t>
      </w:r>
      <w:r w:rsidR="00292A7D">
        <w:rPr>
          <w:rFonts w:ascii="Times New Roman" w:eastAsia="Times New Roman" w:hAnsi="Times New Roman" w:cs="Times New Roman"/>
          <w:bCs/>
          <w:sz w:val="24"/>
          <w:szCs w:val="24"/>
          <w:lang w:val="fr-FR"/>
        </w:rPr>
        <w:t xml:space="preserve"> </w:t>
      </w:r>
      <w:r w:rsidR="008C62B0">
        <w:rPr>
          <w:rFonts w:ascii="Times New Roman" w:eastAsia="Times New Roman" w:hAnsi="Times New Roman" w:cs="Times New Roman"/>
          <w:bCs/>
          <w:sz w:val="24"/>
          <w:szCs w:val="24"/>
          <w:lang w:val="fr-FR"/>
        </w:rPr>
        <w:t xml:space="preserve">Les ménages s’attendent à une baisse du pouvoir d’achat en raison de l’augmentation de l’IUTS, cela les amène à réallouer leurs budgets </w:t>
      </w:r>
      <w:r w:rsidR="00E24D0A">
        <w:rPr>
          <w:rFonts w:ascii="Times New Roman" w:eastAsia="Times New Roman" w:hAnsi="Times New Roman" w:cs="Times New Roman"/>
          <w:bCs/>
          <w:sz w:val="24"/>
          <w:szCs w:val="24"/>
          <w:lang w:val="fr-FR"/>
        </w:rPr>
        <w:t xml:space="preserve">ou réduire leur épargne </w:t>
      </w:r>
      <w:r w:rsidR="008C62B0">
        <w:rPr>
          <w:rFonts w:ascii="Times New Roman" w:eastAsia="Times New Roman" w:hAnsi="Times New Roman" w:cs="Times New Roman"/>
          <w:bCs/>
          <w:sz w:val="24"/>
          <w:szCs w:val="24"/>
          <w:lang w:val="fr-FR"/>
        </w:rPr>
        <w:t xml:space="preserve">pour maintenir leurs niveaux de consommation sur </w:t>
      </w:r>
      <w:r w:rsidR="007E1F39">
        <w:rPr>
          <w:rFonts w:ascii="Times New Roman" w:eastAsia="Times New Roman" w:hAnsi="Times New Roman" w:cs="Times New Roman"/>
          <w:bCs/>
          <w:sz w:val="24"/>
          <w:szCs w:val="24"/>
          <w:lang w:val="fr-FR"/>
        </w:rPr>
        <w:t>certains domaines essentiels</w:t>
      </w:r>
      <w:r w:rsidR="00E24D0A">
        <w:rPr>
          <w:rFonts w:ascii="Times New Roman" w:eastAsia="Times New Roman" w:hAnsi="Times New Roman" w:cs="Times New Roman"/>
          <w:bCs/>
          <w:sz w:val="24"/>
          <w:szCs w:val="24"/>
          <w:lang w:val="fr-FR"/>
        </w:rPr>
        <w:t xml:space="preserve"> pour l’alimentation. Par contre les dépenses lié</w:t>
      </w:r>
      <w:r w:rsidR="001B6D4F">
        <w:rPr>
          <w:rFonts w:ascii="Times New Roman" w:eastAsia="Times New Roman" w:hAnsi="Times New Roman" w:cs="Times New Roman"/>
          <w:bCs/>
          <w:sz w:val="24"/>
          <w:szCs w:val="24"/>
          <w:lang w:val="fr-FR"/>
        </w:rPr>
        <w:t xml:space="preserve">es aux logement, eau et électricité </w:t>
      </w:r>
      <w:r w:rsidR="00ED5233">
        <w:rPr>
          <w:rFonts w:ascii="Times New Roman" w:eastAsia="Times New Roman" w:hAnsi="Times New Roman" w:cs="Times New Roman"/>
          <w:bCs/>
          <w:sz w:val="24"/>
          <w:szCs w:val="24"/>
          <w:lang w:val="fr-FR"/>
        </w:rPr>
        <w:t>sont considérées des dépenses incompressibles. Le logement est une charge fixe. Ce qui signifie que</w:t>
      </w:r>
      <w:r w:rsidR="00DA5EFB">
        <w:rPr>
          <w:rFonts w:ascii="Times New Roman" w:eastAsia="Times New Roman" w:hAnsi="Times New Roman" w:cs="Times New Roman"/>
          <w:bCs/>
          <w:sz w:val="24"/>
          <w:szCs w:val="24"/>
          <w:lang w:val="fr-FR"/>
        </w:rPr>
        <w:t xml:space="preserve"> la diminution du revenu ne conduit pas immédiatement</w:t>
      </w:r>
      <w:r w:rsidR="00ED5233">
        <w:rPr>
          <w:rFonts w:ascii="Times New Roman" w:eastAsia="Times New Roman" w:hAnsi="Times New Roman" w:cs="Times New Roman"/>
          <w:bCs/>
          <w:sz w:val="24"/>
          <w:szCs w:val="24"/>
          <w:lang w:val="fr-FR"/>
        </w:rPr>
        <w:t xml:space="preserve"> </w:t>
      </w:r>
      <w:r w:rsidR="00DA5EFB">
        <w:rPr>
          <w:rFonts w:ascii="Times New Roman" w:eastAsia="Times New Roman" w:hAnsi="Times New Roman" w:cs="Times New Roman"/>
          <w:bCs/>
          <w:sz w:val="24"/>
          <w:szCs w:val="24"/>
          <w:lang w:val="fr-FR"/>
        </w:rPr>
        <w:t xml:space="preserve">une réduction des dépenses lié à ces secteurs. </w:t>
      </w:r>
      <w:r w:rsidR="00ED5233">
        <w:rPr>
          <w:rFonts w:ascii="Times New Roman" w:eastAsia="Times New Roman" w:hAnsi="Times New Roman" w:cs="Times New Roman"/>
          <w:bCs/>
          <w:sz w:val="24"/>
          <w:szCs w:val="24"/>
          <w:lang w:val="fr-FR"/>
        </w:rPr>
        <w:t xml:space="preserve">L’eau et l’électricité </w:t>
      </w:r>
      <w:r w:rsidR="00DA5EFB">
        <w:rPr>
          <w:rFonts w:ascii="Times New Roman" w:eastAsia="Times New Roman" w:hAnsi="Times New Roman" w:cs="Times New Roman"/>
          <w:bCs/>
          <w:sz w:val="24"/>
          <w:szCs w:val="24"/>
          <w:lang w:val="fr-FR"/>
        </w:rPr>
        <w:t xml:space="preserve">étant des besoins essentiels, ne </w:t>
      </w:r>
      <w:r w:rsidR="00C146B3">
        <w:rPr>
          <w:rFonts w:ascii="Times New Roman" w:eastAsia="Times New Roman" w:hAnsi="Times New Roman" w:cs="Times New Roman"/>
          <w:bCs/>
          <w:sz w:val="24"/>
          <w:szCs w:val="24"/>
          <w:lang w:val="fr-FR"/>
        </w:rPr>
        <w:t>peuvent pas être facilement réduit à court terme. De ce fait, même avec une réduction du revenu net due à l’IUTS, les ménages doivent prioriser ces dépenses.</w:t>
      </w:r>
      <w:r w:rsidR="0024750E">
        <w:rPr>
          <w:rFonts w:ascii="Times New Roman" w:eastAsia="Times New Roman" w:hAnsi="Times New Roman" w:cs="Times New Roman"/>
          <w:bCs/>
          <w:sz w:val="24"/>
          <w:szCs w:val="24"/>
          <w:lang w:val="fr-FR"/>
        </w:rPr>
        <w:t xml:space="preserve"> A long terme, l’absence d’effet sur </w:t>
      </w:r>
      <w:r w:rsidR="004B2395">
        <w:rPr>
          <w:rFonts w:ascii="Times New Roman" w:eastAsia="Times New Roman" w:hAnsi="Times New Roman" w:cs="Times New Roman"/>
          <w:bCs/>
          <w:sz w:val="24"/>
          <w:szCs w:val="24"/>
          <w:lang w:val="fr-FR"/>
        </w:rPr>
        <w:t>les dépenses</w:t>
      </w:r>
      <w:r w:rsidR="0024750E">
        <w:rPr>
          <w:rFonts w:ascii="Times New Roman" w:eastAsia="Times New Roman" w:hAnsi="Times New Roman" w:cs="Times New Roman"/>
          <w:bCs/>
          <w:sz w:val="24"/>
          <w:szCs w:val="24"/>
          <w:lang w:val="fr-FR"/>
        </w:rPr>
        <w:t xml:space="preserve"> </w:t>
      </w:r>
      <w:r w:rsidR="004B2395">
        <w:rPr>
          <w:rFonts w:ascii="Times New Roman" w:eastAsia="Times New Roman" w:hAnsi="Times New Roman" w:cs="Times New Roman"/>
          <w:bCs/>
          <w:sz w:val="24"/>
          <w:szCs w:val="24"/>
          <w:lang w:val="fr-FR"/>
        </w:rPr>
        <w:t>rapportées</w:t>
      </w:r>
      <w:r w:rsidR="0024750E">
        <w:rPr>
          <w:rFonts w:ascii="Times New Roman" w:eastAsia="Times New Roman" w:hAnsi="Times New Roman" w:cs="Times New Roman"/>
          <w:bCs/>
          <w:sz w:val="24"/>
          <w:szCs w:val="24"/>
          <w:lang w:val="fr-FR"/>
        </w:rPr>
        <w:t xml:space="preserve"> </w:t>
      </w:r>
      <w:r w:rsidR="004B2395">
        <w:rPr>
          <w:rFonts w:ascii="Times New Roman" w:eastAsia="Times New Roman" w:hAnsi="Times New Roman" w:cs="Times New Roman"/>
          <w:bCs/>
          <w:sz w:val="24"/>
          <w:szCs w:val="24"/>
          <w:lang w:val="fr-FR"/>
        </w:rPr>
        <w:t>l’alimentation se</w:t>
      </w:r>
      <w:r w:rsidR="0024750E">
        <w:rPr>
          <w:rFonts w:ascii="Times New Roman" w:eastAsia="Times New Roman" w:hAnsi="Times New Roman" w:cs="Times New Roman"/>
          <w:bCs/>
          <w:sz w:val="24"/>
          <w:szCs w:val="24"/>
          <w:lang w:val="fr-FR"/>
        </w:rPr>
        <w:t xml:space="preserve"> justifie que les ménages font un lissage de consommation.</w:t>
      </w:r>
    </w:p>
    <w:p w14:paraId="6D955471" w14:textId="5DA67FAE" w:rsidR="00336D17" w:rsidRDefault="00336D17">
      <w:pPr>
        <w:spacing w:line="360" w:lineRule="auto"/>
        <w:jc w:val="both"/>
        <w:rPr>
          <w:rFonts w:ascii="Times New Roman" w:eastAsia="Times New Roman" w:hAnsi="Times New Roman" w:cs="Times New Roman"/>
          <w:b/>
          <w:sz w:val="24"/>
          <w:szCs w:val="24"/>
          <w:lang w:val="fr-FR"/>
        </w:rPr>
      </w:pPr>
      <w:r w:rsidRPr="00336D17">
        <w:rPr>
          <w:rFonts w:ascii="Times New Roman" w:eastAsia="Times New Roman" w:hAnsi="Times New Roman" w:cs="Times New Roman"/>
          <w:b/>
          <w:sz w:val="24"/>
          <w:szCs w:val="24"/>
          <w:lang w:val="fr-FR"/>
        </w:rPr>
        <w:lastRenderedPageBreak/>
        <w:t>VI. Test de robustesse</w:t>
      </w:r>
    </w:p>
    <w:p w14:paraId="777E0A9F" w14:textId="5969B10D" w:rsidR="00336D17" w:rsidRPr="00336D17" w:rsidRDefault="00336D17">
      <w:pPr>
        <w:spacing w:line="36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Cette partie</w:t>
      </w:r>
      <w:r w:rsidR="00A40269">
        <w:rPr>
          <w:rFonts w:ascii="Times New Roman" w:eastAsia="Times New Roman" w:hAnsi="Times New Roman" w:cs="Times New Roman"/>
          <w:bCs/>
          <w:sz w:val="24"/>
          <w:szCs w:val="24"/>
          <w:lang w:val="fr-FR"/>
        </w:rPr>
        <w:t xml:space="preserve"> consiste à faire des tests supplémentaires pour valider les résultats trouvés.</w:t>
      </w:r>
    </w:p>
    <w:p w14:paraId="718E6F04" w14:textId="77777777" w:rsidR="005E4276" w:rsidRPr="00A40269" w:rsidRDefault="006D388F">
      <w:pPr>
        <w:numPr>
          <w:ilvl w:val="0"/>
          <w:numId w:val="5"/>
        </w:numPr>
        <w:pBdr>
          <w:top w:val="nil"/>
          <w:left w:val="nil"/>
          <w:bottom w:val="nil"/>
          <w:right w:val="nil"/>
          <w:between w:val="nil"/>
        </w:pBdr>
        <w:spacing w:line="360" w:lineRule="auto"/>
        <w:ind w:left="360"/>
        <w:jc w:val="both"/>
        <w:rPr>
          <w:rFonts w:ascii="Times New Roman" w:eastAsia="Times New Roman" w:hAnsi="Times New Roman" w:cs="Times New Roman"/>
          <w:b/>
          <w:bCs/>
          <w:color w:val="000000"/>
          <w:sz w:val="24"/>
          <w:szCs w:val="24"/>
          <w:lang w:val="fr-FR"/>
        </w:rPr>
      </w:pPr>
      <w:r w:rsidRPr="00A40269">
        <w:rPr>
          <w:rFonts w:ascii="Times New Roman" w:eastAsia="Times New Roman" w:hAnsi="Times New Roman" w:cs="Times New Roman"/>
          <w:b/>
          <w:bCs/>
          <w:color w:val="000000"/>
          <w:sz w:val="24"/>
          <w:szCs w:val="24"/>
          <w:lang w:val="fr-FR"/>
        </w:rPr>
        <w:t>Tests de robustesse du modèle ARDL</w:t>
      </w:r>
    </w:p>
    <w:p w14:paraId="1BEB6A4F" w14:textId="771616A3" w:rsidR="003777D4" w:rsidRPr="00256989" w:rsidRDefault="006D388F" w:rsidP="00207F40">
      <w:pPr>
        <w:spacing w:before="120" w:after="120"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Dans le but de valider nos modèles estimés et les résultats de la relation à court et à long terme, il est indispensable de vérifier un ensemble d’hypothèses, notamment la corrélation des erreurs, </w:t>
      </w:r>
      <w:r w:rsidR="005B2790">
        <w:rPr>
          <w:rFonts w:ascii="Times New Roman" w:eastAsia="Times New Roman" w:hAnsi="Times New Roman" w:cs="Times New Roman"/>
          <w:sz w:val="24"/>
          <w:szCs w:val="24"/>
          <w:lang w:val="fr-FR"/>
        </w:rPr>
        <w:t>l’</w:t>
      </w:r>
      <w:r w:rsidRPr="00256989">
        <w:rPr>
          <w:rFonts w:ascii="Times New Roman" w:eastAsia="Times New Roman" w:hAnsi="Times New Roman" w:cs="Times New Roman"/>
          <w:sz w:val="24"/>
          <w:szCs w:val="24"/>
          <w:lang w:val="fr-FR"/>
        </w:rPr>
        <w:t xml:space="preserve">hétéroscédasticité, la normalité, la spécification et la stabilité des coefficients. </w:t>
      </w:r>
      <w:r w:rsidR="00240018" w:rsidRPr="00256989">
        <w:rPr>
          <w:rFonts w:ascii="Times New Roman" w:eastAsia="Times New Roman" w:hAnsi="Times New Roman" w:cs="Times New Roman"/>
          <w:sz w:val="24"/>
          <w:szCs w:val="24"/>
          <w:lang w:val="fr-FR"/>
        </w:rPr>
        <w:t>En effet,</w:t>
      </w:r>
      <w:r w:rsidRPr="00256989">
        <w:rPr>
          <w:rFonts w:ascii="Times New Roman" w:eastAsia="Times New Roman" w:hAnsi="Times New Roman" w:cs="Times New Roman"/>
          <w:sz w:val="24"/>
          <w:szCs w:val="24"/>
          <w:lang w:val="fr-FR"/>
        </w:rPr>
        <w:t xml:space="preserve"> </w:t>
      </w:r>
      <w:r w:rsidR="00240018" w:rsidRPr="00256989">
        <w:rPr>
          <w:rFonts w:ascii="Times New Roman" w:eastAsia="Times New Roman" w:hAnsi="Times New Roman" w:cs="Times New Roman"/>
          <w:sz w:val="24"/>
          <w:szCs w:val="24"/>
          <w:lang w:val="fr-FR"/>
        </w:rPr>
        <w:t>l</w:t>
      </w:r>
      <w:r w:rsidR="007D19E0" w:rsidRPr="00256989">
        <w:rPr>
          <w:rFonts w:ascii="Times New Roman" w:eastAsia="Times New Roman" w:hAnsi="Times New Roman" w:cs="Times New Roman"/>
          <w:sz w:val="24"/>
          <w:szCs w:val="24"/>
          <w:lang w:val="fr-FR"/>
        </w:rPr>
        <w:t>e test de spécification a été développé par le test de Ramsey (1969)</w:t>
      </w:r>
      <w:r w:rsidR="00B65A2A" w:rsidRPr="00256989">
        <w:rPr>
          <w:rFonts w:ascii="Times New Roman" w:eastAsia="Times New Roman" w:hAnsi="Times New Roman" w:cs="Times New Roman"/>
          <w:sz w:val="24"/>
          <w:szCs w:val="24"/>
          <w:lang w:val="fr-FR"/>
        </w:rPr>
        <w:t xml:space="preserve"> qui permet de tester l’omission de variable explicative pertinente ou une mauvaise spécification du modèle. </w:t>
      </w:r>
      <w:r w:rsidR="003A0E62" w:rsidRPr="00256989">
        <w:rPr>
          <w:rFonts w:ascii="Times New Roman" w:eastAsia="Times New Roman" w:hAnsi="Times New Roman" w:cs="Times New Roman"/>
          <w:sz w:val="24"/>
          <w:szCs w:val="24"/>
          <w:lang w:val="fr-FR"/>
        </w:rPr>
        <w:t>Le test de Breusch-Godfrey (1978)</w:t>
      </w:r>
      <w:r w:rsidR="002A3C31" w:rsidRPr="00256989">
        <w:rPr>
          <w:rFonts w:ascii="Times New Roman" w:hAnsi="Times New Roman" w:cs="Times New Roman"/>
          <w:sz w:val="24"/>
          <w:szCs w:val="24"/>
          <w:lang w:val="fr-FR"/>
        </w:rPr>
        <w:t xml:space="preserve"> est un outil essentiel dans l'analyse des régressions pour détecter des problèmes d'autocorrélation dans les résidus, ce qui aide à améliorer la robustesse du modèle de prévision et d'inférence.</w:t>
      </w:r>
      <w:r w:rsidR="00EA7B96" w:rsidRPr="00256989">
        <w:rPr>
          <w:rFonts w:ascii="Times New Roman" w:eastAsia="Times New Roman" w:hAnsi="Times New Roman" w:cs="Times New Roman"/>
          <w:sz w:val="24"/>
          <w:szCs w:val="24"/>
          <w:lang w:val="fr-FR"/>
        </w:rPr>
        <w:t xml:space="preserve"> Le test Breusch-Pagan-Godfrey (1979</w:t>
      </w:r>
      <w:r w:rsidR="0047104D" w:rsidRPr="00256989">
        <w:rPr>
          <w:rFonts w:ascii="Times New Roman" w:eastAsia="Times New Roman" w:hAnsi="Times New Roman" w:cs="Times New Roman"/>
          <w:sz w:val="24"/>
          <w:szCs w:val="24"/>
          <w:lang w:val="fr-FR"/>
        </w:rPr>
        <w:t xml:space="preserve">) </w:t>
      </w:r>
      <w:r w:rsidR="00207F40" w:rsidRPr="00256989">
        <w:rPr>
          <w:rFonts w:ascii="Times New Roman" w:eastAsia="Times New Roman" w:hAnsi="Times New Roman" w:cs="Times New Roman"/>
          <w:sz w:val="24"/>
          <w:szCs w:val="24"/>
          <w:lang w:val="fr-FR"/>
        </w:rPr>
        <w:t xml:space="preserve">est utilisé principalement pour détecter l'hétéroscédasticité dans les modèles de régression linéaire. L'hétéroscédasticité se produit lorsque la variance des erreurs n'est pas constante à travers les observations, ce qui peut mener à des estimations inefficaces et des tests statistiques incorrects. </w:t>
      </w:r>
      <w:r w:rsidR="00C72DCF" w:rsidRPr="00256989">
        <w:rPr>
          <w:rFonts w:ascii="Times New Roman" w:eastAsia="Times New Roman" w:hAnsi="Times New Roman" w:cs="Times New Roman"/>
          <w:sz w:val="24"/>
          <w:szCs w:val="24"/>
          <w:lang w:val="fr-FR"/>
        </w:rPr>
        <w:t xml:space="preserve">Le test de Jarque-Bera </w:t>
      </w:r>
      <w:r w:rsidR="00D46F1E" w:rsidRPr="00256989">
        <w:rPr>
          <w:rFonts w:ascii="Times New Roman" w:eastAsia="Times New Roman" w:hAnsi="Times New Roman" w:cs="Times New Roman"/>
          <w:sz w:val="24"/>
          <w:szCs w:val="24"/>
          <w:lang w:val="fr-FR"/>
        </w:rPr>
        <w:t xml:space="preserve">(1987) </w:t>
      </w:r>
      <w:r w:rsidR="00C72DCF" w:rsidRPr="00256989">
        <w:rPr>
          <w:rFonts w:ascii="Times New Roman" w:eastAsia="Times New Roman" w:hAnsi="Times New Roman" w:cs="Times New Roman"/>
          <w:sz w:val="24"/>
          <w:szCs w:val="24"/>
          <w:lang w:val="fr-FR"/>
        </w:rPr>
        <w:t>est un test d’hypothèse</w:t>
      </w:r>
      <w:r w:rsidR="005B2790">
        <w:rPr>
          <w:rFonts w:ascii="Times New Roman" w:eastAsia="Times New Roman" w:hAnsi="Times New Roman" w:cs="Times New Roman"/>
          <w:sz w:val="24"/>
          <w:szCs w:val="24"/>
          <w:lang w:val="fr-FR"/>
        </w:rPr>
        <w:t>s</w:t>
      </w:r>
      <w:r w:rsidR="00C72DCF" w:rsidRPr="00256989">
        <w:rPr>
          <w:rFonts w:ascii="Times New Roman" w:eastAsia="Times New Roman" w:hAnsi="Times New Roman" w:cs="Times New Roman"/>
          <w:sz w:val="24"/>
          <w:szCs w:val="24"/>
          <w:lang w:val="fr-FR"/>
        </w:rPr>
        <w:t xml:space="preserve"> qui cherche à déterminer si les données suivent une loi normale.</w:t>
      </w:r>
      <w:r w:rsidR="00850844" w:rsidRPr="00256989">
        <w:rPr>
          <w:rFonts w:ascii="Times New Roman" w:eastAsia="Times New Roman" w:hAnsi="Times New Roman" w:cs="Times New Roman"/>
          <w:sz w:val="24"/>
          <w:szCs w:val="24"/>
          <w:lang w:val="fr-FR"/>
        </w:rPr>
        <w:t xml:space="preserve"> Il repose sur deux</w:t>
      </w:r>
      <w:r w:rsidR="005B2790">
        <w:rPr>
          <w:rFonts w:ascii="Times New Roman" w:eastAsia="Times New Roman" w:hAnsi="Times New Roman" w:cs="Times New Roman"/>
          <w:sz w:val="24"/>
          <w:szCs w:val="24"/>
          <w:lang w:val="fr-FR"/>
        </w:rPr>
        <w:t xml:space="preserve"> (02)</w:t>
      </w:r>
      <w:r w:rsidR="00850844" w:rsidRPr="00256989">
        <w:rPr>
          <w:rFonts w:ascii="Times New Roman" w:eastAsia="Times New Roman" w:hAnsi="Times New Roman" w:cs="Times New Roman"/>
          <w:sz w:val="24"/>
          <w:szCs w:val="24"/>
          <w:lang w:val="fr-FR"/>
        </w:rPr>
        <w:t xml:space="preserve"> moments de la </w:t>
      </w:r>
      <w:r w:rsidR="003777D4" w:rsidRPr="00256989">
        <w:rPr>
          <w:rFonts w:ascii="Times New Roman" w:eastAsia="Times New Roman" w:hAnsi="Times New Roman" w:cs="Times New Roman"/>
          <w:sz w:val="24"/>
          <w:szCs w:val="24"/>
          <w:lang w:val="fr-FR"/>
        </w:rPr>
        <w:t>distribution</w:t>
      </w:r>
      <w:r w:rsidR="005B2790">
        <w:rPr>
          <w:rFonts w:ascii="Times New Roman" w:eastAsia="Times New Roman" w:hAnsi="Times New Roman" w:cs="Times New Roman"/>
          <w:sz w:val="24"/>
          <w:szCs w:val="24"/>
          <w:lang w:val="fr-FR"/>
        </w:rPr>
        <w:t xml:space="preserve"> </w:t>
      </w:r>
      <w:r w:rsidR="003777D4" w:rsidRPr="00256989">
        <w:rPr>
          <w:rFonts w:ascii="Times New Roman" w:eastAsia="Times New Roman" w:hAnsi="Times New Roman" w:cs="Times New Roman"/>
          <w:sz w:val="24"/>
          <w:szCs w:val="24"/>
          <w:lang w:val="fr-FR"/>
        </w:rPr>
        <w:t>:</w:t>
      </w:r>
      <w:r w:rsidR="00850844" w:rsidRPr="00256989">
        <w:rPr>
          <w:rFonts w:ascii="Times New Roman" w:eastAsia="Times New Roman" w:hAnsi="Times New Roman" w:cs="Times New Roman"/>
          <w:sz w:val="24"/>
          <w:szCs w:val="24"/>
          <w:lang w:val="fr-FR"/>
        </w:rPr>
        <w:t xml:space="preserve"> l'asymétrie (Skewness) et la Kurtosis (aplatissement).</w:t>
      </w:r>
      <w:r w:rsidR="003777D4" w:rsidRPr="00256989">
        <w:rPr>
          <w:rFonts w:ascii="Times New Roman" w:eastAsia="Times New Roman" w:hAnsi="Times New Roman" w:cs="Times New Roman"/>
          <w:sz w:val="24"/>
          <w:szCs w:val="24"/>
          <w:lang w:val="fr-FR"/>
        </w:rPr>
        <w:t xml:space="preserve"> En plus, la stabilité des coefficients de nos deux </w:t>
      </w:r>
      <w:r w:rsidR="005B2790">
        <w:rPr>
          <w:rFonts w:ascii="Times New Roman" w:eastAsia="Times New Roman" w:hAnsi="Times New Roman" w:cs="Times New Roman"/>
          <w:sz w:val="24"/>
          <w:szCs w:val="24"/>
          <w:lang w:val="fr-FR"/>
        </w:rPr>
        <w:t xml:space="preserve">(02) </w:t>
      </w:r>
      <w:r w:rsidR="003777D4" w:rsidRPr="00256989">
        <w:rPr>
          <w:rFonts w:ascii="Times New Roman" w:eastAsia="Times New Roman" w:hAnsi="Times New Roman" w:cs="Times New Roman"/>
          <w:sz w:val="24"/>
          <w:szCs w:val="24"/>
          <w:lang w:val="fr-FR"/>
        </w:rPr>
        <w:t>modèles est validée à travers les tests de CUSUM et CUSUMSQ proposés par Brown et al. (1975). Ces tests sont effectués sur les résidus des modèles de l’équation des dépenses de consommation finale des ménages. Le test de CUSUM repose sur la somme des résidus et trace la courbe de la somme cumulative des résidus avec des lignes critiques à 5%. Ainsi, les paramètres du modèle sont considérés stables dans la mesure où les traces se situent entre les limites critiques au seuil de 5%</w:t>
      </w:r>
      <w:r w:rsidR="003777D4" w:rsidRPr="00256989">
        <w:rPr>
          <w:lang w:val="fr-FR"/>
        </w:rPr>
        <w:t>.</w:t>
      </w:r>
      <w:r w:rsidR="003777D4" w:rsidRPr="00256989">
        <w:rPr>
          <w:rFonts w:ascii="Times New Roman" w:eastAsia="Times New Roman" w:hAnsi="Times New Roman" w:cs="Times New Roman"/>
          <w:sz w:val="24"/>
          <w:szCs w:val="24"/>
          <w:lang w:val="fr-FR"/>
        </w:rPr>
        <w:t xml:space="preserve"> Cette même méthode est appliquée dans le cas du test de CUSUMQ, qui repose sur la somme des carrés des résidus</w:t>
      </w:r>
      <w:r w:rsidR="00DF191B" w:rsidRPr="00256989">
        <w:rPr>
          <w:rFonts w:ascii="Times New Roman" w:eastAsia="Times New Roman" w:hAnsi="Times New Roman" w:cs="Times New Roman"/>
          <w:sz w:val="24"/>
          <w:szCs w:val="24"/>
          <w:lang w:val="fr-FR"/>
        </w:rPr>
        <w:t>.</w:t>
      </w:r>
    </w:p>
    <w:p w14:paraId="1C18B9C7" w14:textId="0DF45335" w:rsidR="00416B47"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Ainsi les différents tests présentés dans le tableau </w:t>
      </w:r>
      <w:r w:rsidR="007D19E0" w:rsidRPr="00256989">
        <w:rPr>
          <w:rFonts w:ascii="Times New Roman" w:eastAsia="Times New Roman" w:hAnsi="Times New Roman" w:cs="Times New Roman"/>
          <w:sz w:val="24"/>
          <w:szCs w:val="24"/>
          <w:lang w:val="fr-FR"/>
        </w:rPr>
        <w:t xml:space="preserve">(11) </w:t>
      </w:r>
      <w:r w:rsidRPr="00256989">
        <w:rPr>
          <w:rFonts w:ascii="Times New Roman" w:eastAsia="Times New Roman" w:hAnsi="Times New Roman" w:cs="Times New Roman"/>
          <w:sz w:val="24"/>
          <w:szCs w:val="24"/>
          <w:lang w:val="fr-FR"/>
        </w:rPr>
        <w:t xml:space="preserve">ci-dessous montrent que la probabilité de la statistique pour chaque test est supérieure à 5%. Par conséquent, l’hypothèse nulle est acceptée dans tous ces tests. Dans les </w:t>
      </w:r>
      <w:r w:rsidR="005B2790">
        <w:rPr>
          <w:rFonts w:ascii="Times New Roman" w:eastAsia="Times New Roman" w:hAnsi="Times New Roman" w:cs="Times New Roman"/>
          <w:sz w:val="24"/>
          <w:szCs w:val="24"/>
          <w:lang w:val="fr-FR"/>
        </w:rPr>
        <w:t>deux (0</w:t>
      </w:r>
      <w:r w:rsidRPr="00256989">
        <w:rPr>
          <w:rFonts w:ascii="Times New Roman" w:eastAsia="Times New Roman" w:hAnsi="Times New Roman" w:cs="Times New Roman"/>
          <w:sz w:val="24"/>
          <w:szCs w:val="24"/>
          <w:lang w:val="fr-FR"/>
        </w:rPr>
        <w:t>2</w:t>
      </w:r>
      <w:r w:rsidR="005B2790">
        <w:rPr>
          <w:rFonts w:ascii="Times New Roman" w:eastAsia="Times New Roman" w:hAnsi="Times New Roman" w:cs="Times New Roman"/>
          <w:sz w:val="24"/>
          <w:szCs w:val="24"/>
          <w:lang w:val="fr-FR"/>
        </w:rPr>
        <w:t>)</w:t>
      </w:r>
      <w:r w:rsidRPr="00256989">
        <w:rPr>
          <w:rFonts w:ascii="Times New Roman" w:eastAsia="Times New Roman" w:hAnsi="Times New Roman" w:cs="Times New Roman"/>
          <w:sz w:val="24"/>
          <w:szCs w:val="24"/>
          <w:lang w:val="fr-FR"/>
        </w:rPr>
        <w:t xml:space="preserve"> modèles, les erreurs ne sont pas autocorrélées et sont homoscédastiques au seuil de 5%. Leurs distributions suivent une loi normale et nos deux </w:t>
      </w:r>
      <w:r w:rsidR="005B2790">
        <w:rPr>
          <w:rFonts w:ascii="Times New Roman" w:eastAsia="Times New Roman" w:hAnsi="Times New Roman" w:cs="Times New Roman"/>
          <w:sz w:val="24"/>
          <w:szCs w:val="24"/>
          <w:lang w:val="fr-FR"/>
        </w:rPr>
        <w:t xml:space="preserve">(02) </w:t>
      </w:r>
      <w:r w:rsidRPr="00256989">
        <w:rPr>
          <w:rFonts w:ascii="Times New Roman" w:eastAsia="Times New Roman" w:hAnsi="Times New Roman" w:cs="Times New Roman"/>
          <w:sz w:val="24"/>
          <w:szCs w:val="24"/>
          <w:lang w:val="fr-FR"/>
        </w:rPr>
        <w:t>modèles sont bien spécifiés au seuil de 5%. (</w:t>
      </w:r>
      <w:r w:rsidR="00CB0354" w:rsidRPr="00256989">
        <w:rPr>
          <w:rFonts w:ascii="Times New Roman" w:eastAsia="Times New Roman" w:hAnsi="Times New Roman" w:cs="Times New Roman"/>
          <w:sz w:val="24"/>
          <w:szCs w:val="24"/>
          <w:lang w:val="fr-FR"/>
        </w:rPr>
        <w:t>Voir</w:t>
      </w:r>
      <w:r w:rsidRPr="00256989">
        <w:rPr>
          <w:rFonts w:ascii="Times New Roman" w:eastAsia="Times New Roman" w:hAnsi="Times New Roman" w:cs="Times New Roman"/>
          <w:sz w:val="24"/>
          <w:szCs w:val="24"/>
          <w:lang w:val="fr-FR"/>
        </w:rPr>
        <w:t xml:space="preserve"> l’annexe 8)</w:t>
      </w:r>
    </w:p>
    <w:p w14:paraId="10229F38" w14:textId="77777777" w:rsidR="007D19E0" w:rsidRDefault="007D19E0">
      <w:pPr>
        <w:spacing w:line="360" w:lineRule="auto"/>
        <w:jc w:val="both"/>
        <w:rPr>
          <w:rFonts w:ascii="Times New Roman" w:eastAsia="Times New Roman" w:hAnsi="Times New Roman" w:cs="Times New Roman"/>
          <w:sz w:val="24"/>
          <w:szCs w:val="24"/>
          <w:lang w:val="fr-FR"/>
        </w:rPr>
      </w:pPr>
    </w:p>
    <w:p w14:paraId="4EC94E49" w14:textId="77777777" w:rsidR="005B7B16" w:rsidRDefault="005B7B16">
      <w:pPr>
        <w:spacing w:line="360" w:lineRule="auto"/>
        <w:jc w:val="both"/>
        <w:rPr>
          <w:rFonts w:ascii="Times New Roman" w:eastAsia="Times New Roman" w:hAnsi="Times New Roman" w:cs="Times New Roman"/>
          <w:sz w:val="24"/>
          <w:szCs w:val="24"/>
          <w:lang w:val="fr-FR"/>
        </w:rPr>
      </w:pPr>
    </w:p>
    <w:p w14:paraId="2836D165" w14:textId="77777777" w:rsidR="005B7B16" w:rsidRDefault="005B7B16">
      <w:pPr>
        <w:spacing w:line="360" w:lineRule="auto"/>
        <w:jc w:val="both"/>
        <w:rPr>
          <w:rFonts w:ascii="Times New Roman" w:eastAsia="Times New Roman" w:hAnsi="Times New Roman" w:cs="Times New Roman"/>
          <w:sz w:val="24"/>
          <w:szCs w:val="24"/>
          <w:lang w:val="fr-FR"/>
        </w:rPr>
      </w:pPr>
    </w:p>
    <w:p w14:paraId="15A63C9B" w14:textId="77777777" w:rsidR="005B7B16" w:rsidRPr="00256989" w:rsidRDefault="005B7B16">
      <w:pPr>
        <w:spacing w:line="360" w:lineRule="auto"/>
        <w:jc w:val="both"/>
        <w:rPr>
          <w:rFonts w:ascii="Times New Roman" w:eastAsia="Times New Roman" w:hAnsi="Times New Roman" w:cs="Times New Roman"/>
          <w:sz w:val="24"/>
          <w:szCs w:val="24"/>
          <w:lang w:val="fr-FR"/>
        </w:rPr>
      </w:pPr>
    </w:p>
    <w:p w14:paraId="7FC2DF31" w14:textId="1ED949C2" w:rsidR="005E4276" w:rsidRPr="00256989" w:rsidRDefault="006D388F">
      <w:pPr>
        <w:spacing w:line="360" w:lineRule="auto"/>
        <w:jc w:val="both"/>
        <w:rPr>
          <w:rFonts w:ascii="Times New Roman" w:eastAsia="Times New Roman" w:hAnsi="Times New Roman" w:cs="Times New Roman"/>
          <w:i/>
          <w:sz w:val="24"/>
          <w:szCs w:val="24"/>
          <w:lang w:val="fr-FR"/>
        </w:rPr>
      </w:pPr>
      <w:r w:rsidRPr="00256989">
        <w:rPr>
          <w:rFonts w:ascii="Times New Roman" w:eastAsia="Times New Roman" w:hAnsi="Times New Roman" w:cs="Times New Roman"/>
          <w:i/>
          <w:sz w:val="24"/>
          <w:szCs w:val="24"/>
          <w:lang w:val="fr-FR"/>
        </w:rPr>
        <w:t xml:space="preserve">Tableau </w:t>
      </w:r>
      <w:r w:rsidR="00CB0354" w:rsidRPr="00256989">
        <w:rPr>
          <w:rFonts w:ascii="Times New Roman" w:eastAsia="Times New Roman" w:hAnsi="Times New Roman" w:cs="Times New Roman"/>
          <w:i/>
          <w:sz w:val="24"/>
          <w:szCs w:val="24"/>
          <w:lang w:val="fr-FR"/>
        </w:rPr>
        <w:t>11 :</w:t>
      </w:r>
      <w:r w:rsidRPr="00256989">
        <w:rPr>
          <w:rFonts w:ascii="Times New Roman" w:eastAsia="Times New Roman" w:hAnsi="Times New Roman" w:cs="Times New Roman"/>
          <w:i/>
          <w:sz w:val="24"/>
          <w:szCs w:val="24"/>
          <w:lang w:val="fr-FR"/>
        </w:rPr>
        <w:t xml:space="preserve"> Test d’hypothèses des modèle ARDL (</w:t>
      </w:r>
      <w:r w:rsidR="00A40269">
        <w:rPr>
          <w:rFonts w:ascii="Times New Roman" w:eastAsia="Times New Roman" w:hAnsi="Times New Roman" w:cs="Times New Roman"/>
          <w:i/>
          <w:sz w:val="24"/>
          <w:szCs w:val="24"/>
          <w:lang w:val="fr-FR"/>
        </w:rPr>
        <w:t>2,5,5,4</w:t>
      </w:r>
      <w:r w:rsidR="00831DF8">
        <w:rPr>
          <w:rFonts w:ascii="Times New Roman" w:eastAsia="Times New Roman" w:hAnsi="Times New Roman" w:cs="Times New Roman"/>
          <w:i/>
          <w:sz w:val="24"/>
          <w:szCs w:val="24"/>
          <w:lang w:val="fr-FR"/>
        </w:rPr>
        <w:t>,</w:t>
      </w:r>
      <w:r w:rsidR="00A40269">
        <w:rPr>
          <w:rFonts w:ascii="Times New Roman" w:eastAsia="Times New Roman" w:hAnsi="Times New Roman" w:cs="Times New Roman"/>
          <w:i/>
          <w:sz w:val="24"/>
          <w:szCs w:val="24"/>
          <w:lang w:val="fr-FR"/>
        </w:rPr>
        <w:t>0</w:t>
      </w:r>
      <w:r w:rsidR="00831DF8">
        <w:rPr>
          <w:rFonts w:ascii="Times New Roman" w:eastAsia="Times New Roman" w:hAnsi="Times New Roman" w:cs="Times New Roman"/>
          <w:i/>
          <w:sz w:val="24"/>
          <w:szCs w:val="24"/>
          <w:lang w:val="fr-FR"/>
        </w:rPr>
        <w:t>,</w:t>
      </w:r>
      <w:r w:rsidR="00A40269">
        <w:rPr>
          <w:rFonts w:ascii="Times New Roman" w:eastAsia="Times New Roman" w:hAnsi="Times New Roman" w:cs="Times New Roman"/>
          <w:i/>
          <w:sz w:val="24"/>
          <w:szCs w:val="24"/>
          <w:lang w:val="fr-FR"/>
        </w:rPr>
        <w:t>4</w:t>
      </w:r>
      <w:r w:rsidR="00831DF8">
        <w:rPr>
          <w:rFonts w:ascii="Times New Roman" w:eastAsia="Times New Roman" w:hAnsi="Times New Roman" w:cs="Times New Roman"/>
          <w:i/>
          <w:sz w:val="24"/>
          <w:szCs w:val="24"/>
          <w:lang w:val="fr-FR"/>
        </w:rPr>
        <w:t>,</w:t>
      </w:r>
      <w:r w:rsidR="00A40269">
        <w:rPr>
          <w:rFonts w:ascii="Times New Roman" w:eastAsia="Times New Roman" w:hAnsi="Times New Roman" w:cs="Times New Roman"/>
          <w:i/>
          <w:sz w:val="24"/>
          <w:szCs w:val="24"/>
          <w:lang w:val="fr-FR"/>
        </w:rPr>
        <w:t>5</w:t>
      </w:r>
      <w:r w:rsidRPr="00256989">
        <w:rPr>
          <w:rFonts w:ascii="Times New Roman" w:eastAsia="Times New Roman" w:hAnsi="Times New Roman" w:cs="Times New Roman"/>
          <w:i/>
          <w:sz w:val="24"/>
          <w:szCs w:val="24"/>
          <w:lang w:val="fr-FR"/>
        </w:rPr>
        <w:t>) et ARDL (</w:t>
      </w:r>
      <w:r w:rsidR="00A40269">
        <w:rPr>
          <w:rFonts w:ascii="Times New Roman" w:eastAsia="Times New Roman" w:hAnsi="Times New Roman" w:cs="Times New Roman"/>
          <w:i/>
          <w:sz w:val="24"/>
          <w:szCs w:val="24"/>
          <w:lang w:val="fr-FR"/>
        </w:rPr>
        <w:t>5,1,4,2,4,4,3</w:t>
      </w:r>
      <w:r w:rsidRPr="00256989">
        <w:rPr>
          <w:rFonts w:ascii="Times New Roman" w:eastAsia="Times New Roman" w:hAnsi="Times New Roman" w:cs="Times New Roman"/>
          <w:i/>
          <w:sz w:val="24"/>
          <w:szCs w:val="24"/>
          <w:lang w:val="fr-FR"/>
        </w:rPr>
        <w:t>)</w:t>
      </w:r>
    </w:p>
    <w:tbl>
      <w:tblPr>
        <w:tblStyle w:val="1"/>
        <w:tblW w:w="9350" w:type="dxa"/>
        <w:tblInd w:w="0" w:type="dxa"/>
        <w:tblBorders>
          <w:top w:val="single" w:sz="4" w:space="0" w:color="000000"/>
          <w:bottom w:val="single" w:sz="4" w:space="0" w:color="000000"/>
        </w:tblBorders>
        <w:tblLayout w:type="fixed"/>
        <w:tblLook w:val="04A0" w:firstRow="1" w:lastRow="0" w:firstColumn="1" w:lastColumn="0" w:noHBand="0" w:noVBand="1"/>
      </w:tblPr>
      <w:tblGrid>
        <w:gridCol w:w="2689"/>
        <w:gridCol w:w="2551"/>
        <w:gridCol w:w="2126"/>
        <w:gridCol w:w="1984"/>
      </w:tblGrid>
      <w:tr w:rsidR="005E4276" w14:paraId="4AC1F3F3" w14:textId="77777777" w:rsidTr="005E4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000000"/>
            </w:tcBorders>
            <w:shd w:val="clear" w:color="auto" w:fill="auto"/>
          </w:tcPr>
          <w:p w14:paraId="71F95083" w14:textId="77777777" w:rsidR="005E4276" w:rsidRPr="00256989" w:rsidRDefault="005E4276">
            <w:pPr>
              <w:spacing w:line="360" w:lineRule="auto"/>
              <w:jc w:val="both"/>
              <w:rPr>
                <w:rFonts w:ascii="Times New Roman" w:eastAsia="Times New Roman" w:hAnsi="Times New Roman" w:cs="Times New Roman"/>
                <w:sz w:val="24"/>
                <w:szCs w:val="24"/>
                <w:lang w:val="fr-FR"/>
              </w:rPr>
            </w:pPr>
          </w:p>
        </w:tc>
        <w:tc>
          <w:tcPr>
            <w:tcW w:w="2551" w:type="dxa"/>
            <w:tcBorders>
              <w:bottom w:val="single" w:sz="12" w:space="0" w:color="000000"/>
            </w:tcBorders>
            <w:shd w:val="clear" w:color="auto" w:fill="auto"/>
          </w:tcPr>
          <w:p w14:paraId="04929938" w14:textId="77777777" w:rsidR="005E4276" w:rsidRPr="00256989" w:rsidRDefault="005E4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p>
        </w:tc>
        <w:tc>
          <w:tcPr>
            <w:tcW w:w="2126" w:type="dxa"/>
            <w:tcBorders>
              <w:bottom w:val="single" w:sz="12" w:space="0" w:color="000000"/>
            </w:tcBorders>
            <w:shd w:val="clear" w:color="auto" w:fill="auto"/>
          </w:tcPr>
          <w:p w14:paraId="070CB4EA" w14:textId="77777777" w:rsidR="005E427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Modèle 1</w:t>
            </w:r>
          </w:p>
        </w:tc>
        <w:tc>
          <w:tcPr>
            <w:tcW w:w="1984" w:type="dxa"/>
            <w:shd w:val="clear" w:color="auto" w:fill="auto"/>
          </w:tcPr>
          <w:p w14:paraId="0D8537FF" w14:textId="77777777" w:rsidR="005E4276" w:rsidRDefault="006D388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Modèle 2</w:t>
            </w:r>
          </w:p>
        </w:tc>
      </w:tr>
      <w:tr w:rsidR="005E4276" w14:paraId="36559996"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000000"/>
            </w:tcBorders>
            <w:shd w:val="clear" w:color="auto" w:fill="auto"/>
          </w:tcPr>
          <w:p w14:paraId="0DB8819B"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Hypothèses vérifiées</w:t>
            </w:r>
          </w:p>
        </w:tc>
        <w:tc>
          <w:tcPr>
            <w:tcW w:w="2551" w:type="dxa"/>
            <w:tcBorders>
              <w:top w:val="single" w:sz="12" w:space="0" w:color="000000"/>
            </w:tcBorders>
            <w:shd w:val="clear" w:color="auto" w:fill="auto"/>
          </w:tcPr>
          <w:p w14:paraId="7A50BFFE" w14:textId="7777777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Test appliqué</w:t>
            </w:r>
          </w:p>
        </w:tc>
        <w:tc>
          <w:tcPr>
            <w:tcW w:w="4110" w:type="dxa"/>
            <w:gridSpan w:val="2"/>
            <w:tcBorders>
              <w:top w:val="single" w:sz="12" w:space="0" w:color="000000"/>
            </w:tcBorders>
            <w:shd w:val="clear" w:color="auto" w:fill="auto"/>
          </w:tcPr>
          <w:p w14:paraId="06E26551" w14:textId="7777777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Statistique (Probabilité)</w:t>
            </w:r>
          </w:p>
        </w:tc>
      </w:tr>
      <w:tr w:rsidR="005E4276" w14:paraId="7272FCFD" w14:textId="77777777" w:rsidTr="005E4276">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CF1DC13"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Autocorrélation des erreurs</w:t>
            </w:r>
          </w:p>
        </w:tc>
        <w:tc>
          <w:tcPr>
            <w:tcW w:w="2551" w:type="dxa"/>
            <w:shd w:val="clear" w:color="auto" w:fill="auto"/>
          </w:tcPr>
          <w:p w14:paraId="35946A71" w14:textId="77777777"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Breusch-Godfrey</w:t>
            </w:r>
          </w:p>
        </w:tc>
        <w:tc>
          <w:tcPr>
            <w:tcW w:w="2126" w:type="dxa"/>
            <w:shd w:val="clear" w:color="auto" w:fill="auto"/>
          </w:tcPr>
          <w:p w14:paraId="19C44AF8" w14:textId="3245ED32" w:rsidR="005E4276"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0 ,</w:t>
            </w:r>
            <w:r w:rsidR="001C48E0">
              <w:rPr>
                <w:rFonts w:ascii="Times New Roman" w:eastAsia="Times New Roman" w:hAnsi="Times New Roman" w:cs="Times New Roman"/>
                <w:sz w:val="24"/>
                <w:szCs w:val="24"/>
              </w:rPr>
              <w:t>322034</w:t>
            </w:r>
          </w:p>
          <w:p w14:paraId="1A7CBE60" w14:textId="6FD62D88" w:rsidR="005E4276"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1C48E0">
              <w:rPr>
                <w:rFonts w:ascii="Times New Roman" w:eastAsia="Times New Roman" w:hAnsi="Times New Roman" w:cs="Times New Roman"/>
                <w:sz w:val="24"/>
                <w:szCs w:val="24"/>
              </w:rPr>
              <w:t>7271</w:t>
            </w:r>
            <w:r>
              <w:rPr>
                <w:rFonts w:ascii="Times New Roman" w:eastAsia="Times New Roman" w:hAnsi="Times New Roman" w:cs="Times New Roman"/>
                <w:sz w:val="24"/>
                <w:szCs w:val="24"/>
              </w:rPr>
              <w:t>)</w:t>
            </w:r>
          </w:p>
          <w:p w14:paraId="3EA017C8" w14:textId="77777777" w:rsidR="005E4276" w:rsidRDefault="005E4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4" w:type="dxa"/>
            <w:shd w:val="clear" w:color="auto" w:fill="auto"/>
          </w:tcPr>
          <w:p w14:paraId="1EBD2242" w14:textId="72DF51E3" w:rsidR="005E4276"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6995">
              <w:rPr>
                <w:rFonts w:ascii="Times New Roman" w:eastAsia="Times New Roman" w:hAnsi="Times New Roman" w:cs="Times New Roman"/>
                <w:sz w:val="24"/>
                <w:szCs w:val="24"/>
              </w:rPr>
              <w:t>1,300119</w:t>
            </w:r>
          </w:p>
          <w:p w14:paraId="58D80635" w14:textId="0EDB86DE" w:rsidR="005E4276" w:rsidRDefault="006D38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826995">
              <w:rPr>
                <w:rFonts w:ascii="Times New Roman" w:eastAsia="Times New Roman" w:hAnsi="Times New Roman" w:cs="Times New Roman"/>
                <w:sz w:val="24"/>
                <w:szCs w:val="24"/>
              </w:rPr>
              <w:t>2861</w:t>
            </w:r>
            <w:r>
              <w:rPr>
                <w:rFonts w:ascii="Times New Roman" w:eastAsia="Times New Roman" w:hAnsi="Times New Roman" w:cs="Times New Roman"/>
                <w:sz w:val="24"/>
                <w:szCs w:val="24"/>
              </w:rPr>
              <w:t>)</w:t>
            </w:r>
          </w:p>
        </w:tc>
      </w:tr>
      <w:tr w:rsidR="005E4276" w14:paraId="46789468" w14:textId="77777777" w:rsidTr="005E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06058AA"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Hétéroscédasticité</w:t>
            </w:r>
          </w:p>
        </w:tc>
        <w:tc>
          <w:tcPr>
            <w:tcW w:w="2551" w:type="dxa"/>
            <w:shd w:val="clear" w:color="auto" w:fill="auto"/>
          </w:tcPr>
          <w:p w14:paraId="4B365B2E" w14:textId="77777777"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Breusch-Pagan-Godfrey</w:t>
            </w:r>
          </w:p>
        </w:tc>
        <w:tc>
          <w:tcPr>
            <w:tcW w:w="2126" w:type="dxa"/>
            <w:shd w:val="clear" w:color="auto" w:fill="auto"/>
          </w:tcPr>
          <w:p w14:paraId="7F54E35A" w14:textId="633A3EFB"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1C48E0">
              <w:rPr>
                <w:rFonts w:ascii="Times New Roman" w:eastAsia="Times New Roman" w:hAnsi="Times New Roman" w:cs="Times New Roman"/>
                <w:sz w:val="24"/>
                <w:szCs w:val="24"/>
              </w:rPr>
              <w:t>814974</w:t>
            </w:r>
          </w:p>
          <w:p w14:paraId="76A2E642" w14:textId="069D9EF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1C48E0">
              <w:rPr>
                <w:rFonts w:ascii="Times New Roman" w:eastAsia="Times New Roman" w:hAnsi="Times New Roman" w:cs="Times New Roman"/>
                <w:sz w:val="24"/>
                <w:szCs w:val="24"/>
              </w:rPr>
              <w:t>7154</w:t>
            </w:r>
            <w:r>
              <w:rPr>
                <w:rFonts w:ascii="Times New Roman" w:eastAsia="Times New Roman" w:hAnsi="Times New Roman" w:cs="Times New Roman"/>
                <w:sz w:val="24"/>
                <w:szCs w:val="24"/>
              </w:rPr>
              <w:t>)</w:t>
            </w:r>
            <w:r>
              <w:rPr>
                <w:rFonts w:ascii="Arial" w:eastAsia="Arial" w:hAnsi="Arial" w:cs="Arial"/>
                <w:sz w:val="18"/>
                <w:szCs w:val="18"/>
              </w:rPr>
              <w:br/>
            </w:r>
          </w:p>
        </w:tc>
        <w:tc>
          <w:tcPr>
            <w:tcW w:w="1984" w:type="dxa"/>
            <w:shd w:val="clear" w:color="auto" w:fill="auto"/>
          </w:tcPr>
          <w:p w14:paraId="626867D6" w14:textId="4473BBED"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6995">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826995">
              <w:rPr>
                <w:rFonts w:ascii="Times New Roman" w:eastAsia="Times New Roman" w:hAnsi="Times New Roman" w:cs="Times New Roman"/>
                <w:sz w:val="24"/>
                <w:szCs w:val="24"/>
              </w:rPr>
              <w:t>340871</w:t>
            </w:r>
          </w:p>
          <w:p w14:paraId="5A64724E" w14:textId="202B10CE"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826995">
              <w:rPr>
                <w:rFonts w:ascii="Times New Roman" w:eastAsia="Times New Roman" w:hAnsi="Times New Roman" w:cs="Times New Roman"/>
                <w:sz w:val="24"/>
                <w:szCs w:val="24"/>
              </w:rPr>
              <w:t>9980</w:t>
            </w:r>
            <w:r>
              <w:rPr>
                <w:rFonts w:ascii="Times New Roman" w:eastAsia="Times New Roman" w:hAnsi="Times New Roman" w:cs="Times New Roman"/>
                <w:sz w:val="24"/>
                <w:szCs w:val="24"/>
              </w:rPr>
              <w:t>)</w:t>
            </w:r>
          </w:p>
          <w:p w14:paraId="5A81F3F3" w14:textId="77777777" w:rsidR="005E4276" w:rsidRDefault="005E42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5E4276" w14:paraId="0D599B56" w14:textId="77777777" w:rsidTr="005E4276">
        <w:trPr>
          <w:trHeight w:val="73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AE23F89"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Normalité</w:t>
            </w:r>
          </w:p>
        </w:tc>
        <w:tc>
          <w:tcPr>
            <w:tcW w:w="2551" w:type="dxa"/>
            <w:shd w:val="clear" w:color="auto" w:fill="auto"/>
          </w:tcPr>
          <w:p w14:paraId="74AC37DE" w14:textId="77777777"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Jarque-Bera</w:t>
            </w:r>
          </w:p>
        </w:tc>
        <w:tc>
          <w:tcPr>
            <w:tcW w:w="2126" w:type="dxa"/>
            <w:shd w:val="clear" w:color="auto" w:fill="auto"/>
          </w:tcPr>
          <w:p w14:paraId="0DE83C55" w14:textId="315842BD"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48E0">
              <w:rPr>
                <w:rFonts w:ascii="Times New Roman" w:eastAsia="Times New Roman" w:hAnsi="Times New Roman" w:cs="Times New Roman"/>
                <w:sz w:val="24"/>
                <w:szCs w:val="24"/>
              </w:rPr>
              <w:t>0,535619</w:t>
            </w:r>
          </w:p>
          <w:p w14:paraId="215F45F3" w14:textId="6DCADFE1"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1C48E0">
              <w:rPr>
                <w:rFonts w:ascii="Times New Roman" w:eastAsia="Times New Roman" w:hAnsi="Times New Roman" w:cs="Times New Roman"/>
                <w:sz w:val="24"/>
                <w:szCs w:val="24"/>
              </w:rPr>
              <w:t>765053</w:t>
            </w:r>
            <w:r>
              <w:rPr>
                <w:rFonts w:ascii="Times New Roman" w:eastAsia="Times New Roman" w:hAnsi="Times New Roman" w:cs="Times New Roman"/>
                <w:sz w:val="24"/>
                <w:szCs w:val="24"/>
              </w:rPr>
              <w:t>)</w:t>
            </w:r>
          </w:p>
        </w:tc>
        <w:tc>
          <w:tcPr>
            <w:tcW w:w="1984" w:type="dxa"/>
            <w:shd w:val="clear" w:color="auto" w:fill="auto"/>
          </w:tcPr>
          <w:p w14:paraId="5F0B302D" w14:textId="1C9A0398"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6995">
              <w:rPr>
                <w:rFonts w:ascii="Times New Roman" w:eastAsia="Times New Roman" w:hAnsi="Times New Roman" w:cs="Times New Roman"/>
                <w:sz w:val="24"/>
                <w:szCs w:val="24"/>
              </w:rPr>
              <w:t>2,495546</w:t>
            </w:r>
          </w:p>
          <w:p w14:paraId="4B441154" w14:textId="2F307D70" w:rsidR="005E4276" w:rsidRDefault="006D388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826995">
              <w:rPr>
                <w:rFonts w:ascii="Times New Roman" w:eastAsia="Times New Roman" w:hAnsi="Times New Roman" w:cs="Times New Roman"/>
                <w:sz w:val="24"/>
                <w:szCs w:val="24"/>
              </w:rPr>
              <w:t>287144</w:t>
            </w:r>
            <w:r>
              <w:rPr>
                <w:rFonts w:ascii="Times New Roman" w:eastAsia="Times New Roman" w:hAnsi="Times New Roman" w:cs="Times New Roman"/>
                <w:sz w:val="24"/>
                <w:szCs w:val="24"/>
              </w:rPr>
              <w:t>)</w:t>
            </w:r>
          </w:p>
        </w:tc>
      </w:tr>
      <w:tr w:rsidR="005E4276" w14:paraId="6FB1EE18" w14:textId="77777777" w:rsidTr="005E427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000000"/>
            </w:tcBorders>
            <w:shd w:val="clear" w:color="auto" w:fill="auto"/>
          </w:tcPr>
          <w:p w14:paraId="41A8E139" w14:textId="77777777"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Spécification</w:t>
            </w:r>
          </w:p>
        </w:tc>
        <w:tc>
          <w:tcPr>
            <w:tcW w:w="2551" w:type="dxa"/>
            <w:tcBorders>
              <w:bottom w:val="single" w:sz="12" w:space="0" w:color="000000"/>
            </w:tcBorders>
            <w:shd w:val="clear" w:color="auto" w:fill="auto"/>
          </w:tcPr>
          <w:p w14:paraId="06D51D47" w14:textId="77777777"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Ramsey</w:t>
            </w:r>
          </w:p>
        </w:tc>
        <w:tc>
          <w:tcPr>
            <w:tcW w:w="2126" w:type="dxa"/>
            <w:tcBorders>
              <w:bottom w:val="single" w:sz="12" w:space="0" w:color="000000"/>
            </w:tcBorders>
            <w:shd w:val="clear" w:color="auto" w:fill="auto"/>
          </w:tcPr>
          <w:p w14:paraId="38D0F0E7" w14:textId="7624BC84"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w:t>
            </w:r>
            <w:r w:rsidR="001C48E0">
              <w:rPr>
                <w:rFonts w:ascii="Times New Roman" w:eastAsia="Times New Roman" w:hAnsi="Times New Roman" w:cs="Times New Roman"/>
                <w:sz w:val="24"/>
                <w:szCs w:val="24"/>
              </w:rPr>
              <w:t>20181</w:t>
            </w:r>
          </w:p>
          <w:p w14:paraId="42B6AC07" w14:textId="583570F5" w:rsidR="005E4276" w:rsidRDefault="006D388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r w:rsidR="001C48E0">
              <w:rPr>
                <w:rFonts w:ascii="Times New Roman" w:eastAsia="Times New Roman" w:hAnsi="Times New Roman" w:cs="Times New Roman"/>
                <w:sz w:val="24"/>
                <w:szCs w:val="24"/>
              </w:rPr>
              <w:t>9051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tc>
        <w:tc>
          <w:tcPr>
            <w:tcW w:w="1984" w:type="dxa"/>
            <w:tcBorders>
              <w:bottom w:val="single" w:sz="12" w:space="0" w:color="000000"/>
            </w:tcBorders>
            <w:shd w:val="clear" w:color="auto" w:fill="auto"/>
          </w:tcPr>
          <w:p w14:paraId="74F267C6" w14:textId="7248F9EA"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0,736744</w:t>
            </w:r>
          </w:p>
          <w:p w14:paraId="128411F7" w14:textId="74A88A1A" w:rsidR="005E4276" w:rsidRDefault="006D38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(0,4658)</w:t>
            </w:r>
          </w:p>
        </w:tc>
      </w:tr>
    </w:tbl>
    <w:p w14:paraId="1CF6F0CB" w14:textId="7A8BE50F" w:rsidR="002301B5" w:rsidRDefault="00E1165A">
      <w:pPr>
        <w:spacing w:line="360" w:lineRule="auto"/>
        <w:jc w:val="both"/>
        <w:rPr>
          <w:rFonts w:ascii="Times New Roman" w:eastAsia="Times New Roman" w:hAnsi="Times New Roman" w:cs="Times New Roman"/>
          <w:sz w:val="20"/>
          <w:szCs w:val="20"/>
          <w:lang w:val="fr-FR"/>
        </w:rPr>
      </w:pPr>
      <w:r w:rsidRPr="00E1165A">
        <w:rPr>
          <w:rFonts w:ascii="Times New Roman" w:eastAsia="Times New Roman" w:hAnsi="Times New Roman" w:cs="Times New Roman"/>
          <w:b/>
          <w:bCs/>
          <w:sz w:val="20"/>
          <w:szCs w:val="20"/>
          <w:lang w:val="fr-FR"/>
        </w:rPr>
        <w:t>Sources :</w:t>
      </w:r>
      <w:r w:rsidR="006D388F" w:rsidRPr="00256989">
        <w:rPr>
          <w:rFonts w:ascii="Times New Roman" w:eastAsia="Times New Roman" w:hAnsi="Times New Roman" w:cs="Times New Roman"/>
          <w:sz w:val="20"/>
          <w:szCs w:val="20"/>
          <w:lang w:val="fr-FR"/>
        </w:rPr>
        <w:t xml:space="preserve"> Construit par l’auteur, les probabilités sont entre parenthèses</w:t>
      </w:r>
    </w:p>
    <w:p w14:paraId="0FBA93EE" w14:textId="77777777" w:rsidR="008458A2" w:rsidRDefault="008458A2">
      <w:pPr>
        <w:spacing w:line="360" w:lineRule="auto"/>
        <w:jc w:val="both"/>
        <w:rPr>
          <w:rFonts w:ascii="Times New Roman" w:eastAsia="Times New Roman" w:hAnsi="Times New Roman" w:cs="Times New Roman"/>
          <w:sz w:val="20"/>
          <w:szCs w:val="20"/>
          <w:lang w:val="fr-FR"/>
        </w:rPr>
      </w:pPr>
    </w:p>
    <w:p w14:paraId="02EE1D83" w14:textId="77777777" w:rsidR="00D90625" w:rsidRPr="008458A2" w:rsidRDefault="00D90625">
      <w:pPr>
        <w:spacing w:line="360" w:lineRule="auto"/>
        <w:jc w:val="both"/>
        <w:rPr>
          <w:rFonts w:ascii="Times New Roman" w:eastAsia="Times New Roman" w:hAnsi="Times New Roman" w:cs="Times New Roman"/>
          <w:sz w:val="20"/>
          <w:szCs w:val="20"/>
          <w:lang w:val="fr-FR"/>
        </w:rPr>
      </w:pPr>
    </w:p>
    <w:p w14:paraId="09FBCC11" w14:textId="54E04867" w:rsidR="002301B5" w:rsidRPr="008458A2" w:rsidRDefault="002301B5" w:rsidP="002301B5">
      <w:pPr>
        <w:numPr>
          <w:ilvl w:val="0"/>
          <w:numId w:val="17"/>
        </w:numPr>
        <w:pBdr>
          <w:top w:val="nil"/>
          <w:left w:val="nil"/>
          <w:bottom w:val="nil"/>
          <w:right w:val="nil"/>
          <w:between w:val="nil"/>
        </w:pBdr>
        <w:spacing w:line="360" w:lineRule="auto"/>
        <w:ind w:left="360"/>
        <w:jc w:val="both"/>
        <w:rPr>
          <w:rFonts w:ascii="Times New Roman" w:eastAsia="Times New Roman" w:hAnsi="Times New Roman" w:cs="Times New Roman"/>
          <w:b/>
          <w:bCs/>
          <w:color w:val="000000"/>
          <w:sz w:val="24"/>
          <w:szCs w:val="24"/>
          <w:lang w:val="fr-FR"/>
        </w:rPr>
      </w:pPr>
      <w:r w:rsidRPr="008458A2">
        <w:rPr>
          <w:rFonts w:ascii="Times New Roman" w:eastAsia="Times New Roman" w:hAnsi="Times New Roman" w:cs="Times New Roman"/>
          <w:b/>
          <w:bCs/>
          <w:color w:val="000000"/>
          <w:sz w:val="24"/>
          <w:szCs w:val="24"/>
          <w:lang w:val="fr-FR"/>
        </w:rPr>
        <w:t>Tests de robustesse selon la variable d’intérêt</w:t>
      </w:r>
    </w:p>
    <w:p w14:paraId="61B1988B" w14:textId="1B3B2BA9" w:rsidR="00730576" w:rsidRDefault="00730576"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Afin de vérifier la solidité de nos résultats, nous utilisons la Taxe sur la valeur ajoutée en pourcentage du PIB. Les résultats montrent que la TVA a un effet négatif sur </w:t>
      </w:r>
      <w:r w:rsidR="00AE5371">
        <w:rPr>
          <w:rFonts w:ascii="Times New Roman" w:eastAsia="Times New Roman" w:hAnsi="Times New Roman" w:cs="Times New Roman"/>
          <w:color w:val="000000"/>
          <w:sz w:val="24"/>
          <w:szCs w:val="24"/>
          <w:lang w:val="fr-FR"/>
        </w:rPr>
        <w:t>les dépenses rapportées aux logements, l’eau et l’électricité</w:t>
      </w:r>
      <w:r w:rsidR="00601959">
        <w:rPr>
          <w:rFonts w:ascii="Times New Roman" w:eastAsia="Times New Roman" w:hAnsi="Times New Roman" w:cs="Times New Roman"/>
          <w:color w:val="000000"/>
          <w:sz w:val="24"/>
          <w:szCs w:val="24"/>
          <w:lang w:val="fr-FR"/>
        </w:rPr>
        <w:t xml:space="preserve"> et un effet positif aux dépenses liées aux transports, communications et l’information</w:t>
      </w:r>
      <w:r w:rsidR="00AE5371">
        <w:rPr>
          <w:rFonts w:ascii="Times New Roman" w:eastAsia="Times New Roman" w:hAnsi="Times New Roman" w:cs="Times New Roman"/>
          <w:color w:val="000000"/>
          <w:sz w:val="24"/>
          <w:szCs w:val="24"/>
          <w:lang w:val="fr-FR"/>
        </w:rPr>
        <w:t>.</w:t>
      </w:r>
      <w:r w:rsidR="00601959">
        <w:rPr>
          <w:rFonts w:ascii="Times New Roman" w:eastAsia="Times New Roman" w:hAnsi="Times New Roman" w:cs="Times New Roman"/>
          <w:color w:val="000000"/>
          <w:sz w:val="24"/>
          <w:szCs w:val="24"/>
          <w:lang w:val="fr-FR"/>
        </w:rPr>
        <w:t xml:space="preserve"> En revanche à long terme,</w:t>
      </w:r>
      <w:r w:rsidR="00AE5371">
        <w:rPr>
          <w:rFonts w:ascii="Times New Roman" w:eastAsia="Times New Roman" w:hAnsi="Times New Roman" w:cs="Times New Roman"/>
          <w:color w:val="000000"/>
          <w:sz w:val="24"/>
          <w:szCs w:val="24"/>
          <w:lang w:val="fr-FR"/>
        </w:rPr>
        <w:t xml:space="preserve"> </w:t>
      </w:r>
      <w:r w:rsidR="00601959">
        <w:rPr>
          <w:rFonts w:ascii="Times New Roman" w:eastAsia="Times New Roman" w:hAnsi="Times New Roman" w:cs="Times New Roman"/>
          <w:color w:val="000000"/>
          <w:sz w:val="24"/>
          <w:szCs w:val="24"/>
          <w:lang w:val="fr-FR"/>
        </w:rPr>
        <w:t xml:space="preserve">la TVA n’a pas d’effet dans ces deux domaines. </w:t>
      </w:r>
      <w:r w:rsidR="00AE5371">
        <w:rPr>
          <w:rFonts w:ascii="Times New Roman" w:eastAsia="Times New Roman" w:hAnsi="Times New Roman" w:cs="Times New Roman"/>
          <w:color w:val="000000"/>
          <w:sz w:val="24"/>
          <w:szCs w:val="24"/>
          <w:lang w:val="fr-FR"/>
        </w:rPr>
        <w:t>Les résultats sont consignés dans le tableau 12</w:t>
      </w:r>
      <w:r w:rsidR="00601959">
        <w:rPr>
          <w:rFonts w:ascii="Times New Roman" w:eastAsia="Times New Roman" w:hAnsi="Times New Roman" w:cs="Times New Roman"/>
          <w:color w:val="000000"/>
          <w:sz w:val="24"/>
          <w:szCs w:val="24"/>
          <w:lang w:val="fr-FR"/>
        </w:rPr>
        <w:t xml:space="preserve"> et 13</w:t>
      </w:r>
    </w:p>
    <w:p w14:paraId="6E58C11E" w14:textId="77777777" w:rsidR="005B7B16" w:rsidRDefault="005B7B16"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fr-FR"/>
        </w:rPr>
      </w:pPr>
    </w:p>
    <w:p w14:paraId="2DE91771" w14:textId="77777777" w:rsidR="005B7B16" w:rsidRDefault="005B7B16"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fr-FR"/>
        </w:rPr>
      </w:pPr>
    </w:p>
    <w:p w14:paraId="4E63101E" w14:textId="77777777" w:rsidR="005B7B16" w:rsidRDefault="005B7B16"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fr-FR"/>
        </w:rPr>
      </w:pPr>
    </w:p>
    <w:p w14:paraId="6C89DA73" w14:textId="1E0AED75" w:rsidR="00E27E51" w:rsidRDefault="00327CFC"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lastRenderedPageBreak/>
        <w:t>Tableau 12</w:t>
      </w:r>
      <w:r w:rsidR="00D01797">
        <w:rPr>
          <w:rFonts w:ascii="Times New Roman" w:eastAsia="Times New Roman" w:hAnsi="Times New Roman" w:cs="Times New Roman"/>
          <w:color w:val="000000"/>
          <w:sz w:val="24"/>
          <w:szCs w:val="24"/>
          <w:lang w:val="fr-FR"/>
        </w:rPr>
        <w:t xml:space="preserve"> : Résultat</w:t>
      </w:r>
      <w:r>
        <w:rPr>
          <w:rFonts w:ascii="Times New Roman" w:eastAsia="Times New Roman" w:hAnsi="Times New Roman" w:cs="Times New Roman"/>
          <w:color w:val="000000"/>
          <w:sz w:val="24"/>
          <w:szCs w:val="24"/>
          <w:lang w:val="fr-FR"/>
        </w:rPr>
        <w:t xml:space="preserve"> à cour</w:t>
      </w:r>
      <w:r w:rsidR="00D01797">
        <w:rPr>
          <w:rFonts w:ascii="Times New Roman" w:eastAsia="Times New Roman" w:hAnsi="Times New Roman" w:cs="Times New Roman"/>
          <w:color w:val="000000"/>
          <w:sz w:val="24"/>
          <w:szCs w:val="24"/>
          <w:lang w:val="fr-FR"/>
        </w:rPr>
        <w:t>t</w:t>
      </w:r>
      <w:r>
        <w:rPr>
          <w:rFonts w:ascii="Times New Roman" w:eastAsia="Times New Roman" w:hAnsi="Times New Roman" w:cs="Times New Roman"/>
          <w:color w:val="000000"/>
          <w:sz w:val="24"/>
          <w:szCs w:val="24"/>
          <w:lang w:val="fr-FR"/>
        </w:rPr>
        <w:t xml:space="preserve"> </w:t>
      </w:r>
      <w:r w:rsidR="00E27E51">
        <w:rPr>
          <w:rFonts w:ascii="Times New Roman" w:eastAsia="Times New Roman" w:hAnsi="Times New Roman" w:cs="Times New Roman"/>
          <w:color w:val="000000"/>
          <w:sz w:val="24"/>
          <w:szCs w:val="24"/>
          <w:lang w:val="fr-FR"/>
        </w:rPr>
        <w:t xml:space="preserve">et long </w:t>
      </w:r>
      <w:r>
        <w:rPr>
          <w:rFonts w:ascii="Times New Roman" w:eastAsia="Times New Roman" w:hAnsi="Times New Roman" w:cs="Times New Roman"/>
          <w:color w:val="000000"/>
          <w:sz w:val="24"/>
          <w:szCs w:val="24"/>
          <w:lang w:val="fr-FR"/>
        </w:rPr>
        <w:t>terme</w:t>
      </w:r>
    </w:p>
    <w:tbl>
      <w:tblPr>
        <w:tblStyle w:val="TableauListe6Couleur"/>
        <w:tblW w:w="5185" w:type="dxa"/>
        <w:tblLayout w:type="fixed"/>
        <w:tblLook w:val="04A0" w:firstRow="1" w:lastRow="0" w:firstColumn="1" w:lastColumn="0" w:noHBand="0" w:noVBand="1"/>
      </w:tblPr>
      <w:tblGrid>
        <w:gridCol w:w="1909"/>
        <w:gridCol w:w="1607"/>
        <w:gridCol w:w="1669"/>
      </w:tblGrid>
      <w:tr w:rsidR="000B776B" w:rsidRPr="00E27E51" w14:paraId="1EEC7D8C" w14:textId="77777777" w:rsidTr="00600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Borders>
              <w:bottom w:val="single" w:sz="12" w:space="0" w:color="auto"/>
            </w:tcBorders>
            <w:shd w:val="clear" w:color="auto" w:fill="auto"/>
          </w:tcPr>
          <w:p w14:paraId="7873BE29" w14:textId="77777777" w:rsidR="000B776B" w:rsidRPr="00E27E51" w:rsidRDefault="000B776B"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Variable</w:t>
            </w:r>
          </w:p>
        </w:tc>
        <w:tc>
          <w:tcPr>
            <w:tcW w:w="1607" w:type="dxa"/>
            <w:tcBorders>
              <w:bottom w:val="single" w:sz="12" w:space="0" w:color="auto"/>
            </w:tcBorders>
            <w:shd w:val="clear" w:color="auto" w:fill="auto"/>
          </w:tcPr>
          <w:p w14:paraId="5F8D7045" w14:textId="77777777" w:rsidR="000B776B" w:rsidRPr="00E27E51" w:rsidRDefault="000B776B" w:rsidP="00E01C8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Groupe 3</w:t>
            </w:r>
          </w:p>
        </w:tc>
        <w:tc>
          <w:tcPr>
            <w:tcW w:w="1669" w:type="dxa"/>
            <w:tcBorders>
              <w:bottom w:val="single" w:sz="12" w:space="0" w:color="auto"/>
            </w:tcBorders>
            <w:shd w:val="clear" w:color="auto" w:fill="auto"/>
          </w:tcPr>
          <w:p w14:paraId="6A24C027" w14:textId="77777777" w:rsidR="000B776B" w:rsidRPr="00E27E51" w:rsidRDefault="000B776B" w:rsidP="00E01C8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Groupe 5</w:t>
            </w:r>
          </w:p>
        </w:tc>
      </w:tr>
      <w:tr w:rsidR="001322AF" w:rsidRPr="00E27E51" w14:paraId="0D3BF935" w14:textId="77777777" w:rsidTr="00600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Borders>
              <w:top w:val="single" w:sz="12" w:space="0" w:color="auto"/>
            </w:tcBorders>
            <w:shd w:val="clear" w:color="auto" w:fill="auto"/>
          </w:tcPr>
          <w:p w14:paraId="4BBB4A41" w14:textId="4BFEB3D0" w:rsidR="001322AF" w:rsidRPr="006003E6" w:rsidRDefault="001322AF" w:rsidP="00E01C8A">
            <w:pPr>
              <w:spacing w:line="360" w:lineRule="auto"/>
              <w:jc w:val="both"/>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A Court terme</w:t>
            </w:r>
          </w:p>
        </w:tc>
        <w:tc>
          <w:tcPr>
            <w:tcW w:w="1607" w:type="dxa"/>
            <w:tcBorders>
              <w:top w:val="single" w:sz="12" w:space="0" w:color="auto"/>
            </w:tcBorders>
            <w:shd w:val="clear" w:color="auto" w:fill="auto"/>
          </w:tcPr>
          <w:p w14:paraId="6B1C85AA" w14:textId="77777777" w:rsidR="001322AF" w:rsidRPr="00E27E51" w:rsidRDefault="001322AF"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69" w:type="dxa"/>
            <w:tcBorders>
              <w:top w:val="single" w:sz="12" w:space="0" w:color="auto"/>
            </w:tcBorders>
            <w:shd w:val="clear" w:color="auto" w:fill="auto"/>
          </w:tcPr>
          <w:p w14:paraId="4040B3BC" w14:textId="77777777" w:rsidR="001322AF" w:rsidRPr="00E27E51" w:rsidRDefault="001322AF"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B776B" w:rsidRPr="00E27E51" w14:paraId="019A02E6" w14:textId="77777777" w:rsidTr="006003E6">
        <w:trPr>
          <w:trHeight w:val="1013"/>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7199347B" w14:textId="0B2E7E63" w:rsidR="000B776B" w:rsidRPr="00E27E51" w:rsidRDefault="000B776B" w:rsidP="00E01C8A">
            <w:pPr>
              <w:spacing w:line="360" w:lineRule="auto"/>
              <w:jc w:val="both"/>
              <w:rPr>
                <w:rFonts w:ascii="Times New Roman" w:eastAsia="Times New Roman" w:hAnsi="Times New Roman" w:cs="Times New Roman"/>
                <w:b w:val="0"/>
                <w:bCs w:val="0"/>
                <w:sz w:val="20"/>
                <w:szCs w:val="20"/>
                <w:lang w:val="fr-FR"/>
              </w:rPr>
            </w:pPr>
            <w:r w:rsidRPr="00E27E51">
              <w:rPr>
                <w:rFonts w:ascii="Times New Roman" w:eastAsia="Times New Roman" w:hAnsi="Times New Roman" w:cs="Times New Roman"/>
                <w:sz w:val="20"/>
                <w:szCs w:val="20"/>
                <w:lang w:val="fr-FR"/>
              </w:rPr>
              <w:t>D(</w:t>
            </w:r>
            <w:r w:rsidRPr="00E27E51">
              <w:rPr>
                <w:rFonts w:ascii="Times New Roman" w:eastAsia="Times New Roman" w:hAnsi="Times New Roman" w:cs="Times New Roman"/>
                <w:b w:val="0"/>
                <w:bCs w:val="0"/>
                <w:sz w:val="20"/>
                <w:szCs w:val="20"/>
                <w:lang w:val="fr-FR"/>
              </w:rPr>
              <w:t>TVA en % du PIB)</w:t>
            </w:r>
          </w:p>
        </w:tc>
        <w:tc>
          <w:tcPr>
            <w:tcW w:w="1607" w:type="dxa"/>
            <w:shd w:val="clear" w:color="auto" w:fill="auto"/>
          </w:tcPr>
          <w:p w14:paraId="6F409F06" w14:textId="07BBAEA9" w:rsidR="000B776B" w:rsidRPr="00E27E51" w:rsidRDefault="00044A45" w:rsidP="00D017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0,788001</w:t>
            </w:r>
            <w:r w:rsidRPr="00E27E51">
              <w:rPr>
                <w:rFonts w:ascii="Times New Roman" w:eastAsia="Times New Roman" w:hAnsi="Times New Roman" w:cs="Times New Roman"/>
                <w:sz w:val="20"/>
                <w:szCs w:val="20"/>
                <w:vertAlign w:val="superscript"/>
              </w:rPr>
              <w:t>*</w:t>
            </w:r>
          </w:p>
          <w:p w14:paraId="3606CAEA" w14:textId="156CBDD7" w:rsidR="00044A45" w:rsidRPr="00E27E51" w:rsidRDefault="00044A45" w:rsidP="00D0179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(0,290794)</w:t>
            </w:r>
          </w:p>
          <w:p w14:paraId="1D21A257" w14:textId="3C839340" w:rsidR="000B776B" w:rsidRPr="00E27E51" w:rsidRDefault="000B776B"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69" w:type="dxa"/>
            <w:shd w:val="clear" w:color="auto" w:fill="auto"/>
          </w:tcPr>
          <w:p w14:paraId="74A9AE14" w14:textId="66B23E3B" w:rsidR="000B776B" w:rsidRPr="00E27E51" w:rsidRDefault="00044A45"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-1,050722</w:t>
            </w:r>
            <w:r w:rsidR="00AF5205" w:rsidRPr="00E27E51">
              <w:rPr>
                <w:rFonts w:ascii="Times New Roman" w:eastAsia="Times New Roman" w:hAnsi="Times New Roman" w:cs="Times New Roman"/>
                <w:sz w:val="20"/>
                <w:szCs w:val="20"/>
                <w:vertAlign w:val="superscript"/>
              </w:rPr>
              <w:t>**</w:t>
            </w:r>
          </w:p>
          <w:p w14:paraId="1573413A" w14:textId="3D907136" w:rsidR="00044A45" w:rsidRPr="00E27E51" w:rsidRDefault="00044A45"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(0,413646)</w:t>
            </w:r>
          </w:p>
        </w:tc>
      </w:tr>
      <w:tr w:rsidR="000B776B" w:rsidRPr="00E27E51" w14:paraId="50FF76ED" w14:textId="77777777" w:rsidTr="00600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0C6DE735" w14:textId="77777777" w:rsidR="000B776B" w:rsidRPr="00E27E51" w:rsidRDefault="000B776B"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D(Inflation)</w:t>
            </w:r>
          </w:p>
        </w:tc>
        <w:tc>
          <w:tcPr>
            <w:tcW w:w="1607" w:type="dxa"/>
            <w:shd w:val="clear" w:color="auto" w:fill="auto"/>
          </w:tcPr>
          <w:p w14:paraId="50C78D88" w14:textId="1DFE3BD6" w:rsidR="000B776B" w:rsidRPr="00E27E51" w:rsidRDefault="00044A4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0,001606</w:t>
            </w:r>
            <w:r w:rsidRPr="00E27E51">
              <w:rPr>
                <w:rFonts w:ascii="Times New Roman" w:eastAsia="Times New Roman" w:hAnsi="Times New Roman" w:cs="Times New Roman"/>
                <w:sz w:val="20"/>
                <w:szCs w:val="20"/>
                <w:vertAlign w:val="superscript"/>
              </w:rPr>
              <w:t>**</w:t>
            </w:r>
          </w:p>
          <w:p w14:paraId="41A4D615" w14:textId="1B7669C2" w:rsidR="00044A45" w:rsidRPr="00E27E51" w:rsidRDefault="00044A4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(0,00040)</w:t>
            </w:r>
          </w:p>
        </w:tc>
        <w:tc>
          <w:tcPr>
            <w:tcW w:w="1669" w:type="dxa"/>
            <w:shd w:val="clear" w:color="auto" w:fill="auto"/>
          </w:tcPr>
          <w:p w14:paraId="43DEAF7F" w14:textId="27CF9340" w:rsidR="000B776B" w:rsidRPr="00E27E51" w:rsidRDefault="000B776B"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B776B" w:rsidRPr="00E27E51" w14:paraId="3C169739" w14:textId="77777777" w:rsidTr="006003E6">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73824021" w14:textId="77777777" w:rsidR="000B776B" w:rsidRPr="00E27E51" w:rsidRDefault="000B776B"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D(Taux d’intérêt)</w:t>
            </w:r>
          </w:p>
        </w:tc>
        <w:tc>
          <w:tcPr>
            <w:tcW w:w="1607" w:type="dxa"/>
            <w:shd w:val="clear" w:color="auto" w:fill="auto"/>
          </w:tcPr>
          <w:p w14:paraId="073DFE2F" w14:textId="62F3ED10" w:rsidR="000B776B" w:rsidRPr="00E27E51" w:rsidRDefault="00044A45"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-0,000699</w:t>
            </w:r>
            <w:r w:rsidRPr="00E27E51">
              <w:rPr>
                <w:rFonts w:ascii="Times New Roman" w:eastAsia="Times New Roman" w:hAnsi="Times New Roman" w:cs="Times New Roman"/>
                <w:sz w:val="20"/>
                <w:szCs w:val="20"/>
                <w:vertAlign w:val="superscript"/>
              </w:rPr>
              <w:t>**</w:t>
            </w:r>
          </w:p>
          <w:p w14:paraId="1980BE15" w14:textId="5CDF9E1D" w:rsidR="00044A45" w:rsidRPr="00E27E51" w:rsidRDefault="00044A45"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(0,000153)</w:t>
            </w:r>
          </w:p>
        </w:tc>
        <w:tc>
          <w:tcPr>
            <w:tcW w:w="1669" w:type="dxa"/>
            <w:shd w:val="clear" w:color="auto" w:fill="auto"/>
          </w:tcPr>
          <w:p w14:paraId="53C58FFE" w14:textId="77777777" w:rsidR="000B776B" w:rsidRPr="00E27E51" w:rsidRDefault="000B776B"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0,000310</w:t>
            </w:r>
          </w:p>
          <w:p w14:paraId="26739B39" w14:textId="64C75CE2" w:rsidR="000B776B" w:rsidRPr="00E27E51" w:rsidRDefault="000B776B"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(0,000228)</w:t>
            </w:r>
          </w:p>
        </w:tc>
      </w:tr>
      <w:tr w:rsidR="000B776B" w:rsidRPr="00E27E51" w14:paraId="2415A9D8" w14:textId="77777777" w:rsidTr="00600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49B4446B" w14:textId="77777777" w:rsidR="000B776B" w:rsidRPr="00E27E51" w:rsidRDefault="000B776B"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D(Taux de chômage)</w:t>
            </w:r>
          </w:p>
        </w:tc>
        <w:tc>
          <w:tcPr>
            <w:tcW w:w="1607" w:type="dxa"/>
            <w:shd w:val="clear" w:color="auto" w:fill="auto"/>
          </w:tcPr>
          <w:p w14:paraId="1C9A341E" w14:textId="77777777" w:rsidR="000B776B" w:rsidRPr="00E27E51" w:rsidRDefault="00044A4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-0,01</w:t>
            </w:r>
            <w:r w:rsidR="00E0485A" w:rsidRPr="00E27E51">
              <w:rPr>
                <w:rFonts w:ascii="Times New Roman" w:eastAsia="Times New Roman" w:hAnsi="Times New Roman" w:cs="Times New Roman"/>
                <w:sz w:val="20"/>
                <w:szCs w:val="20"/>
              </w:rPr>
              <w:t>3057</w:t>
            </w:r>
          </w:p>
          <w:p w14:paraId="5864330E" w14:textId="7D0D4944" w:rsidR="00E0485A" w:rsidRPr="00E27E51" w:rsidRDefault="00E0485A"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(0,021980)</w:t>
            </w:r>
          </w:p>
        </w:tc>
        <w:tc>
          <w:tcPr>
            <w:tcW w:w="1669" w:type="dxa"/>
            <w:shd w:val="clear" w:color="auto" w:fill="auto"/>
          </w:tcPr>
          <w:p w14:paraId="4C5998EA" w14:textId="77777777" w:rsidR="000B776B" w:rsidRPr="00E27E51" w:rsidRDefault="00044A4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-0,043570</w:t>
            </w:r>
          </w:p>
          <w:p w14:paraId="1FE80BB4" w14:textId="11965578" w:rsidR="00044A45" w:rsidRPr="00E27E51" w:rsidRDefault="00044A4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(0,031698)</w:t>
            </w:r>
          </w:p>
        </w:tc>
      </w:tr>
      <w:tr w:rsidR="000B776B" w:rsidRPr="00E27E51" w14:paraId="6D2F7992" w14:textId="77777777" w:rsidTr="006003E6">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6E2198CF" w14:textId="77777777" w:rsidR="000B776B" w:rsidRPr="00E27E51" w:rsidRDefault="000B776B"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CointEq (-1)*</w:t>
            </w:r>
          </w:p>
        </w:tc>
        <w:tc>
          <w:tcPr>
            <w:tcW w:w="1607" w:type="dxa"/>
            <w:shd w:val="clear" w:color="auto" w:fill="auto"/>
          </w:tcPr>
          <w:p w14:paraId="029EC5D8" w14:textId="26B632F3" w:rsidR="000B776B" w:rsidRPr="00E27E51" w:rsidRDefault="00E0485A"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-0,268116</w:t>
            </w:r>
            <w:r w:rsidRPr="00E27E51">
              <w:rPr>
                <w:rFonts w:ascii="Times New Roman" w:eastAsia="Times New Roman" w:hAnsi="Times New Roman" w:cs="Times New Roman"/>
                <w:sz w:val="20"/>
                <w:szCs w:val="20"/>
                <w:vertAlign w:val="superscript"/>
              </w:rPr>
              <w:t>***</w:t>
            </w:r>
          </w:p>
          <w:p w14:paraId="184ADED7" w14:textId="20138C43" w:rsidR="00E0485A" w:rsidRPr="00E27E51" w:rsidRDefault="00E0485A"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(0,011386)</w:t>
            </w:r>
          </w:p>
        </w:tc>
        <w:tc>
          <w:tcPr>
            <w:tcW w:w="1669" w:type="dxa"/>
            <w:shd w:val="clear" w:color="auto" w:fill="auto"/>
          </w:tcPr>
          <w:p w14:paraId="5D0F7CE4" w14:textId="66D8A016" w:rsidR="000B776B" w:rsidRPr="00E27E51" w:rsidRDefault="000B776B"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-0,277857</w:t>
            </w:r>
            <w:r w:rsidRPr="00E27E51">
              <w:rPr>
                <w:rFonts w:ascii="Times New Roman" w:eastAsia="Times New Roman" w:hAnsi="Times New Roman" w:cs="Times New Roman"/>
                <w:sz w:val="20"/>
                <w:szCs w:val="20"/>
                <w:vertAlign w:val="superscript"/>
              </w:rPr>
              <w:t>***</w:t>
            </w:r>
          </w:p>
          <w:p w14:paraId="0FC3FF8D" w14:textId="708BD41C" w:rsidR="000B776B" w:rsidRPr="00E27E51" w:rsidRDefault="000B776B"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(0,017703)</w:t>
            </w:r>
          </w:p>
        </w:tc>
      </w:tr>
      <w:tr w:rsidR="00D90625" w:rsidRPr="00E27E51" w14:paraId="01C06FAC" w14:textId="77777777" w:rsidTr="00600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233367CA" w14:textId="63A8555D" w:rsidR="00D90625" w:rsidRPr="006003E6" w:rsidRDefault="00D90625" w:rsidP="00E01C8A">
            <w:pPr>
              <w:spacing w:line="360" w:lineRule="auto"/>
              <w:jc w:val="both"/>
              <w:rPr>
                <w:rFonts w:ascii="Times New Roman" w:eastAsia="Times New Roman" w:hAnsi="Times New Roman" w:cs="Times New Roman"/>
                <w:sz w:val="28"/>
                <w:szCs w:val="28"/>
              </w:rPr>
            </w:pPr>
            <w:r w:rsidRPr="006003E6">
              <w:rPr>
                <w:rFonts w:ascii="Times New Roman" w:eastAsia="Times New Roman" w:hAnsi="Times New Roman" w:cs="Times New Roman"/>
                <w:sz w:val="28"/>
                <w:szCs w:val="28"/>
              </w:rPr>
              <w:t>Lo</w:t>
            </w:r>
            <w:r w:rsidR="001322AF" w:rsidRPr="006003E6">
              <w:rPr>
                <w:rFonts w:ascii="Times New Roman" w:eastAsia="Times New Roman" w:hAnsi="Times New Roman" w:cs="Times New Roman"/>
                <w:sz w:val="28"/>
                <w:szCs w:val="28"/>
              </w:rPr>
              <w:t>ng terme</w:t>
            </w:r>
          </w:p>
        </w:tc>
        <w:tc>
          <w:tcPr>
            <w:tcW w:w="1607" w:type="dxa"/>
            <w:shd w:val="clear" w:color="auto" w:fill="auto"/>
          </w:tcPr>
          <w:p w14:paraId="06217911" w14:textId="77777777" w:rsidR="00D90625" w:rsidRPr="00E27E51" w:rsidRDefault="00D9062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69" w:type="dxa"/>
            <w:shd w:val="clear" w:color="auto" w:fill="auto"/>
          </w:tcPr>
          <w:p w14:paraId="4D2E3BFE" w14:textId="77777777" w:rsidR="00D90625" w:rsidRPr="00E27E51" w:rsidRDefault="00D90625" w:rsidP="00E01C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1322AF" w:rsidRPr="00E27E51" w14:paraId="46AA4A50" w14:textId="77777777" w:rsidTr="006003E6">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1E499C9A" w14:textId="1A352E74" w:rsidR="001322AF" w:rsidRPr="00E27E51" w:rsidRDefault="001322AF"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b w:val="0"/>
                <w:bCs w:val="0"/>
                <w:sz w:val="20"/>
                <w:szCs w:val="20"/>
                <w:lang w:val="fr-FR"/>
              </w:rPr>
              <w:t>TVA en% du PIB</w:t>
            </w:r>
          </w:p>
        </w:tc>
        <w:tc>
          <w:tcPr>
            <w:tcW w:w="1607" w:type="dxa"/>
            <w:shd w:val="clear" w:color="auto" w:fill="auto"/>
          </w:tcPr>
          <w:p w14:paraId="19E86711" w14:textId="77777777" w:rsidR="001322AF" w:rsidRPr="00E27E51" w:rsidRDefault="001322AF" w:rsidP="001322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-6,970942</w:t>
            </w:r>
          </w:p>
          <w:p w14:paraId="03C6C6AE" w14:textId="77777777" w:rsidR="001322AF" w:rsidRPr="00E27E51" w:rsidRDefault="001322AF" w:rsidP="001322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(5,293510)</w:t>
            </w:r>
          </w:p>
          <w:p w14:paraId="09099332" w14:textId="77777777" w:rsidR="001322AF" w:rsidRPr="00E27E51" w:rsidRDefault="001322AF" w:rsidP="00E01C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69" w:type="dxa"/>
            <w:shd w:val="clear" w:color="auto" w:fill="auto"/>
          </w:tcPr>
          <w:p w14:paraId="61BE9B26" w14:textId="77777777" w:rsidR="001322AF" w:rsidRPr="00E27E51" w:rsidRDefault="001322AF" w:rsidP="001322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2,470448</w:t>
            </w:r>
          </w:p>
          <w:p w14:paraId="4F609112" w14:textId="6852F8EA" w:rsidR="001322AF" w:rsidRPr="00E27E51" w:rsidRDefault="001322AF" w:rsidP="001322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(2,516881)</w:t>
            </w:r>
          </w:p>
        </w:tc>
      </w:tr>
      <w:tr w:rsidR="001322AF" w:rsidRPr="00E27E51" w14:paraId="05620CFF" w14:textId="77777777" w:rsidTr="00600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36E24B3A" w14:textId="55C98B65" w:rsidR="001322AF" w:rsidRPr="00E27E51" w:rsidRDefault="001322AF" w:rsidP="00E01C8A">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Inflation</w:t>
            </w:r>
          </w:p>
        </w:tc>
        <w:tc>
          <w:tcPr>
            <w:tcW w:w="1607" w:type="dxa"/>
            <w:shd w:val="clear" w:color="auto" w:fill="auto"/>
          </w:tcPr>
          <w:p w14:paraId="7E08B0C2" w14:textId="77777777" w:rsidR="001322AF" w:rsidRPr="00E27E51" w:rsidRDefault="001322AF" w:rsidP="001322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0,015051</w:t>
            </w:r>
            <w:r w:rsidRPr="00E27E51">
              <w:rPr>
                <w:rFonts w:ascii="Times New Roman" w:eastAsia="Times New Roman" w:hAnsi="Times New Roman" w:cs="Times New Roman"/>
                <w:sz w:val="20"/>
                <w:szCs w:val="20"/>
                <w:vertAlign w:val="superscript"/>
              </w:rPr>
              <w:t>**</w:t>
            </w:r>
          </w:p>
          <w:p w14:paraId="226CD154" w14:textId="2E71ECE0" w:rsidR="001322AF" w:rsidRPr="00E27E51" w:rsidRDefault="001322AF" w:rsidP="001322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(0,004128)</w:t>
            </w:r>
          </w:p>
        </w:tc>
        <w:tc>
          <w:tcPr>
            <w:tcW w:w="1669" w:type="dxa"/>
            <w:shd w:val="clear" w:color="auto" w:fill="auto"/>
          </w:tcPr>
          <w:p w14:paraId="7AF23E4A" w14:textId="77777777" w:rsidR="001322AF" w:rsidRPr="00E27E51" w:rsidRDefault="001322AF" w:rsidP="001322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-0,005837</w:t>
            </w:r>
            <w:r w:rsidRPr="00E27E51">
              <w:rPr>
                <w:rFonts w:ascii="Times New Roman" w:eastAsia="Times New Roman" w:hAnsi="Times New Roman" w:cs="Times New Roman"/>
                <w:sz w:val="20"/>
                <w:szCs w:val="20"/>
                <w:vertAlign w:val="superscript"/>
              </w:rPr>
              <w:t>**</w:t>
            </w:r>
          </w:p>
          <w:p w14:paraId="43A75483" w14:textId="3A4C870F" w:rsidR="001322AF" w:rsidRPr="00E27E51" w:rsidRDefault="001322AF" w:rsidP="001322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(0,001632)</w:t>
            </w:r>
          </w:p>
        </w:tc>
      </w:tr>
      <w:tr w:rsidR="00E27E51" w:rsidRPr="00E27E51" w14:paraId="1938E3E1" w14:textId="77777777" w:rsidTr="006003E6">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1D014F49" w14:textId="3B80C89A" w:rsidR="00E27E51" w:rsidRPr="00E27E51" w:rsidRDefault="00E27E51" w:rsidP="00E27E51">
            <w:pPr>
              <w:spacing w:line="360" w:lineRule="auto"/>
              <w:jc w:val="both"/>
              <w:rPr>
                <w:rFonts w:ascii="Times New Roman" w:eastAsia="Times New Roman" w:hAnsi="Times New Roman" w:cs="Times New Roman"/>
                <w:b w:val="0"/>
                <w:bCs w:val="0"/>
                <w:sz w:val="20"/>
                <w:szCs w:val="20"/>
              </w:rPr>
            </w:pPr>
            <w:r w:rsidRPr="00E27E51">
              <w:rPr>
                <w:rFonts w:ascii="Times New Roman" w:eastAsia="Times New Roman" w:hAnsi="Times New Roman" w:cs="Times New Roman"/>
                <w:sz w:val="20"/>
                <w:szCs w:val="20"/>
              </w:rPr>
              <w:t>Taux d’intérêt</w:t>
            </w:r>
          </w:p>
        </w:tc>
        <w:tc>
          <w:tcPr>
            <w:tcW w:w="1607" w:type="dxa"/>
            <w:shd w:val="clear" w:color="auto" w:fill="auto"/>
          </w:tcPr>
          <w:p w14:paraId="2FD2C03D" w14:textId="77777777"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-0,002976</w:t>
            </w:r>
          </w:p>
          <w:p w14:paraId="564B60BC" w14:textId="4325AD11"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(0,003504)</w:t>
            </w:r>
          </w:p>
        </w:tc>
        <w:tc>
          <w:tcPr>
            <w:tcW w:w="1669" w:type="dxa"/>
            <w:shd w:val="clear" w:color="auto" w:fill="auto"/>
          </w:tcPr>
          <w:p w14:paraId="7290F356" w14:textId="77777777"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0,006731</w:t>
            </w:r>
            <w:r w:rsidRPr="00E27E51">
              <w:rPr>
                <w:rFonts w:ascii="Times New Roman" w:eastAsia="Times New Roman" w:hAnsi="Times New Roman" w:cs="Times New Roman"/>
                <w:sz w:val="20"/>
                <w:szCs w:val="20"/>
                <w:vertAlign w:val="superscript"/>
              </w:rPr>
              <w:t>**</w:t>
            </w:r>
          </w:p>
          <w:p w14:paraId="24CAF580" w14:textId="3DD41ADC"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(0,002519)</w:t>
            </w:r>
          </w:p>
        </w:tc>
      </w:tr>
      <w:tr w:rsidR="00E27E51" w:rsidRPr="00E27E51" w14:paraId="58178140" w14:textId="77777777" w:rsidTr="00600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auto"/>
          </w:tcPr>
          <w:p w14:paraId="44CBF028" w14:textId="6CAF2CCD" w:rsidR="00E27E51" w:rsidRPr="00E27E51" w:rsidRDefault="00E27E51" w:rsidP="00E27E51">
            <w:pPr>
              <w:spacing w:line="360" w:lineRule="auto"/>
              <w:jc w:val="both"/>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Taux</w:t>
            </w:r>
            <w:r w:rsidRPr="00E27E51">
              <w:rPr>
                <w:rFonts w:ascii="Times New Roman" w:eastAsia="Times New Roman" w:hAnsi="Times New Roman" w:cs="Times New Roman"/>
                <w:b w:val="0"/>
                <w:bCs w:val="0"/>
                <w:sz w:val="20"/>
                <w:szCs w:val="20"/>
              </w:rPr>
              <w:t xml:space="preserve"> </w:t>
            </w:r>
            <w:r w:rsidRPr="00E27E51">
              <w:rPr>
                <w:rFonts w:ascii="Times New Roman" w:eastAsia="Times New Roman" w:hAnsi="Times New Roman" w:cs="Times New Roman"/>
                <w:sz w:val="20"/>
                <w:szCs w:val="20"/>
              </w:rPr>
              <w:t>de chômage</w:t>
            </w:r>
          </w:p>
        </w:tc>
        <w:tc>
          <w:tcPr>
            <w:tcW w:w="1607" w:type="dxa"/>
            <w:shd w:val="clear" w:color="auto" w:fill="auto"/>
          </w:tcPr>
          <w:p w14:paraId="386C3155" w14:textId="77777777" w:rsidR="00E27E51" w:rsidRPr="00E27E51" w:rsidRDefault="00E27E51" w:rsidP="00E2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-0,288325</w:t>
            </w:r>
            <w:r w:rsidRPr="00E27E51">
              <w:rPr>
                <w:rFonts w:ascii="Times New Roman" w:eastAsia="Times New Roman" w:hAnsi="Times New Roman" w:cs="Times New Roman"/>
                <w:sz w:val="20"/>
                <w:szCs w:val="20"/>
                <w:vertAlign w:val="superscript"/>
              </w:rPr>
              <w:t>**</w:t>
            </w:r>
          </w:p>
          <w:p w14:paraId="5EC916E8" w14:textId="29AD69F0" w:rsidR="00E27E51" w:rsidRPr="00E27E51" w:rsidRDefault="00E27E51" w:rsidP="00E2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(0,073628)</w:t>
            </w:r>
          </w:p>
        </w:tc>
        <w:tc>
          <w:tcPr>
            <w:tcW w:w="1669" w:type="dxa"/>
            <w:shd w:val="clear" w:color="auto" w:fill="auto"/>
          </w:tcPr>
          <w:p w14:paraId="751F51C6" w14:textId="77777777" w:rsidR="00E27E51" w:rsidRPr="00E27E51" w:rsidRDefault="00E27E51" w:rsidP="00E2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0,014461</w:t>
            </w:r>
          </w:p>
          <w:p w14:paraId="63809D18" w14:textId="4D9107E6" w:rsidR="00E27E51" w:rsidRPr="00E27E51" w:rsidRDefault="00E27E51" w:rsidP="00E2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(0,036571)</w:t>
            </w:r>
          </w:p>
        </w:tc>
      </w:tr>
      <w:tr w:rsidR="00E27E51" w:rsidRPr="00E27E51" w14:paraId="6BB21021" w14:textId="77777777" w:rsidTr="006003E6">
        <w:tc>
          <w:tcPr>
            <w:cnfStyle w:val="001000000000" w:firstRow="0" w:lastRow="0" w:firstColumn="1" w:lastColumn="0" w:oddVBand="0" w:evenVBand="0" w:oddHBand="0" w:evenHBand="0" w:firstRowFirstColumn="0" w:firstRowLastColumn="0" w:lastRowFirstColumn="0" w:lastRowLastColumn="0"/>
            <w:tcW w:w="1909" w:type="dxa"/>
            <w:tcBorders>
              <w:bottom w:val="single" w:sz="12" w:space="0" w:color="auto"/>
            </w:tcBorders>
            <w:shd w:val="clear" w:color="auto" w:fill="auto"/>
          </w:tcPr>
          <w:p w14:paraId="7A3FAF87" w14:textId="2921B95A" w:rsidR="00E27E51" w:rsidRPr="00E27E51" w:rsidRDefault="00E27E51" w:rsidP="00E27E51">
            <w:pPr>
              <w:spacing w:line="360" w:lineRule="auto"/>
              <w:jc w:val="both"/>
              <w:rPr>
                <w:rFonts w:ascii="Times New Roman" w:eastAsia="Times New Roman" w:hAnsi="Times New Roman" w:cs="Times New Roman"/>
                <w:sz w:val="20"/>
                <w:szCs w:val="20"/>
              </w:rPr>
            </w:pPr>
            <w:r w:rsidRPr="00E27E51">
              <w:rPr>
                <w:rFonts w:ascii="Times New Roman" w:eastAsia="Times New Roman" w:hAnsi="Times New Roman" w:cs="Times New Roman"/>
                <w:b w:val="0"/>
                <w:bCs w:val="0"/>
                <w:sz w:val="20"/>
                <w:szCs w:val="20"/>
              </w:rPr>
              <w:t>C</w:t>
            </w:r>
          </w:p>
        </w:tc>
        <w:tc>
          <w:tcPr>
            <w:tcW w:w="1607" w:type="dxa"/>
            <w:tcBorders>
              <w:bottom w:val="single" w:sz="12" w:space="0" w:color="auto"/>
            </w:tcBorders>
            <w:shd w:val="clear" w:color="auto" w:fill="auto"/>
          </w:tcPr>
          <w:p w14:paraId="35CE9A5D" w14:textId="77777777"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3,975089</w:t>
            </w:r>
            <w:r w:rsidRPr="00E27E51">
              <w:rPr>
                <w:rFonts w:ascii="Times New Roman" w:eastAsia="Times New Roman" w:hAnsi="Times New Roman" w:cs="Times New Roman"/>
                <w:sz w:val="20"/>
                <w:szCs w:val="20"/>
                <w:vertAlign w:val="superscript"/>
              </w:rPr>
              <w:t>***</w:t>
            </w:r>
          </w:p>
          <w:p w14:paraId="5204B8C7" w14:textId="77777777"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(0,180839)</w:t>
            </w:r>
          </w:p>
          <w:p w14:paraId="783DD5E3" w14:textId="77777777"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69" w:type="dxa"/>
            <w:tcBorders>
              <w:bottom w:val="single" w:sz="12" w:space="0" w:color="auto"/>
            </w:tcBorders>
            <w:shd w:val="clear" w:color="auto" w:fill="auto"/>
          </w:tcPr>
          <w:p w14:paraId="1853A8C9" w14:textId="77777777"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vertAlign w:val="superscript"/>
              </w:rPr>
            </w:pPr>
            <w:r w:rsidRPr="00E27E51">
              <w:rPr>
                <w:rFonts w:ascii="Times New Roman" w:eastAsia="Times New Roman" w:hAnsi="Times New Roman" w:cs="Times New Roman"/>
                <w:sz w:val="20"/>
                <w:szCs w:val="20"/>
              </w:rPr>
              <w:t>2,525280</w:t>
            </w:r>
            <w:r w:rsidRPr="00E27E51">
              <w:rPr>
                <w:rFonts w:ascii="Times New Roman" w:eastAsia="Times New Roman" w:hAnsi="Times New Roman" w:cs="Times New Roman"/>
                <w:sz w:val="20"/>
                <w:szCs w:val="20"/>
                <w:vertAlign w:val="superscript"/>
              </w:rPr>
              <w:t>***</w:t>
            </w:r>
          </w:p>
          <w:p w14:paraId="77434B70" w14:textId="5C7EE6DB" w:rsidR="00E27E51" w:rsidRPr="00E27E51" w:rsidRDefault="00E27E51" w:rsidP="00E2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27E51">
              <w:rPr>
                <w:rFonts w:ascii="Times New Roman" w:eastAsia="Times New Roman" w:hAnsi="Times New Roman" w:cs="Times New Roman"/>
                <w:sz w:val="20"/>
                <w:szCs w:val="20"/>
              </w:rPr>
              <w:t>(0,101478)</w:t>
            </w:r>
          </w:p>
        </w:tc>
      </w:tr>
    </w:tbl>
    <w:p w14:paraId="4E66DD8D" w14:textId="280B4A03" w:rsidR="00D01797" w:rsidRPr="00E27E51" w:rsidRDefault="00D01797"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lang w:val="fr-FR"/>
        </w:rPr>
      </w:pPr>
    </w:p>
    <w:p w14:paraId="59C8BEA9" w14:textId="77777777" w:rsidR="001322AF" w:rsidRPr="00E27E51" w:rsidRDefault="001322AF" w:rsidP="0073057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lang w:val="fr-FR"/>
        </w:rPr>
      </w:pPr>
    </w:p>
    <w:bookmarkEnd w:id="13"/>
    <w:p w14:paraId="6E7BF7A3" w14:textId="77777777" w:rsidR="00CB0354" w:rsidRDefault="00CB0354">
      <w:pPr>
        <w:spacing w:line="360" w:lineRule="auto"/>
        <w:jc w:val="both"/>
        <w:rPr>
          <w:rFonts w:ascii="Times New Roman" w:eastAsia="Times New Roman" w:hAnsi="Times New Roman" w:cs="Times New Roman"/>
          <w:sz w:val="20"/>
          <w:szCs w:val="20"/>
          <w:lang w:val="fr-FR"/>
        </w:rPr>
      </w:pPr>
    </w:p>
    <w:p w14:paraId="1203D486" w14:textId="77777777" w:rsidR="00CB0354" w:rsidRDefault="00CB0354">
      <w:pPr>
        <w:spacing w:line="360" w:lineRule="auto"/>
        <w:jc w:val="both"/>
        <w:rPr>
          <w:rFonts w:ascii="Times New Roman" w:eastAsia="Times New Roman" w:hAnsi="Times New Roman" w:cs="Times New Roman"/>
          <w:sz w:val="20"/>
          <w:szCs w:val="20"/>
          <w:lang w:val="fr-FR"/>
        </w:rPr>
      </w:pPr>
    </w:p>
    <w:p w14:paraId="2147BCAC" w14:textId="77777777" w:rsidR="00684891" w:rsidRDefault="00684891">
      <w:pPr>
        <w:spacing w:line="360" w:lineRule="auto"/>
        <w:jc w:val="both"/>
        <w:rPr>
          <w:rFonts w:ascii="Times New Roman" w:eastAsia="Times New Roman" w:hAnsi="Times New Roman" w:cs="Times New Roman"/>
          <w:sz w:val="20"/>
          <w:szCs w:val="20"/>
          <w:lang w:val="fr-FR"/>
        </w:rPr>
      </w:pPr>
    </w:p>
    <w:p w14:paraId="2B038F98" w14:textId="77777777" w:rsidR="0011706E" w:rsidRPr="00602478" w:rsidRDefault="0011706E">
      <w:pPr>
        <w:spacing w:line="360" w:lineRule="auto"/>
        <w:jc w:val="both"/>
        <w:rPr>
          <w:rFonts w:ascii="Times New Roman" w:eastAsia="Times New Roman" w:hAnsi="Times New Roman" w:cs="Times New Roman"/>
          <w:sz w:val="20"/>
          <w:szCs w:val="20"/>
          <w:lang w:val="fr-FR"/>
        </w:rPr>
      </w:pPr>
    </w:p>
    <w:p w14:paraId="5D6D0772" w14:textId="5C207F80" w:rsidR="005E4276" w:rsidRPr="00256989" w:rsidRDefault="006E46AD">
      <w:pPr>
        <w:spacing w:line="360" w:lineRule="auto"/>
        <w:jc w:val="both"/>
        <w:rPr>
          <w:rFonts w:ascii="Times New Roman" w:eastAsia="Times New Roman" w:hAnsi="Times New Roman" w:cs="Times New Roman"/>
          <w:b/>
          <w:sz w:val="28"/>
          <w:szCs w:val="28"/>
          <w:lang w:val="fr-FR"/>
        </w:rPr>
      </w:pPr>
      <w:r w:rsidRPr="00256989">
        <w:rPr>
          <w:rFonts w:ascii="Times New Roman" w:eastAsia="Times New Roman" w:hAnsi="Times New Roman" w:cs="Times New Roman"/>
          <w:b/>
          <w:sz w:val="28"/>
          <w:szCs w:val="28"/>
          <w:lang w:val="fr-FR"/>
        </w:rPr>
        <w:lastRenderedPageBreak/>
        <w:t>V.</w:t>
      </w:r>
      <w:r w:rsidR="00416B47" w:rsidRPr="00256989">
        <w:rPr>
          <w:rFonts w:ascii="Times New Roman" w:eastAsia="Times New Roman" w:hAnsi="Times New Roman" w:cs="Times New Roman"/>
          <w:b/>
          <w:sz w:val="28"/>
          <w:szCs w:val="28"/>
          <w:lang w:val="fr-FR"/>
        </w:rPr>
        <w:t xml:space="preserve"> </w:t>
      </w:r>
      <w:bookmarkStart w:id="14" w:name="_Hlk189837959"/>
      <w:r w:rsidR="006D388F" w:rsidRPr="00256989">
        <w:rPr>
          <w:rFonts w:ascii="Times New Roman" w:eastAsia="Times New Roman" w:hAnsi="Times New Roman" w:cs="Times New Roman"/>
          <w:b/>
          <w:sz w:val="28"/>
          <w:szCs w:val="28"/>
          <w:lang w:val="fr-FR"/>
        </w:rPr>
        <w:t>Conclusion et Implication des politiques économiques</w:t>
      </w:r>
      <w:bookmarkEnd w:id="14"/>
    </w:p>
    <w:p w14:paraId="3AC394A1" w14:textId="6AB64793" w:rsidR="005E4276" w:rsidRPr="00256989" w:rsidRDefault="006D388F">
      <w:pPr>
        <w:spacing w:line="360" w:lineRule="auto"/>
        <w:jc w:val="both"/>
        <w:rPr>
          <w:rFonts w:ascii="Times New Roman" w:eastAsia="Times New Roman" w:hAnsi="Times New Roman" w:cs="Times New Roman"/>
          <w:sz w:val="24"/>
          <w:szCs w:val="24"/>
          <w:lang w:val="fr-FR"/>
        </w:rPr>
      </w:pPr>
      <w:bookmarkStart w:id="15" w:name="_Hlk189838018"/>
      <w:r w:rsidRPr="00256989">
        <w:rPr>
          <w:rFonts w:ascii="Times New Roman" w:eastAsia="Times New Roman" w:hAnsi="Times New Roman" w:cs="Times New Roman"/>
          <w:sz w:val="24"/>
          <w:szCs w:val="24"/>
          <w:lang w:val="fr-FR"/>
        </w:rPr>
        <w:t xml:space="preserve">La politique fiscale est un levier essentiel utilisé par les gouvernements pour </w:t>
      </w:r>
      <w:r w:rsidR="00DD773E" w:rsidRPr="00256989">
        <w:rPr>
          <w:rFonts w:ascii="Times New Roman" w:eastAsia="Times New Roman" w:hAnsi="Times New Roman" w:cs="Times New Roman"/>
          <w:sz w:val="24"/>
          <w:szCs w:val="24"/>
          <w:lang w:val="fr-FR"/>
        </w:rPr>
        <w:t>mobiliser les ressources financières n</w:t>
      </w:r>
      <w:r w:rsidR="00305982" w:rsidRPr="00256989">
        <w:rPr>
          <w:rFonts w:ascii="Times New Roman" w:eastAsia="Times New Roman" w:hAnsi="Times New Roman" w:cs="Times New Roman"/>
          <w:sz w:val="24"/>
          <w:szCs w:val="24"/>
          <w:lang w:val="fr-FR"/>
        </w:rPr>
        <w:t>é</w:t>
      </w:r>
      <w:r w:rsidR="00DD773E" w:rsidRPr="00256989">
        <w:rPr>
          <w:rFonts w:ascii="Times New Roman" w:eastAsia="Times New Roman" w:hAnsi="Times New Roman" w:cs="Times New Roman"/>
          <w:sz w:val="24"/>
          <w:szCs w:val="24"/>
          <w:lang w:val="fr-FR"/>
        </w:rPr>
        <w:t xml:space="preserve">cessaires </w:t>
      </w:r>
      <w:r w:rsidR="005B2790">
        <w:rPr>
          <w:rFonts w:ascii="Times New Roman" w:eastAsia="Times New Roman" w:hAnsi="Times New Roman" w:cs="Times New Roman"/>
          <w:sz w:val="24"/>
          <w:szCs w:val="24"/>
          <w:lang w:val="fr-FR"/>
        </w:rPr>
        <w:t>afin d’atteindre</w:t>
      </w:r>
      <w:r w:rsidR="005B2790"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divers objectifs économiques et sociaux, tels que la stabilisation économique, la réduction des inégalités, la stimulation de la croissance. Par conséquent, le paiement des impôts est considéré comme un </w:t>
      </w:r>
      <w:r w:rsidR="005B2790">
        <w:rPr>
          <w:rFonts w:ascii="Times New Roman" w:eastAsia="Times New Roman" w:hAnsi="Times New Roman" w:cs="Times New Roman"/>
          <w:sz w:val="24"/>
          <w:szCs w:val="24"/>
          <w:lang w:val="fr-FR"/>
        </w:rPr>
        <w:t>devoir civique</w:t>
      </w:r>
      <w:r w:rsidRPr="00256989">
        <w:rPr>
          <w:rFonts w:ascii="Times New Roman" w:eastAsia="Times New Roman" w:hAnsi="Times New Roman" w:cs="Times New Roman"/>
          <w:sz w:val="24"/>
          <w:szCs w:val="24"/>
          <w:lang w:val="fr-FR"/>
        </w:rPr>
        <w:t xml:space="preserve"> pour chaque individu envers le gouvernement et est nécessaire pour financer ses activités et répondre aux besoins de la société. Toutefois, la fiscalité exerce une influence étendue sur l’ensemble de la production et joue un rôle crucial dans les décisions de consommation des ménages, que ce soit directement ou indirectement. </w:t>
      </w:r>
    </w:p>
    <w:p w14:paraId="59399660" w14:textId="03F50F39" w:rsidR="00F6763B" w:rsidRDefault="006D388F">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sz w:val="24"/>
          <w:szCs w:val="24"/>
          <w:lang w:val="fr-FR"/>
        </w:rPr>
        <w:t>La présente recherche a tenté d’analyser l’effet de la structure fiscale sur les dépenses de consommation finale des ménages au Burkina Faso. Il s’agi</w:t>
      </w:r>
      <w:r w:rsidR="00A32909" w:rsidRPr="00256989">
        <w:rPr>
          <w:rFonts w:ascii="Times New Roman" w:eastAsia="Times New Roman" w:hAnsi="Times New Roman" w:cs="Times New Roman"/>
          <w:sz w:val="24"/>
          <w:szCs w:val="24"/>
          <w:lang w:val="fr-FR"/>
        </w:rPr>
        <w:t>t</w:t>
      </w:r>
      <w:r w:rsidR="0098021E" w:rsidRPr="00256989">
        <w:rPr>
          <w:rFonts w:ascii="Times New Roman" w:eastAsia="Times New Roman" w:hAnsi="Times New Roman" w:cs="Times New Roman"/>
          <w:sz w:val="24"/>
          <w:szCs w:val="24"/>
          <w:lang w:val="fr-FR"/>
        </w:rPr>
        <w:t xml:space="preserve"> </w:t>
      </w:r>
      <w:r w:rsidRPr="00256989">
        <w:rPr>
          <w:rFonts w:ascii="Times New Roman" w:eastAsia="Times New Roman" w:hAnsi="Times New Roman" w:cs="Times New Roman"/>
          <w:sz w:val="24"/>
          <w:szCs w:val="24"/>
          <w:lang w:val="fr-FR"/>
        </w:rPr>
        <w:t xml:space="preserve">d’une part d’analyser l’effet de la taxe sur la valeur ajoutée (TVA) et </w:t>
      </w:r>
      <w:r w:rsidR="005B2790" w:rsidRPr="005B2790">
        <w:rPr>
          <w:rFonts w:ascii="Times New Roman" w:eastAsia="Times New Roman" w:hAnsi="Times New Roman" w:cs="Times New Roman"/>
          <w:sz w:val="24"/>
          <w:szCs w:val="24"/>
          <w:lang w:val="fr-FR"/>
        </w:rPr>
        <w:t>l’impôt</w:t>
      </w:r>
      <w:r w:rsidRPr="00256989">
        <w:rPr>
          <w:rFonts w:ascii="Times New Roman" w:eastAsia="Times New Roman" w:hAnsi="Times New Roman" w:cs="Times New Roman"/>
          <w:sz w:val="24"/>
          <w:szCs w:val="24"/>
          <w:lang w:val="fr-FR"/>
        </w:rPr>
        <w:t xml:space="preserve"> unique </w:t>
      </w:r>
      <w:r w:rsidR="00305982" w:rsidRPr="00256989">
        <w:rPr>
          <w:rFonts w:ascii="Times New Roman" w:eastAsia="Times New Roman" w:hAnsi="Times New Roman" w:cs="Times New Roman"/>
          <w:sz w:val="24"/>
          <w:szCs w:val="24"/>
          <w:lang w:val="fr-FR"/>
        </w:rPr>
        <w:t>sur les</w:t>
      </w:r>
      <w:r w:rsidRPr="00256989">
        <w:rPr>
          <w:rFonts w:ascii="Times New Roman" w:eastAsia="Times New Roman" w:hAnsi="Times New Roman" w:cs="Times New Roman"/>
          <w:sz w:val="24"/>
          <w:szCs w:val="24"/>
          <w:lang w:val="fr-FR"/>
        </w:rPr>
        <w:t xml:space="preserve"> traitement </w:t>
      </w:r>
      <w:r w:rsidR="00305982" w:rsidRPr="00256989">
        <w:rPr>
          <w:rFonts w:ascii="Times New Roman" w:eastAsia="Times New Roman" w:hAnsi="Times New Roman" w:cs="Times New Roman"/>
          <w:sz w:val="24"/>
          <w:szCs w:val="24"/>
          <w:lang w:val="fr-FR"/>
        </w:rPr>
        <w:t>et</w:t>
      </w:r>
      <w:r w:rsidRPr="00256989">
        <w:rPr>
          <w:rFonts w:ascii="Times New Roman" w:eastAsia="Times New Roman" w:hAnsi="Times New Roman" w:cs="Times New Roman"/>
          <w:sz w:val="24"/>
          <w:szCs w:val="24"/>
          <w:lang w:val="fr-FR"/>
        </w:rPr>
        <w:t xml:space="preserve"> salaires (IUTS) sur les dépenses de consommation finale des ménages dans son ensemble au Burkina Faso</w:t>
      </w:r>
      <w:r w:rsidR="00787572">
        <w:rPr>
          <w:rFonts w:ascii="Times New Roman" w:eastAsia="Times New Roman" w:hAnsi="Times New Roman" w:cs="Times New Roman"/>
          <w:sz w:val="24"/>
          <w:szCs w:val="24"/>
          <w:lang w:val="fr-FR"/>
        </w:rPr>
        <w:t xml:space="preserve"> et d</w:t>
      </w:r>
      <w:r w:rsidRPr="00256989">
        <w:rPr>
          <w:rFonts w:ascii="Times New Roman" w:eastAsia="Times New Roman" w:hAnsi="Times New Roman" w:cs="Times New Roman"/>
          <w:sz w:val="24"/>
          <w:szCs w:val="24"/>
          <w:lang w:val="fr-FR"/>
        </w:rPr>
        <w:t>’autre part</w:t>
      </w:r>
      <w:r w:rsidR="00A32909" w:rsidRPr="00256989">
        <w:rPr>
          <w:rFonts w:ascii="Times New Roman" w:eastAsia="Times New Roman" w:hAnsi="Times New Roman" w:cs="Times New Roman"/>
          <w:sz w:val="24"/>
          <w:szCs w:val="24"/>
          <w:lang w:val="fr-FR"/>
        </w:rPr>
        <w:t>, nous avons</w:t>
      </w:r>
      <w:r w:rsidRPr="00256989">
        <w:rPr>
          <w:rFonts w:ascii="Times New Roman" w:eastAsia="Times New Roman" w:hAnsi="Times New Roman" w:cs="Times New Roman"/>
          <w:sz w:val="24"/>
          <w:szCs w:val="24"/>
          <w:lang w:val="fr-FR"/>
        </w:rPr>
        <w:t xml:space="preserve"> analys</w:t>
      </w:r>
      <w:r w:rsidR="00A32909" w:rsidRPr="00256989">
        <w:rPr>
          <w:rFonts w:ascii="Times New Roman" w:eastAsia="Times New Roman" w:hAnsi="Times New Roman" w:cs="Times New Roman"/>
          <w:sz w:val="24"/>
          <w:szCs w:val="24"/>
          <w:lang w:val="fr-FR"/>
        </w:rPr>
        <w:t>é</w:t>
      </w:r>
      <w:r w:rsidRPr="00256989">
        <w:rPr>
          <w:rFonts w:ascii="Times New Roman" w:eastAsia="Times New Roman" w:hAnsi="Times New Roman" w:cs="Times New Roman"/>
          <w:sz w:val="24"/>
          <w:szCs w:val="24"/>
          <w:lang w:val="fr-FR"/>
        </w:rPr>
        <w:t xml:space="preserve"> l’effet de la TVA et l’IUTS sur les composantes des dépenses de consommation finale des ménages au Burkina Faso. Ces dépenses de consommation finale sont regroupées en cinq (5)</w:t>
      </w:r>
      <w:r w:rsidR="00A32909" w:rsidRPr="00256989">
        <w:rPr>
          <w:rFonts w:ascii="Times New Roman" w:eastAsia="Times New Roman" w:hAnsi="Times New Roman" w:cs="Times New Roman"/>
          <w:sz w:val="24"/>
          <w:szCs w:val="24"/>
          <w:lang w:val="fr-FR"/>
        </w:rPr>
        <w:t xml:space="preserve"> catégories</w:t>
      </w:r>
      <w:r w:rsidRPr="00256989">
        <w:rPr>
          <w:rFonts w:ascii="Times New Roman" w:eastAsia="Times New Roman" w:hAnsi="Times New Roman" w:cs="Times New Roman"/>
          <w:sz w:val="24"/>
          <w:szCs w:val="24"/>
          <w:lang w:val="fr-FR"/>
        </w:rPr>
        <w:t>. L</w:t>
      </w:r>
      <w:r w:rsidR="00A32909" w:rsidRPr="00256989">
        <w:rPr>
          <w:rFonts w:ascii="Times New Roman" w:eastAsia="Times New Roman" w:hAnsi="Times New Roman" w:cs="Times New Roman"/>
          <w:sz w:val="24"/>
          <w:szCs w:val="24"/>
          <w:lang w:val="fr-FR"/>
        </w:rPr>
        <w:t>a première catégorie</w:t>
      </w:r>
      <w:r w:rsidRPr="00256989">
        <w:rPr>
          <w:rFonts w:ascii="Times New Roman" w:eastAsia="Times New Roman" w:hAnsi="Times New Roman" w:cs="Times New Roman"/>
          <w:sz w:val="24"/>
          <w:szCs w:val="24"/>
          <w:lang w:val="fr-FR"/>
        </w:rPr>
        <w:t xml:space="preserve"> concerne les dépenses relatives </w:t>
      </w:r>
      <w:r w:rsidRPr="00256989">
        <w:rPr>
          <w:rFonts w:ascii="Times New Roman" w:eastAsia="Times New Roman" w:hAnsi="Times New Roman" w:cs="Times New Roman"/>
          <w:color w:val="000000"/>
          <w:sz w:val="24"/>
          <w:szCs w:val="24"/>
          <w:lang w:val="fr-FR"/>
        </w:rPr>
        <w:t xml:space="preserve">aux produits alimentaires et aux boissons non alcoolisées. Le deuxième groupe porte sur les dépenses liées aux boissons alcoolisées, aux tabacs et aux stupéfiants. Les dépenses </w:t>
      </w:r>
      <w:r w:rsidR="001C7865" w:rsidRPr="00256989">
        <w:rPr>
          <w:rFonts w:ascii="Times New Roman" w:eastAsia="Times New Roman" w:hAnsi="Times New Roman" w:cs="Times New Roman"/>
          <w:color w:val="000000"/>
          <w:sz w:val="24"/>
          <w:szCs w:val="24"/>
          <w:lang w:val="fr-FR"/>
        </w:rPr>
        <w:t xml:space="preserve">au transport, à l’information et à la communication </w:t>
      </w:r>
      <w:r w:rsidRPr="00256989">
        <w:rPr>
          <w:rFonts w:ascii="Times New Roman" w:eastAsia="Times New Roman" w:hAnsi="Times New Roman" w:cs="Times New Roman"/>
          <w:color w:val="000000"/>
          <w:sz w:val="24"/>
          <w:szCs w:val="24"/>
          <w:lang w:val="fr-FR"/>
        </w:rPr>
        <w:t xml:space="preserve">engagées sont enregistrées dans le troisième groupe. Les services </w:t>
      </w:r>
      <w:r w:rsidRPr="00256989">
        <w:rPr>
          <w:rFonts w:ascii="Times New Roman" w:eastAsia="Times New Roman" w:hAnsi="Times New Roman" w:cs="Times New Roman"/>
          <w:sz w:val="24"/>
          <w:szCs w:val="24"/>
          <w:lang w:val="fr-FR"/>
        </w:rPr>
        <w:t>d'éducation</w:t>
      </w:r>
      <w:r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sz w:val="24"/>
          <w:szCs w:val="24"/>
          <w:lang w:val="fr-FR"/>
        </w:rPr>
        <w:t>et de santé</w:t>
      </w:r>
      <w:r w:rsidRPr="00256989">
        <w:rPr>
          <w:rFonts w:ascii="Times New Roman" w:eastAsia="Times New Roman" w:hAnsi="Times New Roman" w:cs="Times New Roman"/>
          <w:color w:val="000000"/>
          <w:sz w:val="24"/>
          <w:szCs w:val="24"/>
          <w:lang w:val="fr-FR"/>
        </w:rPr>
        <w:t xml:space="preserve"> sont consignés dans le quatrième groupe tandis que les dépenses relatives </w:t>
      </w:r>
      <w:r w:rsidR="001C7865">
        <w:rPr>
          <w:rFonts w:ascii="Times New Roman" w:eastAsia="Times New Roman" w:hAnsi="Times New Roman" w:cs="Times New Roman"/>
          <w:color w:val="000000"/>
          <w:sz w:val="24"/>
          <w:szCs w:val="24"/>
          <w:lang w:val="fr-FR"/>
        </w:rPr>
        <w:t>au</w:t>
      </w:r>
      <w:r w:rsidR="001C7865" w:rsidRPr="00256989">
        <w:rPr>
          <w:rFonts w:ascii="Times New Roman" w:eastAsia="Times New Roman" w:hAnsi="Times New Roman" w:cs="Times New Roman"/>
          <w:color w:val="000000"/>
          <w:sz w:val="24"/>
          <w:szCs w:val="24"/>
          <w:lang w:val="fr-FR"/>
        </w:rPr>
        <w:t xml:space="preserve"> logement, l’eau, l’électricité, le gaz et autres combustibles </w:t>
      </w:r>
      <w:r w:rsidRPr="00256989">
        <w:rPr>
          <w:rFonts w:ascii="Times New Roman" w:eastAsia="Times New Roman" w:hAnsi="Times New Roman" w:cs="Times New Roman"/>
          <w:color w:val="000000"/>
          <w:sz w:val="24"/>
          <w:szCs w:val="24"/>
          <w:lang w:val="fr-FR"/>
        </w:rPr>
        <w:t>sont répertoriées dans le cinquième groupe.</w:t>
      </w:r>
      <w:r w:rsidR="00DE0E0D" w:rsidRPr="00256989">
        <w:rPr>
          <w:rFonts w:ascii="Times New Roman" w:eastAsia="Times New Roman" w:hAnsi="Times New Roman" w:cs="Times New Roman"/>
          <w:color w:val="000000"/>
          <w:sz w:val="24"/>
          <w:szCs w:val="24"/>
          <w:lang w:val="fr-FR"/>
        </w:rPr>
        <w:t xml:space="preserve"> </w:t>
      </w:r>
    </w:p>
    <w:p w14:paraId="7C29B3C2" w14:textId="0DA049BD" w:rsidR="005E4276" w:rsidRPr="00256989" w:rsidRDefault="00DE0E0D">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La recherche s'appuie sur des données trimestrielles couvrant la période de 2003 à 2021 pour analyser l'ensemble des dépenses de consommation finale des ménages au Burkina Faso, et sur des données de 2015 à 2021 concernant les différentes composantes de ces dépenses. </w:t>
      </w:r>
      <w:r w:rsidR="006D388F" w:rsidRPr="00256989">
        <w:rPr>
          <w:rFonts w:ascii="Times New Roman" w:eastAsia="Times New Roman" w:hAnsi="Times New Roman" w:cs="Times New Roman"/>
          <w:color w:val="000000"/>
          <w:sz w:val="24"/>
          <w:szCs w:val="24"/>
          <w:lang w:val="fr-FR"/>
        </w:rPr>
        <w:t>L’estimation a été réalisée par le Modèle Autorégressif à Retards Distribués (ARDL).</w:t>
      </w:r>
    </w:p>
    <w:p w14:paraId="66E2206C" w14:textId="433E1A52" w:rsidR="005E4276" w:rsidRPr="00256989" w:rsidRDefault="006D388F">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Nos résultats confirment que l’augmentation d’un IUTS </w:t>
      </w:r>
      <w:r w:rsidRPr="00256989">
        <w:rPr>
          <w:rFonts w:ascii="Times New Roman" w:eastAsia="Times New Roman" w:hAnsi="Times New Roman" w:cs="Times New Roman"/>
          <w:sz w:val="24"/>
          <w:szCs w:val="24"/>
          <w:lang w:val="fr-FR"/>
        </w:rPr>
        <w:t>entraîne</w:t>
      </w:r>
      <w:r w:rsidRPr="00256989">
        <w:rPr>
          <w:rFonts w:ascii="Times New Roman" w:eastAsia="Times New Roman" w:hAnsi="Times New Roman" w:cs="Times New Roman"/>
          <w:color w:val="000000"/>
          <w:sz w:val="24"/>
          <w:szCs w:val="24"/>
          <w:lang w:val="fr-FR"/>
        </w:rPr>
        <w:t xml:space="preserve"> une diminution des dépenses de consommation finale des ménages à court </w:t>
      </w:r>
      <w:r w:rsidR="004951A8">
        <w:rPr>
          <w:rFonts w:ascii="Times New Roman" w:eastAsia="Times New Roman" w:hAnsi="Times New Roman" w:cs="Times New Roman"/>
          <w:color w:val="000000"/>
          <w:sz w:val="24"/>
          <w:szCs w:val="24"/>
          <w:lang w:val="fr-FR"/>
        </w:rPr>
        <w:t>mais à long terme</w:t>
      </w:r>
      <w:r w:rsidR="00A10DC1">
        <w:rPr>
          <w:rFonts w:ascii="Times New Roman" w:eastAsia="Times New Roman" w:hAnsi="Times New Roman" w:cs="Times New Roman"/>
          <w:color w:val="000000"/>
          <w:sz w:val="24"/>
          <w:szCs w:val="24"/>
          <w:lang w:val="fr-FR"/>
        </w:rPr>
        <w:t xml:space="preserve">, </w:t>
      </w:r>
      <w:r w:rsidR="004951A8">
        <w:rPr>
          <w:rFonts w:ascii="Times New Roman" w:eastAsia="Times New Roman" w:hAnsi="Times New Roman" w:cs="Times New Roman"/>
          <w:color w:val="000000"/>
          <w:sz w:val="24"/>
          <w:szCs w:val="24"/>
          <w:lang w:val="fr-FR"/>
        </w:rPr>
        <w:t>il n’a pas d’influence sur ces dépenses</w:t>
      </w:r>
      <w:r w:rsidRPr="00256989">
        <w:rPr>
          <w:rFonts w:ascii="Times New Roman" w:eastAsia="Times New Roman" w:hAnsi="Times New Roman" w:cs="Times New Roman"/>
          <w:color w:val="000000"/>
          <w:sz w:val="24"/>
          <w:szCs w:val="24"/>
          <w:lang w:val="fr-FR"/>
        </w:rPr>
        <w:t xml:space="preserve">, lorsqu’on prend en compte l’ensemble des dépenses de consommation finale des </w:t>
      </w:r>
      <w:r w:rsidRPr="00256989">
        <w:rPr>
          <w:rFonts w:ascii="Times New Roman" w:eastAsia="Times New Roman" w:hAnsi="Times New Roman" w:cs="Times New Roman"/>
          <w:color w:val="000000"/>
          <w:sz w:val="24"/>
          <w:szCs w:val="24"/>
          <w:lang w:val="fr-FR"/>
        </w:rPr>
        <w:lastRenderedPageBreak/>
        <w:t xml:space="preserve">ménages. En </w:t>
      </w:r>
      <w:r w:rsidRPr="00256989">
        <w:rPr>
          <w:rFonts w:ascii="Times New Roman" w:eastAsia="Times New Roman" w:hAnsi="Times New Roman" w:cs="Times New Roman"/>
          <w:sz w:val="24"/>
          <w:szCs w:val="24"/>
          <w:lang w:val="fr-FR"/>
        </w:rPr>
        <w:t>revanche, la TVA</w:t>
      </w:r>
      <w:r w:rsidRPr="00256989">
        <w:rPr>
          <w:rFonts w:ascii="Times New Roman" w:eastAsia="Times New Roman" w:hAnsi="Times New Roman" w:cs="Times New Roman"/>
          <w:color w:val="000000"/>
          <w:sz w:val="24"/>
          <w:szCs w:val="24"/>
          <w:lang w:val="fr-FR"/>
        </w:rPr>
        <w:t xml:space="preserve"> a un effet négatif sur les dépenses de consommation finale des ménages à court </w:t>
      </w:r>
      <w:r w:rsidR="004951A8">
        <w:rPr>
          <w:rFonts w:ascii="Times New Roman" w:eastAsia="Times New Roman" w:hAnsi="Times New Roman" w:cs="Times New Roman"/>
          <w:color w:val="000000"/>
          <w:sz w:val="24"/>
          <w:szCs w:val="24"/>
          <w:lang w:val="fr-FR"/>
        </w:rPr>
        <w:t xml:space="preserve">et </w:t>
      </w:r>
      <w:r w:rsidRPr="00256989">
        <w:rPr>
          <w:rFonts w:ascii="Times New Roman" w:eastAsia="Times New Roman" w:hAnsi="Times New Roman" w:cs="Times New Roman"/>
          <w:color w:val="000000"/>
          <w:sz w:val="24"/>
          <w:szCs w:val="24"/>
          <w:lang w:val="fr-FR"/>
        </w:rPr>
        <w:t>long terme</w:t>
      </w:r>
      <w:r w:rsidR="004951A8">
        <w:rPr>
          <w:rFonts w:ascii="Times New Roman" w:eastAsia="Times New Roman" w:hAnsi="Times New Roman" w:cs="Times New Roman"/>
          <w:color w:val="000000"/>
          <w:sz w:val="24"/>
          <w:szCs w:val="24"/>
          <w:lang w:val="fr-FR"/>
        </w:rPr>
        <w:t>.</w:t>
      </w:r>
    </w:p>
    <w:p w14:paraId="6064DBDF" w14:textId="4D4F27E6" w:rsidR="00F6763B" w:rsidRDefault="006D388F">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Si nous tenons compte des différentes composantes des dépenses de consommation finale des ménages, il ressort qu’au Burkina Faso, à court terme, l’augmentation de la TVA </w:t>
      </w:r>
      <w:r w:rsidRPr="00256989">
        <w:rPr>
          <w:rFonts w:ascii="Times New Roman" w:eastAsia="Times New Roman" w:hAnsi="Times New Roman" w:cs="Times New Roman"/>
          <w:sz w:val="24"/>
          <w:szCs w:val="24"/>
          <w:lang w:val="fr-FR"/>
        </w:rPr>
        <w:t>entraîne</w:t>
      </w:r>
      <w:r w:rsidRPr="00256989">
        <w:rPr>
          <w:rFonts w:ascii="Times New Roman" w:eastAsia="Times New Roman" w:hAnsi="Times New Roman" w:cs="Times New Roman"/>
          <w:color w:val="000000"/>
          <w:sz w:val="24"/>
          <w:szCs w:val="24"/>
          <w:lang w:val="fr-FR"/>
        </w:rPr>
        <w:t xml:space="preserve"> une augmentation des dépenses de consommation finale liées aux produits alimentaires et boissons non alcoolisées ainsi que les dépenses </w:t>
      </w:r>
      <w:r w:rsidR="00F6763B">
        <w:rPr>
          <w:rFonts w:ascii="Times New Roman" w:eastAsia="Times New Roman" w:hAnsi="Times New Roman" w:cs="Times New Roman"/>
          <w:color w:val="000000"/>
          <w:sz w:val="24"/>
          <w:szCs w:val="24"/>
          <w:lang w:val="fr-FR"/>
        </w:rPr>
        <w:t>relatives</w:t>
      </w:r>
      <w:r w:rsidR="00F6763B"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 xml:space="preserve">aux boissons alcoolisées, </w:t>
      </w:r>
      <w:r w:rsidR="00F6763B">
        <w:rPr>
          <w:rFonts w:ascii="Times New Roman" w:eastAsia="Times New Roman" w:hAnsi="Times New Roman" w:cs="Times New Roman"/>
          <w:color w:val="000000"/>
          <w:sz w:val="24"/>
          <w:szCs w:val="24"/>
          <w:lang w:val="fr-FR"/>
        </w:rPr>
        <w:t>au</w:t>
      </w:r>
      <w:r w:rsidR="00F6763B"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 xml:space="preserve">tabac et </w:t>
      </w:r>
      <w:r w:rsidR="00F6763B">
        <w:rPr>
          <w:rFonts w:ascii="Times New Roman" w:eastAsia="Times New Roman" w:hAnsi="Times New Roman" w:cs="Times New Roman"/>
          <w:color w:val="000000"/>
          <w:sz w:val="24"/>
          <w:szCs w:val="24"/>
          <w:lang w:val="fr-FR"/>
        </w:rPr>
        <w:t>aux</w:t>
      </w:r>
      <w:r w:rsidR="00F6763B"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stupéfiants</w:t>
      </w:r>
      <w:r w:rsidR="00D81F17">
        <w:rPr>
          <w:rFonts w:ascii="Times New Roman" w:eastAsia="Times New Roman" w:hAnsi="Times New Roman" w:cs="Times New Roman"/>
          <w:color w:val="000000"/>
          <w:sz w:val="24"/>
          <w:szCs w:val="24"/>
          <w:lang w:val="fr-FR"/>
        </w:rPr>
        <w:t xml:space="preserve"> et les dépenses rapportés aux transports </w:t>
      </w:r>
      <w:r w:rsidRPr="00256989">
        <w:rPr>
          <w:rFonts w:ascii="Times New Roman" w:eastAsia="Times New Roman" w:hAnsi="Times New Roman" w:cs="Times New Roman"/>
          <w:color w:val="000000"/>
          <w:sz w:val="24"/>
          <w:szCs w:val="24"/>
          <w:lang w:val="fr-FR"/>
        </w:rPr>
        <w:t xml:space="preserve"> En revanche, cet effet est négatif sur les dépenses liées aux produits des groupes 4 et 5 </w:t>
      </w:r>
      <w:r w:rsidR="00F6763B">
        <w:rPr>
          <w:rFonts w:ascii="Times New Roman" w:eastAsia="Times New Roman" w:hAnsi="Times New Roman" w:cs="Times New Roman"/>
          <w:color w:val="000000"/>
          <w:sz w:val="24"/>
          <w:szCs w:val="24"/>
          <w:lang w:val="fr-FR"/>
        </w:rPr>
        <w:t>en</w:t>
      </w:r>
      <w:r w:rsidR="00F6763B"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4"/>
          <w:szCs w:val="24"/>
          <w:lang w:val="fr-FR"/>
        </w:rPr>
        <w:t xml:space="preserve">l’occurrence les logements, l’eau, l’électricité, le gaz et autres combustibles ainsi que la santé, l’éducation, la communication et l’information. </w:t>
      </w:r>
    </w:p>
    <w:p w14:paraId="746AD985" w14:textId="5DDCED9D" w:rsidR="00F017BC" w:rsidRDefault="00F017BC">
      <w:pPr>
        <w:spacing w:line="360" w:lineRule="auto"/>
        <w:jc w:val="both"/>
        <w:rPr>
          <w:rFonts w:ascii="Times New Roman" w:eastAsia="Times New Roman" w:hAnsi="Times New Roman" w:cs="Times New Roman"/>
          <w:color w:val="000000"/>
          <w:sz w:val="24"/>
          <w:szCs w:val="24"/>
          <w:lang w:val="fr-FR"/>
        </w:rPr>
      </w:pPr>
      <w:bookmarkStart w:id="16" w:name="_Hlk188609456"/>
      <w:r w:rsidRPr="00256989">
        <w:rPr>
          <w:rFonts w:ascii="Times New Roman" w:eastAsia="Times New Roman" w:hAnsi="Times New Roman" w:cs="Times New Roman"/>
          <w:color w:val="000000"/>
          <w:sz w:val="24"/>
          <w:szCs w:val="24"/>
          <w:lang w:val="fr-FR"/>
        </w:rPr>
        <w:t xml:space="preserve">A long terme, l’augmentation de la TVA </w:t>
      </w:r>
      <w:r w:rsidRPr="00256989">
        <w:rPr>
          <w:rFonts w:ascii="Times New Roman" w:eastAsia="Times New Roman" w:hAnsi="Times New Roman" w:cs="Times New Roman"/>
          <w:sz w:val="24"/>
          <w:szCs w:val="24"/>
          <w:lang w:val="fr-FR"/>
        </w:rPr>
        <w:t>entraîne</w:t>
      </w:r>
      <w:r w:rsidRPr="00256989">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toujours </w:t>
      </w:r>
      <w:r w:rsidRPr="00256989">
        <w:rPr>
          <w:rFonts w:ascii="Times New Roman" w:eastAsia="Times New Roman" w:hAnsi="Times New Roman" w:cs="Times New Roman"/>
          <w:color w:val="000000"/>
          <w:sz w:val="24"/>
          <w:szCs w:val="24"/>
          <w:lang w:val="fr-FR"/>
        </w:rPr>
        <w:t xml:space="preserve">une </w:t>
      </w:r>
      <w:r>
        <w:rPr>
          <w:rFonts w:ascii="Times New Roman" w:eastAsia="Times New Roman" w:hAnsi="Times New Roman" w:cs="Times New Roman"/>
          <w:color w:val="000000"/>
          <w:sz w:val="24"/>
          <w:szCs w:val="24"/>
          <w:lang w:val="fr-FR"/>
        </w:rPr>
        <w:t>hausse</w:t>
      </w:r>
      <w:r w:rsidRPr="00256989">
        <w:rPr>
          <w:rFonts w:ascii="Times New Roman" w:eastAsia="Times New Roman" w:hAnsi="Times New Roman" w:cs="Times New Roman"/>
          <w:color w:val="000000"/>
          <w:sz w:val="24"/>
          <w:szCs w:val="24"/>
          <w:lang w:val="fr-FR"/>
        </w:rPr>
        <w:t xml:space="preserve"> des dépenses liées aux produits alimentaires et les boissons non alcoolisées et </w:t>
      </w:r>
      <w:r>
        <w:rPr>
          <w:rFonts w:ascii="Times New Roman" w:eastAsia="Times New Roman" w:hAnsi="Times New Roman" w:cs="Times New Roman"/>
          <w:color w:val="000000"/>
          <w:sz w:val="24"/>
          <w:szCs w:val="24"/>
          <w:lang w:val="fr-FR"/>
        </w:rPr>
        <w:t xml:space="preserve">une diminution des dépenses rapportées à l’éducation et la santé. Contrairement à ces dépenses, la TVA n’a pas d’effet sur les dépenses concernant les boissons alcoolisés, tabacs, et les stupéfiants ainsi que les dépenses liées aux transports, communication et l’information, l’eau logement et l’électricité.  </w:t>
      </w:r>
      <w:bookmarkEnd w:id="16"/>
    </w:p>
    <w:p w14:paraId="0C02AE52" w14:textId="47EB96D9" w:rsidR="005E4276" w:rsidRDefault="006D388F">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En outre, en se basant sur l’IUTS, à court terme, l’augmentation de </w:t>
      </w:r>
      <w:r w:rsidR="00F6763B">
        <w:rPr>
          <w:rFonts w:ascii="Times New Roman" w:eastAsia="Times New Roman" w:hAnsi="Times New Roman" w:cs="Times New Roman"/>
          <w:color w:val="000000"/>
          <w:sz w:val="24"/>
          <w:szCs w:val="24"/>
          <w:lang w:val="fr-FR"/>
        </w:rPr>
        <w:t>cet impôt</w:t>
      </w:r>
      <w:r w:rsidR="00F6763B"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sz w:val="24"/>
          <w:szCs w:val="24"/>
          <w:lang w:val="fr-FR"/>
        </w:rPr>
        <w:t>entraîne</w:t>
      </w:r>
      <w:r w:rsidRPr="00256989">
        <w:rPr>
          <w:rFonts w:ascii="Times New Roman" w:eastAsia="Times New Roman" w:hAnsi="Times New Roman" w:cs="Times New Roman"/>
          <w:color w:val="000000"/>
          <w:sz w:val="24"/>
          <w:szCs w:val="24"/>
          <w:lang w:val="fr-FR"/>
        </w:rPr>
        <w:t xml:space="preserve"> une </w:t>
      </w:r>
      <w:r w:rsidR="001951A9">
        <w:rPr>
          <w:rFonts w:ascii="Times New Roman" w:eastAsia="Times New Roman" w:hAnsi="Times New Roman" w:cs="Times New Roman"/>
          <w:color w:val="000000"/>
          <w:sz w:val="24"/>
          <w:szCs w:val="24"/>
          <w:lang w:val="fr-FR"/>
        </w:rPr>
        <w:t>diminution des dépenses rapportées aux transports, communications et l’information</w:t>
      </w:r>
      <w:r w:rsidRPr="00256989">
        <w:rPr>
          <w:rFonts w:ascii="Times New Roman" w:eastAsia="Times New Roman" w:hAnsi="Times New Roman" w:cs="Times New Roman"/>
          <w:color w:val="000000"/>
          <w:sz w:val="24"/>
          <w:szCs w:val="24"/>
          <w:lang w:val="fr-FR"/>
        </w:rPr>
        <w:t xml:space="preserve">. Il en est de même pour les dépenses liées aux secteurs de la santé et à l’éducation, </w:t>
      </w:r>
      <w:r w:rsidR="001951A9">
        <w:rPr>
          <w:rFonts w:ascii="Times New Roman" w:eastAsia="Times New Roman" w:hAnsi="Times New Roman" w:cs="Times New Roman"/>
          <w:color w:val="000000"/>
          <w:sz w:val="24"/>
          <w:szCs w:val="24"/>
          <w:lang w:val="fr-FR"/>
        </w:rPr>
        <w:t>Par contre, sur les dépenses relatives aux logement, l’eau et l’électricité, cet effet est positif</w:t>
      </w:r>
      <w:r w:rsidR="008D5766">
        <w:rPr>
          <w:rFonts w:ascii="Times New Roman" w:eastAsia="Times New Roman" w:hAnsi="Times New Roman" w:cs="Times New Roman"/>
          <w:color w:val="000000"/>
          <w:sz w:val="24"/>
          <w:szCs w:val="24"/>
          <w:lang w:val="fr-FR"/>
        </w:rPr>
        <w:t xml:space="preserve"> et sur les produits alimentaires, il y’a pas d’</w:t>
      </w:r>
      <w:r w:rsidR="00622E60">
        <w:rPr>
          <w:rFonts w:ascii="Times New Roman" w:eastAsia="Times New Roman" w:hAnsi="Times New Roman" w:cs="Times New Roman"/>
          <w:color w:val="000000"/>
          <w:sz w:val="24"/>
          <w:szCs w:val="24"/>
          <w:lang w:val="fr-FR"/>
        </w:rPr>
        <w:t>effet. En revanche, l’IUTS n’a pas d’effet sur les dépenses liées au produits alimentaire, la santé et l’éducation mais reste toujours négatif sur les dépenses rapportées aux tabacs et boissons alcoolisées ainsi que celles liées aux transports, communication, et information.</w:t>
      </w:r>
    </w:p>
    <w:p w14:paraId="0AFEA639" w14:textId="63CC34A9" w:rsidR="00D71287" w:rsidRPr="00256989" w:rsidRDefault="00435AF1">
      <w:pPr>
        <w:spacing w:line="36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En conclusion, l’impôt unique et traitements sur les salaires a un effet plus ciblé. Il agit sur le revenu donc la structure du budget</w:t>
      </w:r>
      <w:r w:rsidR="000A6440">
        <w:rPr>
          <w:rFonts w:ascii="Times New Roman" w:eastAsia="Times New Roman" w:hAnsi="Times New Roman" w:cs="Times New Roman"/>
          <w:color w:val="000000"/>
          <w:sz w:val="24"/>
          <w:szCs w:val="24"/>
          <w:lang w:val="fr-FR"/>
        </w:rPr>
        <w:t xml:space="preserve"> affectant ainsi les ménages dont les membres perçoivent un salaire. Cela réduit leur revenu disponible mais son effet sur la consommation est plus direct. Tandis que la Taxe sur la valeur ajoutée agit sur les prix donc sur les décisions</w:t>
      </w:r>
      <w:r w:rsidR="004B2395">
        <w:rPr>
          <w:rFonts w:ascii="Times New Roman" w:eastAsia="Times New Roman" w:hAnsi="Times New Roman" w:cs="Times New Roman"/>
          <w:color w:val="000000"/>
          <w:sz w:val="24"/>
          <w:szCs w:val="24"/>
          <w:lang w:val="fr-FR"/>
        </w:rPr>
        <w:t xml:space="preserve"> de consommation influençant le coût de la vie</w:t>
      </w:r>
      <w:r w:rsidR="00795C22">
        <w:rPr>
          <w:rFonts w:ascii="Times New Roman" w:eastAsia="Times New Roman" w:hAnsi="Times New Roman" w:cs="Times New Roman"/>
          <w:color w:val="000000"/>
          <w:sz w:val="24"/>
          <w:szCs w:val="24"/>
          <w:lang w:val="fr-FR"/>
        </w:rPr>
        <w:t xml:space="preserve"> de tous les consommateurs</w:t>
      </w:r>
      <w:r w:rsidR="004B2395">
        <w:rPr>
          <w:rFonts w:ascii="Times New Roman" w:eastAsia="Times New Roman" w:hAnsi="Times New Roman" w:cs="Times New Roman"/>
          <w:color w:val="000000"/>
          <w:sz w:val="24"/>
          <w:szCs w:val="24"/>
          <w:lang w:val="fr-FR"/>
        </w:rPr>
        <w:t xml:space="preserve"> peu importe le niveau de leur </w:t>
      </w:r>
      <w:r w:rsidR="0011706E">
        <w:rPr>
          <w:rFonts w:ascii="Times New Roman" w:eastAsia="Times New Roman" w:hAnsi="Times New Roman" w:cs="Times New Roman"/>
          <w:color w:val="000000"/>
          <w:sz w:val="24"/>
          <w:szCs w:val="24"/>
          <w:lang w:val="fr-FR"/>
        </w:rPr>
        <w:t>revenu. Par conséquent, l’effet de la structure fiscale sur dépend du type d’impôts ainsi que le temps.</w:t>
      </w:r>
    </w:p>
    <w:p w14:paraId="4BD84F2A" w14:textId="301FF327" w:rsidR="005E4276" w:rsidRPr="00256989" w:rsidRDefault="00DB01E7">
      <w:pPr>
        <w:spacing w:line="360" w:lineRule="auto"/>
        <w:jc w:val="both"/>
        <w:rPr>
          <w:rFonts w:ascii="Times New Roman" w:eastAsia="Times New Roman" w:hAnsi="Times New Roman" w:cs="Times New Roman"/>
          <w:color w:val="000000"/>
          <w:sz w:val="24"/>
          <w:szCs w:val="24"/>
          <w:lang w:val="fr-FR"/>
        </w:rPr>
      </w:pPr>
      <w:r w:rsidRPr="00256989">
        <w:rPr>
          <w:rFonts w:ascii="Times New Roman" w:eastAsia="Times New Roman" w:hAnsi="Times New Roman" w:cs="Times New Roman"/>
          <w:color w:val="000000"/>
          <w:sz w:val="24"/>
          <w:szCs w:val="24"/>
          <w:lang w:val="fr-FR"/>
        </w:rPr>
        <w:t xml:space="preserve">A partir de ces </w:t>
      </w:r>
      <w:r w:rsidR="00A32909" w:rsidRPr="00256989">
        <w:rPr>
          <w:rFonts w:ascii="Times New Roman" w:eastAsia="Times New Roman" w:hAnsi="Times New Roman" w:cs="Times New Roman"/>
          <w:color w:val="000000"/>
          <w:sz w:val="24"/>
          <w:szCs w:val="24"/>
          <w:lang w:val="fr-FR"/>
        </w:rPr>
        <w:t>résultats</w:t>
      </w:r>
      <w:r w:rsidR="006D388F" w:rsidRPr="00256989">
        <w:rPr>
          <w:rFonts w:ascii="Times New Roman" w:eastAsia="Times New Roman" w:hAnsi="Times New Roman" w:cs="Times New Roman"/>
          <w:color w:val="000000"/>
          <w:sz w:val="24"/>
          <w:szCs w:val="24"/>
          <w:lang w:val="fr-FR"/>
        </w:rPr>
        <w:t xml:space="preserve">, </w:t>
      </w:r>
      <w:r w:rsidR="00E023D1">
        <w:rPr>
          <w:rFonts w:ascii="Times New Roman" w:eastAsia="Times New Roman" w:hAnsi="Times New Roman" w:cs="Times New Roman"/>
          <w:color w:val="000000"/>
          <w:sz w:val="24"/>
          <w:szCs w:val="24"/>
          <w:lang w:val="fr-FR"/>
        </w:rPr>
        <w:t xml:space="preserve">plusieurs </w:t>
      </w:r>
      <w:r w:rsidR="006D388F" w:rsidRPr="00256989">
        <w:rPr>
          <w:rFonts w:ascii="Times New Roman" w:eastAsia="Times New Roman" w:hAnsi="Times New Roman" w:cs="Times New Roman"/>
          <w:color w:val="000000"/>
          <w:sz w:val="24"/>
          <w:szCs w:val="24"/>
          <w:lang w:val="fr-FR"/>
        </w:rPr>
        <w:t xml:space="preserve">implications de politiques économiques peuvent être </w:t>
      </w:r>
      <w:r w:rsidR="00E023D1">
        <w:rPr>
          <w:rFonts w:ascii="Times New Roman" w:eastAsia="Times New Roman" w:hAnsi="Times New Roman" w:cs="Times New Roman"/>
          <w:color w:val="000000"/>
          <w:sz w:val="24"/>
          <w:szCs w:val="24"/>
          <w:lang w:val="fr-FR"/>
        </w:rPr>
        <w:t>envisagées. Tout d’abord, l</w:t>
      </w:r>
      <w:r w:rsidR="006D388F" w:rsidRPr="00256989">
        <w:rPr>
          <w:rFonts w:ascii="Times New Roman" w:eastAsia="Times New Roman" w:hAnsi="Times New Roman" w:cs="Times New Roman"/>
          <w:color w:val="000000"/>
          <w:sz w:val="24"/>
          <w:szCs w:val="24"/>
          <w:lang w:val="fr-FR"/>
        </w:rPr>
        <w:t xml:space="preserve">e gouvernement pourrait augmenter les salaires minima dans le but d’améliorer le </w:t>
      </w:r>
      <w:r w:rsidR="006D388F" w:rsidRPr="00256989">
        <w:rPr>
          <w:rFonts w:ascii="Times New Roman" w:eastAsia="Times New Roman" w:hAnsi="Times New Roman" w:cs="Times New Roman"/>
          <w:color w:val="000000"/>
          <w:sz w:val="24"/>
          <w:szCs w:val="24"/>
          <w:lang w:val="fr-FR"/>
        </w:rPr>
        <w:lastRenderedPageBreak/>
        <w:t>pouvoir d’achat des populations dans les pays à faible revenu</w:t>
      </w:r>
      <w:r w:rsidR="00E023D1">
        <w:rPr>
          <w:rFonts w:ascii="Times New Roman" w:eastAsia="Times New Roman" w:hAnsi="Times New Roman" w:cs="Times New Roman"/>
          <w:color w:val="000000"/>
          <w:sz w:val="24"/>
          <w:szCs w:val="24"/>
          <w:lang w:val="fr-FR"/>
        </w:rPr>
        <w:t>.</w:t>
      </w:r>
      <w:r w:rsidR="00E023D1" w:rsidRPr="00E023D1">
        <w:rPr>
          <w:rFonts w:ascii="Times New Roman" w:eastAsia="Times New Roman" w:hAnsi="Times New Roman" w:cs="Times New Roman"/>
          <w:sz w:val="24"/>
          <w:szCs w:val="24"/>
        </w:rPr>
        <w:t xml:space="preserve"> Par ailleurs, une réduction de la pression fiscale sur les ménages, accompagnée d’une baisse de la TVA sur les produits de première nécessité, permettrait de rendre ces biens plus accessibles et de stimuler la consommation</w:t>
      </w:r>
    </w:p>
    <w:p w14:paraId="2ED34909" w14:textId="72F66DDE" w:rsidR="005B07FA" w:rsidRDefault="006D388F">
      <w:pPr>
        <w:spacing w:line="360" w:lineRule="auto"/>
        <w:jc w:val="both"/>
        <w:rPr>
          <w:rFonts w:ascii="Times New Roman" w:eastAsia="Times New Roman" w:hAnsi="Times New Roman" w:cs="Times New Roman"/>
          <w:color w:val="000000"/>
          <w:sz w:val="24"/>
          <w:szCs w:val="24"/>
          <w:lang w:val="fr-FR"/>
        </w:rPr>
      </w:pPr>
      <w:bookmarkStart w:id="17" w:name="_heading=h.gjdgxs" w:colFirst="0" w:colLast="0"/>
      <w:bookmarkEnd w:id="17"/>
      <w:r w:rsidRPr="00256989">
        <w:rPr>
          <w:rFonts w:ascii="Times New Roman" w:eastAsia="Times New Roman" w:hAnsi="Times New Roman" w:cs="Times New Roman"/>
          <w:color w:val="000000"/>
          <w:sz w:val="24"/>
          <w:szCs w:val="24"/>
          <w:lang w:val="fr-FR"/>
        </w:rPr>
        <w:t>Plusieurs facteurs quantitatifs et qualitatifs influencent la consommation finale des ménages</w:t>
      </w:r>
      <w:r w:rsidRPr="00256989">
        <w:rPr>
          <w:rFonts w:ascii="Times New Roman" w:eastAsia="Times New Roman" w:hAnsi="Times New Roman" w:cs="Times New Roman"/>
          <w:sz w:val="24"/>
          <w:szCs w:val="24"/>
          <w:lang w:val="fr-FR"/>
        </w:rPr>
        <w:t>. Notre</w:t>
      </w:r>
      <w:r w:rsidRPr="00256989">
        <w:rPr>
          <w:rFonts w:ascii="Times New Roman" w:eastAsia="Times New Roman" w:hAnsi="Times New Roman" w:cs="Times New Roman"/>
          <w:color w:val="000000"/>
          <w:sz w:val="24"/>
          <w:szCs w:val="24"/>
          <w:lang w:val="fr-FR"/>
        </w:rPr>
        <w:t xml:space="preserve"> recherche pourrait être approfondie en analysant l’effet de la position sociale, le type d’activités sur les dépenses de consommation finale des ménages. </w:t>
      </w:r>
      <w:bookmarkEnd w:id="15"/>
    </w:p>
    <w:p w14:paraId="5A2ED23A" w14:textId="77777777" w:rsidR="00385606" w:rsidRPr="00385606" w:rsidRDefault="00385606">
      <w:pPr>
        <w:spacing w:line="360" w:lineRule="auto"/>
        <w:jc w:val="both"/>
        <w:rPr>
          <w:rFonts w:ascii="Times New Roman" w:eastAsia="Times New Roman" w:hAnsi="Times New Roman" w:cs="Times New Roman"/>
          <w:color w:val="000000"/>
          <w:sz w:val="24"/>
          <w:szCs w:val="24"/>
          <w:lang w:val="fr-FR"/>
        </w:rPr>
      </w:pPr>
    </w:p>
    <w:p w14:paraId="03B00730" w14:textId="77777777" w:rsidR="005E4276" w:rsidRDefault="005E4276">
      <w:pPr>
        <w:spacing w:line="360" w:lineRule="auto"/>
        <w:jc w:val="both"/>
        <w:rPr>
          <w:rFonts w:ascii="Times New Roman" w:eastAsia="Times New Roman" w:hAnsi="Times New Roman" w:cs="Times New Roman"/>
          <w:sz w:val="24"/>
          <w:szCs w:val="24"/>
          <w:lang w:val="fr-FR"/>
        </w:rPr>
      </w:pPr>
    </w:p>
    <w:p w14:paraId="1D3753FD" w14:textId="77777777" w:rsidR="00AB63D5" w:rsidRDefault="00AB63D5">
      <w:pPr>
        <w:spacing w:line="360" w:lineRule="auto"/>
        <w:jc w:val="both"/>
        <w:rPr>
          <w:rFonts w:ascii="Times New Roman" w:eastAsia="Times New Roman" w:hAnsi="Times New Roman" w:cs="Times New Roman"/>
          <w:sz w:val="24"/>
          <w:szCs w:val="24"/>
          <w:lang w:val="fr-FR"/>
        </w:rPr>
      </w:pPr>
    </w:p>
    <w:p w14:paraId="3AE1C8C5" w14:textId="77777777" w:rsidR="00D16626" w:rsidRDefault="00D16626">
      <w:pPr>
        <w:spacing w:line="360" w:lineRule="auto"/>
        <w:jc w:val="both"/>
        <w:rPr>
          <w:rFonts w:ascii="Times New Roman" w:eastAsia="Times New Roman" w:hAnsi="Times New Roman" w:cs="Times New Roman"/>
          <w:sz w:val="24"/>
          <w:szCs w:val="24"/>
          <w:lang w:val="fr-FR"/>
        </w:rPr>
      </w:pPr>
    </w:p>
    <w:p w14:paraId="643EB858" w14:textId="77777777" w:rsidR="00D16626" w:rsidRDefault="00D16626">
      <w:pPr>
        <w:spacing w:line="360" w:lineRule="auto"/>
        <w:jc w:val="both"/>
        <w:rPr>
          <w:rFonts w:ascii="Times New Roman" w:eastAsia="Times New Roman" w:hAnsi="Times New Roman" w:cs="Times New Roman"/>
          <w:sz w:val="24"/>
          <w:szCs w:val="24"/>
          <w:lang w:val="fr-FR"/>
        </w:rPr>
      </w:pPr>
    </w:p>
    <w:p w14:paraId="1EB6EC3A" w14:textId="77777777" w:rsidR="00D16626" w:rsidRDefault="00D16626">
      <w:pPr>
        <w:spacing w:line="360" w:lineRule="auto"/>
        <w:jc w:val="both"/>
        <w:rPr>
          <w:rFonts w:ascii="Times New Roman" w:eastAsia="Times New Roman" w:hAnsi="Times New Roman" w:cs="Times New Roman"/>
          <w:sz w:val="24"/>
          <w:szCs w:val="24"/>
          <w:lang w:val="fr-FR"/>
        </w:rPr>
      </w:pPr>
    </w:p>
    <w:p w14:paraId="5E499921" w14:textId="77777777" w:rsidR="00D16626" w:rsidRDefault="00D16626">
      <w:pPr>
        <w:spacing w:line="360" w:lineRule="auto"/>
        <w:jc w:val="both"/>
        <w:rPr>
          <w:rFonts w:ascii="Times New Roman" w:eastAsia="Times New Roman" w:hAnsi="Times New Roman" w:cs="Times New Roman"/>
          <w:sz w:val="24"/>
          <w:szCs w:val="24"/>
          <w:lang w:val="fr-FR"/>
        </w:rPr>
      </w:pPr>
    </w:p>
    <w:p w14:paraId="0E125F5C" w14:textId="77777777" w:rsidR="00D16626" w:rsidRDefault="00D16626">
      <w:pPr>
        <w:spacing w:line="360" w:lineRule="auto"/>
        <w:jc w:val="both"/>
        <w:rPr>
          <w:rFonts w:ascii="Times New Roman" w:eastAsia="Times New Roman" w:hAnsi="Times New Roman" w:cs="Times New Roman"/>
          <w:sz w:val="24"/>
          <w:szCs w:val="24"/>
          <w:lang w:val="fr-FR"/>
        </w:rPr>
      </w:pPr>
    </w:p>
    <w:p w14:paraId="7DFC34A3" w14:textId="77777777" w:rsidR="005B7B16" w:rsidRDefault="005B7B16">
      <w:pPr>
        <w:spacing w:line="360" w:lineRule="auto"/>
        <w:jc w:val="both"/>
        <w:rPr>
          <w:rFonts w:ascii="Times New Roman" w:eastAsia="Times New Roman" w:hAnsi="Times New Roman" w:cs="Times New Roman"/>
          <w:sz w:val="24"/>
          <w:szCs w:val="24"/>
          <w:lang w:val="fr-FR"/>
        </w:rPr>
      </w:pPr>
    </w:p>
    <w:p w14:paraId="6D581E1E" w14:textId="77777777" w:rsidR="005B7B16" w:rsidRDefault="005B7B16">
      <w:pPr>
        <w:spacing w:line="360" w:lineRule="auto"/>
        <w:jc w:val="both"/>
        <w:rPr>
          <w:rFonts w:ascii="Times New Roman" w:eastAsia="Times New Roman" w:hAnsi="Times New Roman" w:cs="Times New Roman"/>
          <w:sz w:val="24"/>
          <w:szCs w:val="24"/>
          <w:lang w:val="fr-FR"/>
        </w:rPr>
      </w:pPr>
    </w:p>
    <w:p w14:paraId="52CF514C" w14:textId="77777777" w:rsidR="005B7B16" w:rsidRDefault="005B7B16">
      <w:pPr>
        <w:spacing w:line="360" w:lineRule="auto"/>
        <w:jc w:val="both"/>
        <w:rPr>
          <w:rFonts w:ascii="Times New Roman" w:eastAsia="Times New Roman" w:hAnsi="Times New Roman" w:cs="Times New Roman"/>
          <w:sz w:val="24"/>
          <w:szCs w:val="24"/>
          <w:lang w:val="fr-FR"/>
        </w:rPr>
      </w:pPr>
    </w:p>
    <w:p w14:paraId="121746B7" w14:textId="77777777" w:rsidR="005B7B16" w:rsidRDefault="005B7B16">
      <w:pPr>
        <w:spacing w:line="360" w:lineRule="auto"/>
        <w:jc w:val="both"/>
        <w:rPr>
          <w:rFonts w:ascii="Times New Roman" w:eastAsia="Times New Roman" w:hAnsi="Times New Roman" w:cs="Times New Roman"/>
          <w:sz w:val="24"/>
          <w:szCs w:val="24"/>
          <w:lang w:val="fr-FR"/>
        </w:rPr>
      </w:pPr>
    </w:p>
    <w:p w14:paraId="0B32F798" w14:textId="77777777" w:rsidR="005B7B16" w:rsidRDefault="005B7B16">
      <w:pPr>
        <w:spacing w:line="360" w:lineRule="auto"/>
        <w:jc w:val="both"/>
        <w:rPr>
          <w:rFonts w:ascii="Times New Roman" w:eastAsia="Times New Roman" w:hAnsi="Times New Roman" w:cs="Times New Roman"/>
          <w:sz w:val="24"/>
          <w:szCs w:val="24"/>
          <w:lang w:val="fr-FR"/>
        </w:rPr>
      </w:pPr>
    </w:p>
    <w:p w14:paraId="6D46D933" w14:textId="77777777" w:rsidR="005B7B16" w:rsidRDefault="005B7B16">
      <w:pPr>
        <w:spacing w:line="360" w:lineRule="auto"/>
        <w:jc w:val="both"/>
        <w:rPr>
          <w:rFonts w:ascii="Times New Roman" w:eastAsia="Times New Roman" w:hAnsi="Times New Roman" w:cs="Times New Roman"/>
          <w:sz w:val="24"/>
          <w:szCs w:val="24"/>
          <w:lang w:val="fr-FR"/>
        </w:rPr>
      </w:pPr>
    </w:p>
    <w:p w14:paraId="00CDAF9A" w14:textId="77777777" w:rsidR="005B7B16" w:rsidRDefault="005B7B16">
      <w:pPr>
        <w:spacing w:line="360" w:lineRule="auto"/>
        <w:jc w:val="both"/>
        <w:rPr>
          <w:rFonts w:ascii="Times New Roman" w:eastAsia="Times New Roman" w:hAnsi="Times New Roman" w:cs="Times New Roman"/>
          <w:sz w:val="24"/>
          <w:szCs w:val="24"/>
          <w:lang w:val="fr-FR"/>
        </w:rPr>
      </w:pPr>
    </w:p>
    <w:p w14:paraId="54578765" w14:textId="77777777" w:rsidR="005B7B16" w:rsidRDefault="005B7B16">
      <w:pPr>
        <w:spacing w:line="360" w:lineRule="auto"/>
        <w:jc w:val="both"/>
        <w:rPr>
          <w:rFonts w:ascii="Times New Roman" w:eastAsia="Times New Roman" w:hAnsi="Times New Roman" w:cs="Times New Roman"/>
          <w:sz w:val="24"/>
          <w:szCs w:val="24"/>
          <w:lang w:val="fr-FR"/>
        </w:rPr>
      </w:pPr>
    </w:p>
    <w:p w14:paraId="3F0464E1" w14:textId="77777777" w:rsidR="005B7B16" w:rsidRDefault="005B7B16">
      <w:pPr>
        <w:spacing w:line="360" w:lineRule="auto"/>
        <w:jc w:val="both"/>
        <w:rPr>
          <w:rFonts w:ascii="Times New Roman" w:eastAsia="Times New Roman" w:hAnsi="Times New Roman" w:cs="Times New Roman"/>
          <w:sz w:val="24"/>
          <w:szCs w:val="24"/>
          <w:lang w:val="fr-FR"/>
        </w:rPr>
      </w:pPr>
    </w:p>
    <w:p w14:paraId="3DFEF6A1" w14:textId="77777777" w:rsidR="001419F9" w:rsidRPr="00256989" w:rsidRDefault="001419F9">
      <w:pPr>
        <w:spacing w:line="360" w:lineRule="auto"/>
        <w:jc w:val="both"/>
        <w:rPr>
          <w:rFonts w:ascii="Times New Roman" w:eastAsia="Times New Roman" w:hAnsi="Times New Roman" w:cs="Times New Roman"/>
          <w:sz w:val="24"/>
          <w:szCs w:val="24"/>
          <w:lang w:val="fr-FR"/>
        </w:rPr>
      </w:pPr>
    </w:p>
    <w:p w14:paraId="13106E1E" w14:textId="77777777" w:rsidR="005E4276" w:rsidRDefault="006D388F">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sz w:val="24"/>
          <w:szCs w:val="24"/>
        </w:rPr>
      </w:pPr>
      <w:bookmarkStart w:id="18" w:name="_Hlk190032585"/>
      <w:r>
        <w:rPr>
          <w:rFonts w:ascii="Times New Roman" w:eastAsia="Times New Roman" w:hAnsi="Times New Roman" w:cs="Times New Roman"/>
          <w:b/>
          <w:color w:val="000000"/>
          <w:sz w:val="24"/>
          <w:szCs w:val="24"/>
        </w:rPr>
        <w:lastRenderedPageBreak/>
        <w:t>BIBLIOGRAPHIE</w:t>
      </w:r>
    </w:p>
    <w:p w14:paraId="785D38C8" w14:textId="77777777" w:rsidR="005E4276" w:rsidRDefault="005E4276">
      <w:pPr>
        <w:pBdr>
          <w:top w:val="nil"/>
          <w:left w:val="nil"/>
          <w:bottom w:val="nil"/>
          <w:right w:val="nil"/>
          <w:between w:val="nil"/>
        </w:pBdr>
        <w:spacing w:after="0" w:line="480" w:lineRule="auto"/>
        <w:ind w:left="720" w:hanging="720"/>
        <w:rPr>
          <w:rFonts w:eastAsia="Calibri"/>
          <w:color w:val="000000"/>
        </w:rPr>
      </w:pPr>
    </w:p>
    <w:p w14:paraId="2B58403A" w14:textId="77777777" w:rsidR="005E4276" w:rsidRPr="002A4D83" w:rsidRDefault="006D388F" w:rsidP="002A4D83">
      <w:pPr>
        <w:spacing w:line="360" w:lineRule="auto"/>
        <w:jc w:val="both"/>
        <w:rPr>
          <w:rFonts w:ascii="Times New Roman" w:hAnsi="Times New Roman" w:cs="Times New Roman"/>
          <w:b/>
          <w:sz w:val="24"/>
          <w:szCs w:val="24"/>
        </w:rPr>
      </w:pPr>
      <w:r w:rsidRPr="002A4D83">
        <w:rPr>
          <w:rFonts w:ascii="Times New Roman" w:hAnsi="Times New Roman" w:cs="Times New Roman"/>
          <w:b/>
          <w:sz w:val="24"/>
          <w:szCs w:val="24"/>
        </w:rPr>
        <w:t xml:space="preserve">Adegbite, T. A. (2023) </w:t>
      </w:r>
      <w:r w:rsidRPr="002A4D83">
        <w:rPr>
          <w:rFonts w:ascii="Times New Roman" w:hAnsi="Times New Roman" w:cs="Times New Roman"/>
          <w:bCs/>
          <w:sz w:val="24"/>
          <w:szCs w:val="24"/>
        </w:rPr>
        <w:t>"Do the Consequence of Taxation Impact Household Consumptions in Nigeria? Absolute Outcome from Autoregressive Distributed Lag (ARDL)". South Asian Journal of Finance, 3(2). https://doi.org/10.4038/sajf.v3i2.65</w:t>
      </w:r>
    </w:p>
    <w:p w14:paraId="73A4B660" w14:textId="77777777" w:rsidR="005E4276" w:rsidRPr="002A4D83" w:rsidRDefault="006D388F" w:rsidP="002A4D83">
      <w:pPr>
        <w:spacing w:line="360" w:lineRule="auto"/>
        <w:jc w:val="both"/>
        <w:rPr>
          <w:rFonts w:ascii="Times New Roman" w:hAnsi="Times New Roman" w:cs="Times New Roman"/>
          <w:b/>
          <w:sz w:val="24"/>
          <w:szCs w:val="24"/>
        </w:rPr>
      </w:pPr>
      <w:r w:rsidRPr="002A4D83">
        <w:rPr>
          <w:rFonts w:ascii="Times New Roman" w:hAnsi="Times New Roman" w:cs="Times New Roman"/>
          <w:b/>
          <w:sz w:val="24"/>
          <w:szCs w:val="24"/>
        </w:rPr>
        <w:t xml:space="preserve">Ajibola, J. O., et Olowolaju, P. S. (2017) </w:t>
      </w:r>
      <w:r w:rsidRPr="002A4D83">
        <w:rPr>
          <w:rFonts w:ascii="Times New Roman" w:hAnsi="Times New Roman" w:cs="Times New Roman"/>
          <w:bCs/>
          <w:sz w:val="24"/>
          <w:szCs w:val="24"/>
        </w:rPr>
        <w:t>"Taxation and Its Influence on Household Consumption; The Nigerian Experience". IIARD International Journal of Economics and Business Management, 3(2).</w:t>
      </w:r>
    </w:p>
    <w:p w14:paraId="10F581C1" w14:textId="77777777" w:rsidR="005E4276" w:rsidRPr="002A4D83" w:rsidRDefault="006D388F" w:rsidP="002A4D83">
      <w:pPr>
        <w:spacing w:line="360" w:lineRule="auto"/>
        <w:jc w:val="both"/>
        <w:rPr>
          <w:rFonts w:ascii="Times New Roman" w:hAnsi="Times New Roman" w:cs="Times New Roman"/>
          <w:b/>
          <w:sz w:val="24"/>
          <w:szCs w:val="24"/>
        </w:rPr>
      </w:pPr>
      <w:r w:rsidRPr="002A4D83">
        <w:rPr>
          <w:rFonts w:ascii="Times New Roman" w:hAnsi="Times New Roman" w:cs="Times New Roman"/>
          <w:b/>
          <w:sz w:val="24"/>
          <w:szCs w:val="24"/>
        </w:rPr>
        <w:t>Alexander, M., et Gelardi, G. (2012)</w:t>
      </w:r>
      <w:r w:rsidRPr="002A4D83">
        <w:rPr>
          <w:rFonts w:ascii="Times New Roman" w:hAnsi="Times New Roman" w:cs="Times New Roman"/>
          <w:bCs/>
          <w:sz w:val="24"/>
          <w:szCs w:val="24"/>
        </w:rPr>
        <w:t>" Value Added Tax and Consumer Spending: A Graphical Descriptive Analysis". Asian Journal of Finance &amp; Accounting, 5(1), 1‑20. https://doi.org/10.5296/ajfa.v5i1.2762</w:t>
      </w:r>
    </w:p>
    <w:p w14:paraId="357F8CC6" w14:textId="77777777" w:rsidR="005E4276" w:rsidRPr="002A4D83" w:rsidRDefault="006D388F" w:rsidP="002A4D83">
      <w:pPr>
        <w:spacing w:line="360" w:lineRule="auto"/>
        <w:jc w:val="both"/>
        <w:rPr>
          <w:rFonts w:ascii="Times New Roman" w:hAnsi="Times New Roman" w:cs="Times New Roman"/>
          <w:b/>
          <w:sz w:val="24"/>
          <w:szCs w:val="24"/>
        </w:rPr>
      </w:pPr>
      <w:r w:rsidRPr="002A4D83">
        <w:rPr>
          <w:rFonts w:ascii="Times New Roman" w:hAnsi="Times New Roman" w:cs="Times New Roman"/>
          <w:b/>
          <w:sz w:val="24"/>
          <w:szCs w:val="24"/>
        </w:rPr>
        <w:t>Alm, J., et El-Ganainy, A. (2012)</w:t>
      </w:r>
      <w:r w:rsidRPr="002A4D83">
        <w:rPr>
          <w:rFonts w:ascii="Times New Roman" w:hAnsi="Times New Roman" w:cs="Times New Roman"/>
          <w:bCs/>
          <w:sz w:val="24"/>
          <w:szCs w:val="24"/>
        </w:rPr>
        <w:t xml:space="preserve"> " Value-added taxation and consumption". International Tax and Public Finance, 20(1), 105‑128. https://doi.org/10.1007/s10797-012-9217-0</w:t>
      </w:r>
    </w:p>
    <w:p w14:paraId="79486297" w14:textId="38A9A586" w:rsidR="005E4276" w:rsidRPr="002A4D83" w:rsidRDefault="006D388F" w:rsidP="002A4D83">
      <w:pPr>
        <w:spacing w:line="360" w:lineRule="auto"/>
        <w:jc w:val="both"/>
        <w:rPr>
          <w:rFonts w:ascii="Times New Roman" w:hAnsi="Times New Roman" w:cs="Times New Roman"/>
          <w:bCs/>
          <w:sz w:val="24"/>
          <w:szCs w:val="24"/>
        </w:rPr>
      </w:pPr>
      <w:r w:rsidRPr="002A4D83">
        <w:rPr>
          <w:rFonts w:ascii="Times New Roman" w:hAnsi="Times New Roman" w:cs="Times New Roman"/>
          <w:b/>
          <w:sz w:val="24"/>
          <w:szCs w:val="24"/>
        </w:rPr>
        <w:t xml:space="preserve">Bodart, V., Lambert, T., Ledent, P., et Scourneau, V. (2008) </w:t>
      </w:r>
      <w:r w:rsidRPr="002A4D83">
        <w:rPr>
          <w:rFonts w:ascii="Times New Roman" w:hAnsi="Times New Roman" w:cs="Times New Roman"/>
          <w:bCs/>
          <w:sz w:val="24"/>
          <w:szCs w:val="24"/>
        </w:rPr>
        <w:t xml:space="preserve">" Réductions d’impôts et consommation des ménages en </w:t>
      </w:r>
      <w:r w:rsidR="002A4D83" w:rsidRPr="002A4D83">
        <w:rPr>
          <w:rFonts w:ascii="Times New Roman" w:hAnsi="Times New Roman" w:cs="Times New Roman"/>
          <w:bCs/>
          <w:sz w:val="24"/>
          <w:szCs w:val="24"/>
        </w:rPr>
        <w:t>Belgique:</w:t>
      </w:r>
      <w:r w:rsidRPr="002A4D83">
        <w:rPr>
          <w:rFonts w:ascii="Times New Roman" w:hAnsi="Times New Roman" w:cs="Times New Roman"/>
          <w:bCs/>
          <w:sz w:val="24"/>
          <w:szCs w:val="24"/>
        </w:rPr>
        <w:t xml:space="preserve"> Une évaluation de l’impact de la réforme fiscale". In: Regards économiques, 62, 1‑16.</w:t>
      </w:r>
    </w:p>
    <w:p w14:paraId="68FB32D0" w14:textId="77777777" w:rsidR="005E4276" w:rsidRPr="002A4D83" w:rsidRDefault="006D388F" w:rsidP="002A4D83">
      <w:pPr>
        <w:spacing w:line="360" w:lineRule="auto"/>
        <w:jc w:val="both"/>
        <w:rPr>
          <w:rFonts w:ascii="Times New Roman" w:hAnsi="Times New Roman" w:cs="Times New Roman"/>
          <w:b/>
          <w:sz w:val="24"/>
          <w:szCs w:val="24"/>
        </w:rPr>
      </w:pPr>
      <w:r w:rsidRPr="002A4D83">
        <w:rPr>
          <w:rFonts w:ascii="Times New Roman" w:hAnsi="Times New Roman" w:cs="Times New Roman"/>
          <w:b/>
          <w:sz w:val="24"/>
          <w:szCs w:val="24"/>
        </w:rPr>
        <w:t>Brown, R. L., Durbin, J., et Evans, J. M. (1975)</w:t>
      </w:r>
      <w:r w:rsidRPr="002A4D83">
        <w:rPr>
          <w:rFonts w:ascii="Times New Roman" w:hAnsi="Times New Roman" w:cs="Times New Roman"/>
          <w:bCs/>
          <w:sz w:val="24"/>
          <w:szCs w:val="24"/>
        </w:rPr>
        <w:t>" Techniques for Testing the Constancy of Regression Relationships over Time". Journal of the Royal Statistical Society. Series B (Methodological), 37(2), 149‑192.</w:t>
      </w:r>
    </w:p>
    <w:p w14:paraId="07D94E6D" w14:textId="0DE3FC42" w:rsidR="005E4276" w:rsidRPr="002A4D83" w:rsidRDefault="006D388F" w:rsidP="002A4D83">
      <w:pPr>
        <w:spacing w:line="360" w:lineRule="auto"/>
        <w:jc w:val="both"/>
        <w:rPr>
          <w:rFonts w:ascii="Times New Roman" w:hAnsi="Times New Roman" w:cs="Times New Roman"/>
          <w:bCs/>
          <w:sz w:val="24"/>
          <w:szCs w:val="24"/>
        </w:rPr>
      </w:pPr>
      <w:r w:rsidRPr="002A4D83">
        <w:rPr>
          <w:rFonts w:ascii="Times New Roman" w:hAnsi="Times New Roman" w:cs="Times New Roman"/>
          <w:b/>
          <w:sz w:val="24"/>
          <w:szCs w:val="24"/>
        </w:rPr>
        <w:t>Bumpei (2011)</w:t>
      </w:r>
      <w:r w:rsidRPr="002A4D83">
        <w:rPr>
          <w:rFonts w:ascii="Times New Roman" w:hAnsi="Times New Roman" w:cs="Times New Roman"/>
          <w:bCs/>
          <w:sz w:val="24"/>
          <w:szCs w:val="24"/>
        </w:rPr>
        <w:t>" The effect of the VAT rate change on aggregate consumption and economic growth"</w:t>
      </w:r>
      <w:r w:rsidR="00747591" w:rsidRPr="002A4D83">
        <w:rPr>
          <w:rFonts w:ascii="Times New Roman" w:hAnsi="Times New Roman" w:cs="Times New Roman"/>
          <w:bCs/>
          <w:sz w:val="24"/>
          <w:szCs w:val="24"/>
        </w:rPr>
        <w:t xml:space="preserve"> </w:t>
      </w:r>
      <w:r w:rsidRPr="002A4D83">
        <w:rPr>
          <w:rFonts w:ascii="Times New Roman" w:hAnsi="Times New Roman" w:cs="Times New Roman"/>
          <w:bCs/>
          <w:sz w:val="24"/>
          <w:szCs w:val="24"/>
        </w:rPr>
        <w:t>CJEB Working Paper</w:t>
      </w:r>
    </w:p>
    <w:p w14:paraId="36A25E8D" w14:textId="77777777" w:rsidR="005E4276" w:rsidRPr="002A4D83" w:rsidRDefault="006D388F" w:rsidP="002A4D83">
      <w:pPr>
        <w:spacing w:line="360" w:lineRule="auto"/>
        <w:jc w:val="both"/>
        <w:rPr>
          <w:rFonts w:ascii="Times New Roman" w:hAnsi="Times New Roman" w:cs="Times New Roman"/>
          <w:bCs/>
          <w:sz w:val="24"/>
          <w:szCs w:val="24"/>
        </w:rPr>
      </w:pPr>
      <w:r w:rsidRPr="002A4D83">
        <w:rPr>
          <w:rFonts w:ascii="Times New Roman" w:hAnsi="Times New Roman" w:cs="Times New Roman"/>
          <w:b/>
          <w:sz w:val="24"/>
          <w:szCs w:val="24"/>
        </w:rPr>
        <w:t xml:space="preserve">Decoster, A., Loughrey, J., O’Donoghue, C., et Verwerft, D. (2009). </w:t>
      </w:r>
      <w:r w:rsidRPr="002A4D83">
        <w:rPr>
          <w:rFonts w:ascii="Times New Roman" w:hAnsi="Times New Roman" w:cs="Times New Roman"/>
          <w:bCs/>
          <w:sz w:val="24"/>
          <w:szCs w:val="24"/>
        </w:rPr>
        <w:t>"Incidence and Welfare Effects of Indirect Taxes".</w:t>
      </w:r>
    </w:p>
    <w:p w14:paraId="0E120E7C" w14:textId="661C98C6"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 xml:space="preserve">Diamond, J. W., et Zodrow, G. R. (2008) </w:t>
      </w:r>
      <w:r w:rsidRPr="009A7496">
        <w:rPr>
          <w:rFonts w:ascii="Times New Roman" w:hAnsi="Times New Roman" w:cs="Times New Roman"/>
          <w:bCs/>
          <w:sz w:val="24"/>
          <w:szCs w:val="24"/>
        </w:rPr>
        <w:t>"Fundamental tax reform: Issues, choices, and implications." MIT Press.</w:t>
      </w:r>
    </w:p>
    <w:p w14:paraId="65C2548E"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lastRenderedPageBreak/>
        <w:t xml:space="preserve">Dickey, D. A., et Fuller, W. A. (1979) </w:t>
      </w:r>
      <w:r w:rsidRPr="009A7496">
        <w:rPr>
          <w:rFonts w:ascii="Times New Roman" w:hAnsi="Times New Roman" w:cs="Times New Roman"/>
          <w:bCs/>
          <w:sz w:val="24"/>
          <w:szCs w:val="24"/>
        </w:rPr>
        <w:t>"Distribution of the Estimators for Autoregressive Time Series With a Unit Root". Journal of the American Statistical Association, 74(366), 427. https://doi.org/10.2307/2286348</w:t>
      </w:r>
    </w:p>
    <w:p w14:paraId="6B32BD8D"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Dickey, D. A., et Fuller, W. A. (1981</w:t>
      </w:r>
      <w:r w:rsidRPr="009A7496">
        <w:rPr>
          <w:rFonts w:ascii="Times New Roman" w:hAnsi="Times New Roman" w:cs="Times New Roman"/>
          <w:bCs/>
          <w:sz w:val="24"/>
          <w:szCs w:val="24"/>
        </w:rPr>
        <w:t>)"Likelihood Ratio Statistics for Autoregressive Time Series with a Unit Root". Econometrica, 49(4), 1057. https://doi.org/10.2307/1912517</w:t>
      </w:r>
    </w:p>
    <w:p w14:paraId="149EAEA1" w14:textId="11BE5ED0"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 xml:space="preserve">Duesenberry, J. S. (1949). </w:t>
      </w:r>
      <w:r w:rsidR="00EB76E3" w:rsidRPr="009A7496">
        <w:rPr>
          <w:rFonts w:ascii="Times New Roman" w:hAnsi="Times New Roman" w:cs="Times New Roman"/>
          <w:bCs/>
          <w:sz w:val="24"/>
          <w:szCs w:val="24"/>
        </w:rPr>
        <w:t>“</w:t>
      </w:r>
      <w:r w:rsidRPr="009A7496">
        <w:rPr>
          <w:rFonts w:ascii="Times New Roman" w:hAnsi="Times New Roman" w:cs="Times New Roman"/>
          <w:bCs/>
          <w:sz w:val="24"/>
          <w:szCs w:val="24"/>
        </w:rPr>
        <w:t>Income, Saving, and the Theory of Consumer Behavior</w:t>
      </w:r>
      <w:r w:rsidR="00EB76E3" w:rsidRPr="009A7496">
        <w:rPr>
          <w:rFonts w:ascii="Times New Roman" w:hAnsi="Times New Roman" w:cs="Times New Roman"/>
          <w:bCs/>
          <w:sz w:val="24"/>
          <w:szCs w:val="24"/>
        </w:rPr>
        <w:t>”</w:t>
      </w:r>
      <w:r w:rsidRPr="009A7496">
        <w:rPr>
          <w:rFonts w:ascii="Times New Roman" w:hAnsi="Times New Roman" w:cs="Times New Roman"/>
          <w:bCs/>
          <w:sz w:val="24"/>
          <w:szCs w:val="24"/>
        </w:rPr>
        <w:t>. The Review of Economics and Statistics, 33(3), 255. https://doi.org/10.2307/1926590</w:t>
      </w:r>
    </w:p>
    <w:p w14:paraId="269E1940"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Edewusi, D. G., &amp; Ajayi, I. E. (2019)"</w:t>
      </w:r>
      <w:r w:rsidRPr="009A7496">
        <w:rPr>
          <w:rFonts w:ascii="Times New Roman" w:hAnsi="Times New Roman" w:cs="Times New Roman"/>
          <w:bCs/>
          <w:sz w:val="24"/>
          <w:szCs w:val="24"/>
        </w:rPr>
        <w:t>The Nexus between Tax Revenue and Economic Growth in Nigeria." International Journal of Applied Economics, Finance and Accounting, 4(2), 45‑55. https://doi.org/10.33094/8.2017.2019.42.45.55</w:t>
      </w:r>
    </w:p>
    <w:p w14:paraId="1A3B8006"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 xml:space="preserve">Engle, R. F., et Granger, C. W. J. (1987) </w:t>
      </w:r>
      <w:r w:rsidRPr="009A7496">
        <w:rPr>
          <w:rFonts w:ascii="Times New Roman" w:hAnsi="Times New Roman" w:cs="Times New Roman"/>
          <w:bCs/>
          <w:sz w:val="24"/>
          <w:szCs w:val="24"/>
        </w:rPr>
        <w:t>"Co-Integration and Error Correction: Representation, Estimation, and Testing". Econometrica, 55(2), 251. https://doi.org/10.2307/1913236</w:t>
      </w:r>
    </w:p>
    <w:p w14:paraId="77AB1C80" w14:textId="77777777" w:rsidR="005E4276" w:rsidRPr="009A7496" w:rsidRDefault="006D388F" w:rsidP="009A7496">
      <w:pPr>
        <w:spacing w:line="360" w:lineRule="auto"/>
        <w:jc w:val="both"/>
        <w:rPr>
          <w:rFonts w:ascii="Times New Roman" w:hAnsi="Times New Roman" w:cs="Times New Roman"/>
          <w:b/>
          <w:sz w:val="24"/>
          <w:szCs w:val="24"/>
        </w:rPr>
      </w:pPr>
      <w:r w:rsidRPr="009A7496">
        <w:rPr>
          <w:rFonts w:ascii="Times New Roman" w:hAnsi="Times New Roman" w:cs="Times New Roman"/>
          <w:b/>
          <w:sz w:val="24"/>
          <w:szCs w:val="24"/>
        </w:rPr>
        <w:t>Field, A. (2005)</w:t>
      </w:r>
      <w:r w:rsidRPr="009A7496">
        <w:rPr>
          <w:rFonts w:ascii="Times New Roman" w:hAnsi="Times New Roman" w:cs="Times New Roman"/>
          <w:bCs/>
          <w:sz w:val="24"/>
          <w:szCs w:val="24"/>
        </w:rPr>
        <w:t>"Discovering statistics using SPSS". Book Review, London: Sage.</w:t>
      </w:r>
    </w:p>
    <w:p w14:paraId="7A714EC9"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Friedman, M. (1957)</w:t>
      </w:r>
      <w:r w:rsidRPr="009A7496">
        <w:rPr>
          <w:rFonts w:ascii="Times New Roman" w:hAnsi="Times New Roman" w:cs="Times New Roman"/>
          <w:bCs/>
          <w:sz w:val="24"/>
          <w:szCs w:val="24"/>
        </w:rPr>
        <w:t>" A theory of the consumption function ". Princeton University Press.</w:t>
      </w:r>
    </w:p>
    <w:p w14:paraId="67E871A0" w14:textId="6B3D7ED2" w:rsidR="005E4276" w:rsidRPr="009A7496" w:rsidRDefault="006D388F" w:rsidP="009A7496">
      <w:pPr>
        <w:spacing w:line="360" w:lineRule="auto"/>
        <w:jc w:val="both"/>
        <w:rPr>
          <w:rFonts w:ascii="Times New Roman" w:hAnsi="Times New Roman" w:cs="Times New Roman"/>
          <w:b/>
          <w:sz w:val="24"/>
          <w:szCs w:val="24"/>
        </w:rPr>
      </w:pPr>
      <w:r w:rsidRPr="009A7496">
        <w:rPr>
          <w:rFonts w:ascii="Times New Roman" w:hAnsi="Times New Roman" w:cs="Times New Roman"/>
          <w:b/>
          <w:sz w:val="24"/>
          <w:szCs w:val="24"/>
        </w:rPr>
        <w:t xml:space="preserve">Gauthier, H. (1998) </w:t>
      </w:r>
      <w:r w:rsidRPr="009A7496">
        <w:rPr>
          <w:rFonts w:ascii="Times New Roman" w:hAnsi="Times New Roman" w:cs="Times New Roman"/>
          <w:bCs/>
          <w:sz w:val="24"/>
          <w:szCs w:val="24"/>
        </w:rPr>
        <w:t xml:space="preserve">"D’une génération à </w:t>
      </w:r>
      <w:r w:rsidR="009A7496" w:rsidRPr="009A7496">
        <w:rPr>
          <w:rFonts w:ascii="Times New Roman" w:hAnsi="Times New Roman" w:cs="Times New Roman"/>
          <w:bCs/>
          <w:sz w:val="24"/>
          <w:szCs w:val="24"/>
        </w:rPr>
        <w:t>l’autre:</w:t>
      </w:r>
      <w:r w:rsidRPr="009A7496">
        <w:rPr>
          <w:rFonts w:ascii="Times New Roman" w:hAnsi="Times New Roman" w:cs="Times New Roman"/>
          <w:bCs/>
          <w:sz w:val="24"/>
          <w:szCs w:val="24"/>
        </w:rPr>
        <w:t xml:space="preserve"> Évolution des conditions de vie." Bureau de la statistique du </w:t>
      </w:r>
      <w:r w:rsidR="009A7496" w:rsidRPr="009A7496">
        <w:rPr>
          <w:rFonts w:ascii="Times New Roman" w:hAnsi="Times New Roman" w:cs="Times New Roman"/>
          <w:bCs/>
          <w:sz w:val="24"/>
          <w:szCs w:val="24"/>
        </w:rPr>
        <w:t>Québec;</w:t>
      </w:r>
      <w:r w:rsidRPr="009A7496">
        <w:rPr>
          <w:rFonts w:ascii="Times New Roman" w:hAnsi="Times New Roman" w:cs="Times New Roman"/>
          <w:bCs/>
          <w:sz w:val="24"/>
          <w:szCs w:val="24"/>
        </w:rPr>
        <w:t xml:space="preserve"> Distribution, Les Publications du Québec.</w:t>
      </w:r>
      <w:r w:rsidR="00747591" w:rsidRPr="009A7496">
        <w:rPr>
          <w:rFonts w:ascii="Times New Roman" w:hAnsi="Times New Roman" w:cs="Times New Roman"/>
          <w:bCs/>
          <w:sz w:val="24"/>
          <w:szCs w:val="24"/>
        </w:rPr>
        <w:t xml:space="preserve"> </w:t>
      </w:r>
    </w:p>
    <w:p w14:paraId="5B5BE3A9"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Gidigbi, M. O., Ademola-John, C. I., et Joseph, A. J. (2021</w:t>
      </w:r>
      <w:r w:rsidRPr="009A7496">
        <w:rPr>
          <w:rFonts w:ascii="Times New Roman" w:hAnsi="Times New Roman" w:cs="Times New Roman"/>
          <w:bCs/>
          <w:sz w:val="24"/>
          <w:szCs w:val="24"/>
        </w:rPr>
        <w:t>)" Effects of Indirect Taxation on Household Consumption in Nigeria" FUW International Journal of Management and Social Sciences-IJMSS 6(1).</w:t>
      </w:r>
    </w:p>
    <w:p w14:paraId="6F39B0BE" w14:textId="77777777" w:rsidR="005E4276" w:rsidRPr="009A7496" w:rsidRDefault="006D388F" w:rsidP="009A7496">
      <w:pPr>
        <w:spacing w:line="360" w:lineRule="auto"/>
        <w:jc w:val="both"/>
        <w:rPr>
          <w:rFonts w:ascii="Times New Roman" w:hAnsi="Times New Roman" w:cs="Times New Roman"/>
          <w:bCs/>
          <w:sz w:val="24"/>
          <w:szCs w:val="24"/>
        </w:rPr>
      </w:pPr>
      <w:r w:rsidRPr="009A7496">
        <w:rPr>
          <w:rFonts w:ascii="Times New Roman" w:hAnsi="Times New Roman" w:cs="Times New Roman"/>
          <w:b/>
          <w:sz w:val="24"/>
          <w:szCs w:val="24"/>
        </w:rPr>
        <w:t xml:space="preserve">Howard, D. H. (1978). </w:t>
      </w:r>
      <w:r w:rsidRPr="009A7496">
        <w:rPr>
          <w:rFonts w:ascii="Times New Roman" w:hAnsi="Times New Roman" w:cs="Times New Roman"/>
          <w:bCs/>
          <w:sz w:val="24"/>
          <w:szCs w:val="24"/>
        </w:rPr>
        <w:t>"Personal Saving Behavior and the Rate of Inflation". The Review of Economics and Statistics, 60(4), 547. https://doi.org/10.2307/1924247</w:t>
      </w:r>
    </w:p>
    <w:p w14:paraId="133E6DE0" w14:textId="49205803" w:rsidR="005E4276" w:rsidRPr="00056183" w:rsidRDefault="006D388F" w:rsidP="00056183">
      <w:pPr>
        <w:spacing w:line="360" w:lineRule="auto"/>
        <w:rPr>
          <w:rFonts w:ascii="Times New Roman" w:hAnsi="Times New Roman" w:cs="Times New Roman"/>
          <w:bCs/>
          <w:sz w:val="24"/>
          <w:szCs w:val="24"/>
        </w:rPr>
      </w:pPr>
      <w:r w:rsidRPr="00056183">
        <w:rPr>
          <w:rFonts w:ascii="Times New Roman" w:hAnsi="Times New Roman" w:cs="Times New Roman"/>
          <w:b/>
          <w:sz w:val="24"/>
          <w:szCs w:val="24"/>
        </w:rPr>
        <w:t>Idris, M., et Sebastine, E. N. (2023).</w:t>
      </w:r>
      <w:r w:rsidRPr="00056183">
        <w:rPr>
          <w:b/>
        </w:rPr>
        <w:t xml:space="preserve"> "</w:t>
      </w:r>
      <w:r w:rsidRPr="00056183">
        <w:rPr>
          <w:rFonts w:ascii="Times New Roman" w:hAnsi="Times New Roman" w:cs="Times New Roman"/>
          <w:bCs/>
          <w:sz w:val="24"/>
          <w:szCs w:val="24"/>
        </w:rPr>
        <w:t xml:space="preserve">Effect of Indirect Taxation on Household Consumption in </w:t>
      </w:r>
      <w:r w:rsidR="005B07FA" w:rsidRPr="00056183">
        <w:rPr>
          <w:rFonts w:ascii="Times New Roman" w:hAnsi="Times New Roman" w:cs="Times New Roman"/>
          <w:bCs/>
          <w:sz w:val="24"/>
          <w:szCs w:val="24"/>
        </w:rPr>
        <w:t>Nigeria” Asian</w:t>
      </w:r>
      <w:r w:rsidRPr="00056183">
        <w:rPr>
          <w:rFonts w:ascii="Times New Roman" w:hAnsi="Times New Roman" w:cs="Times New Roman"/>
          <w:bCs/>
          <w:sz w:val="24"/>
          <w:szCs w:val="24"/>
        </w:rPr>
        <w:t xml:space="preserve"> Journal of Economics and Finance,5(1) 21-37. https://DOI: 10.47509/AJEF. 2023.v05i01.02</w:t>
      </w:r>
    </w:p>
    <w:p w14:paraId="5D09DFCC" w14:textId="77777777" w:rsidR="005E4276" w:rsidRDefault="006D388F">
      <w:pPr>
        <w:spacing w:line="360" w:lineRule="auto"/>
        <w:rPr>
          <w:rFonts w:ascii="Times New Roman" w:eastAsia="Times New Roman" w:hAnsi="Times New Roman" w:cs="Times New Roman"/>
          <w:sz w:val="24"/>
          <w:szCs w:val="24"/>
        </w:rPr>
      </w:pPr>
      <w:r>
        <w:rPr>
          <w:b/>
        </w:rPr>
        <w:t>J</w:t>
      </w:r>
      <w:r>
        <w:rPr>
          <w:rFonts w:ascii="Times New Roman" w:eastAsia="Times New Roman" w:hAnsi="Times New Roman" w:cs="Times New Roman"/>
          <w:b/>
          <w:sz w:val="24"/>
          <w:szCs w:val="24"/>
        </w:rPr>
        <w:t>ohansen, S. (1988)</w:t>
      </w:r>
      <w:r>
        <w:rPr>
          <w:rFonts w:ascii="Times New Roman" w:eastAsia="Times New Roman" w:hAnsi="Times New Roman" w:cs="Times New Roman"/>
          <w:sz w:val="24"/>
          <w:szCs w:val="24"/>
        </w:rPr>
        <w:t>, " Statistical Analysis of Cointegrating Vectors ", in Journal of Economic Dynamic and Control, Vol.12, pp. 231-254</w:t>
      </w:r>
    </w:p>
    <w:p w14:paraId="5EDB8281" w14:textId="77777777" w:rsidR="005E4276" w:rsidRDefault="006D388F">
      <w:pPr>
        <w:spacing w:line="360" w:lineRule="auto"/>
        <w:rPr>
          <w:rFonts w:ascii="Times New Roman" w:eastAsia="Times New Roman" w:hAnsi="Times New Roman" w:cs="Times New Roman"/>
          <w:sz w:val="24"/>
          <w:szCs w:val="24"/>
        </w:rPr>
      </w:pPr>
      <w:r>
        <w:rPr>
          <w:b/>
        </w:rPr>
        <w:lastRenderedPageBreak/>
        <w:t>J</w:t>
      </w:r>
      <w:r>
        <w:rPr>
          <w:rFonts w:ascii="Times New Roman" w:eastAsia="Times New Roman" w:hAnsi="Times New Roman" w:cs="Times New Roman"/>
          <w:b/>
          <w:sz w:val="24"/>
          <w:szCs w:val="24"/>
        </w:rPr>
        <w:t>ohansen, S. (1991),</w:t>
      </w:r>
      <w:r>
        <w:rPr>
          <w:rFonts w:ascii="Times New Roman" w:eastAsia="Times New Roman" w:hAnsi="Times New Roman" w:cs="Times New Roman"/>
          <w:sz w:val="24"/>
          <w:szCs w:val="24"/>
        </w:rPr>
        <w:t xml:space="preserve"> "Estimation and Hypothesis Testing of Cointégration Vectors in Gaussian Vector Autoregressive Models ", in Econometrica, Vol.59, pp. 1551-1580.</w:t>
      </w:r>
    </w:p>
    <w:p w14:paraId="262A7032" w14:textId="31C4449B"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Johansen, S., et Juselius, K. (1990</w:t>
      </w:r>
      <w:r w:rsidRPr="000A7E1B">
        <w:rPr>
          <w:rFonts w:ascii="Times New Roman" w:hAnsi="Times New Roman" w:cs="Times New Roman"/>
          <w:bCs/>
          <w:sz w:val="24"/>
          <w:szCs w:val="24"/>
        </w:rPr>
        <w:t xml:space="preserve">). "Maximum likelihood estimation and inference on cointégration </w:t>
      </w:r>
      <w:r w:rsidR="00265690">
        <w:rPr>
          <w:rFonts w:ascii="Times New Roman" w:hAnsi="Times New Roman" w:cs="Times New Roman"/>
          <w:bCs/>
          <w:sz w:val="24"/>
          <w:szCs w:val="24"/>
        </w:rPr>
        <w:t>-</w:t>
      </w:r>
      <w:r w:rsidRPr="000A7E1B">
        <w:rPr>
          <w:rFonts w:ascii="Times New Roman" w:hAnsi="Times New Roman" w:cs="Times New Roman"/>
          <w:bCs/>
          <w:sz w:val="24"/>
          <w:szCs w:val="24"/>
        </w:rPr>
        <w:t>with applications to the demand for money". Oxford Bulletin of Economics and Statistics, 52(2), 169‑210. https://doi.org/10.1111/j.1468-0084.1990.mp52002003.x</w:t>
      </w:r>
    </w:p>
    <w:p w14:paraId="451F0621" w14:textId="2416D396" w:rsidR="005E4276" w:rsidRDefault="006D388F">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sidRPr="008B6AE5">
        <w:rPr>
          <w:rFonts w:ascii="Times New Roman" w:eastAsia="Times New Roman" w:hAnsi="Times New Roman" w:cs="Times New Roman"/>
          <w:b/>
          <w:bCs/>
          <w:iCs/>
          <w:color w:val="000000"/>
          <w:sz w:val="24"/>
          <w:szCs w:val="24"/>
        </w:rPr>
        <w:t>Katona</w:t>
      </w:r>
      <w:r w:rsidR="0008516F">
        <w:rPr>
          <w:rFonts w:ascii="Times New Roman" w:eastAsia="Times New Roman" w:hAnsi="Times New Roman" w:cs="Times New Roman"/>
          <w:b/>
          <w:bCs/>
          <w:iCs/>
          <w:color w:val="000000"/>
          <w:sz w:val="24"/>
          <w:szCs w:val="24"/>
        </w:rPr>
        <w:t>,</w:t>
      </w:r>
      <w:r w:rsidRPr="008B6AE5">
        <w:rPr>
          <w:rFonts w:ascii="Times New Roman" w:eastAsia="Times New Roman" w:hAnsi="Times New Roman" w:cs="Times New Roman"/>
          <w:b/>
          <w:bCs/>
          <w:iCs/>
          <w:color w:val="000000"/>
          <w:sz w:val="24"/>
          <w:szCs w:val="24"/>
        </w:rPr>
        <w:t xml:space="preserve"> </w:t>
      </w:r>
      <w:r w:rsidR="0008516F">
        <w:rPr>
          <w:rFonts w:ascii="Times New Roman" w:eastAsia="Times New Roman" w:hAnsi="Times New Roman" w:cs="Times New Roman"/>
          <w:b/>
          <w:bCs/>
          <w:iCs/>
          <w:color w:val="000000"/>
          <w:sz w:val="24"/>
          <w:szCs w:val="24"/>
        </w:rPr>
        <w:t>G. (1975</w:t>
      </w:r>
      <w:r w:rsidR="0008516F" w:rsidRPr="0008516F">
        <w:rPr>
          <w:rFonts w:ascii="Times New Roman" w:eastAsia="Times New Roman" w:hAnsi="Times New Roman" w:cs="Times New Roman"/>
          <w:iCs/>
          <w:color w:val="000000"/>
          <w:sz w:val="24"/>
          <w:szCs w:val="24"/>
        </w:rPr>
        <w:t xml:space="preserve">) </w:t>
      </w:r>
      <w:r w:rsidR="0008516F" w:rsidRPr="0008516F">
        <w:rPr>
          <w:rFonts w:ascii="Times New Roman" w:eastAsia="Times New Roman" w:hAnsi="Times New Roman" w:cs="Times New Roman"/>
          <w:i/>
          <w:iCs/>
          <w:color w:val="000000"/>
          <w:sz w:val="24"/>
          <w:szCs w:val="24"/>
        </w:rPr>
        <w:t>Psychological Economics</w:t>
      </w:r>
      <w:r w:rsidR="0008516F" w:rsidRPr="0008516F">
        <w:rPr>
          <w:rFonts w:ascii="Times New Roman" w:eastAsia="Times New Roman" w:hAnsi="Times New Roman" w:cs="Times New Roman"/>
          <w:iCs/>
          <w:color w:val="000000"/>
          <w:sz w:val="24"/>
          <w:szCs w:val="24"/>
        </w:rPr>
        <w:t>, Elsevier Scientific Publishing.</w:t>
      </w:r>
    </w:p>
    <w:p w14:paraId="523B0344" w14:textId="77777777" w:rsidR="005E4276" w:rsidRPr="000A7E1B" w:rsidRDefault="006D388F" w:rsidP="000A7E1B">
      <w:pPr>
        <w:spacing w:line="360" w:lineRule="auto"/>
        <w:jc w:val="both"/>
        <w:rPr>
          <w:rFonts w:ascii="Times New Roman" w:hAnsi="Times New Roman" w:cs="Times New Roman"/>
          <w:b/>
          <w:sz w:val="24"/>
          <w:szCs w:val="24"/>
        </w:rPr>
      </w:pPr>
      <w:r w:rsidRPr="000A7E1B">
        <w:rPr>
          <w:rFonts w:ascii="Times New Roman" w:hAnsi="Times New Roman" w:cs="Times New Roman"/>
          <w:b/>
          <w:sz w:val="24"/>
          <w:szCs w:val="24"/>
        </w:rPr>
        <w:t xml:space="preserve">Kaya, A., et Şen, H. (2015) </w:t>
      </w:r>
      <w:r w:rsidRPr="000A7E1B">
        <w:rPr>
          <w:rFonts w:ascii="Times New Roman" w:hAnsi="Times New Roman" w:cs="Times New Roman"/>
          <w:bCs/>
          <w:sz w:val="24"/>
          <w:szCs w:val="24"/>
        </w:rPr>
        <w:t>"Taxes and Private Consumption Expenditure: A Component Based Analysis for Turkey". 61857. https://mpra.ub.uni-muenchen.de/id/eprint/61857</w:t>
      </w:r>
    </w:p>
    <w:p w14:paraId="3CF93B65" w14:textId="77777777"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 xml:space="preserve">Keynes, J. M (1936) </w:t>
      </w:r>
      <w:r w:rsidRPr="000A7E1B">
        <w:rPr>
          <w:rFonts w:ascii="Times New Roman" w:hAnsi="Times New Roman" w:cs="Times New Roman"/>
          <w:bCs/>
          <w:sz w:val="24"/>
          <w:szCs w:val="24"/>
        </w:rPr>
        <w:t>"The General Theory of Employment, Interest and Money". Political Science Quarterly, 51(4), 600‑602. https://doi.org/10.2307/2143949</w:t>
      </w:r>
    </w:p>
    <w:p w14:paraId="4068568D" w14:textId="77777777"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Kwiatkowski, D., Phillips, P. C. B., Schmidt, P., et Shin, Y. (1992</w:t>
      </w:r>
      <w:r w:rsidRPr="000A7E1B">
        <w:rPr>
          <w:rFonts w:ascii="Times New Roman" w:hAnsi="Times New Roman" w:cs="Times New Roman"/>
          <w:bCs/>
          <w:sz w:val="24"/>
          <w:szCs w:val="24"/>
        </w:rPr>
        <w:t>)" Testing the null hypothesis of stationarity against the alternative of a unit root". Journal of Econometrics, 54(1‑3), 159‑178. https://doi.org/10.1016/0304-4076(92)90104-Y</w:t>
      </w:r>
    </w:p>
    <w:p w14:paraId="7DCD3649" w14:textId="38589CF4" w:rsidR="005E4276" w:rsidRPr="000A7E1B" w:rsidRDefault="006D388F" w:rsidP="000A7E1B">
      <w:pPr>
        <w:spacing w:line="360" w:lineRule="auto"/>
        <w:jc w:val="both"/>
        <w:rPr>
          <w:rFonts w:ascii="Times New Roman" w:hAnsi="Times New Roman" w:cs="Times New Roman"/>
          <w:b/>
          <w:sz w:val="24"/>
          <w:szCs w:val="24"/>
        </w:rPr>
      </w:pPr>
      <w:r w:rsidRPr="000A7E1B">
        <w:rPr>
          <w:rFonts w:ascii="Times New Roman" w:hAnsi="Times New Roman" w:cs="Times New Roman"/>
          <w:b/>
          <w:sz w:val="24"/>
          <w:szCs w:val="24"/>
        </w:rPr>
        <w:t>Mertens et Ravn (2012)</w:t>
      </w:r>
      <w:r w:rsidRPr="000A7E1B">
        <w:rPr>
          <w:rFonts w:ascii="Times New Roman" w:hAnsi="Times New Roman" w:cs="Times New Roman"/>
          <w:bCs/>
          <w:sz w:val="24"/>
          <w:szCs w:val="24"/>
        </w:rPr>
        <w:t>"Empirical Evidence On The Aggregate Effects Of Anticipated And Unanticipated U.S. Tax Policy Shocks".</w:t>
      </w:r>
      <w:r w:rsidR="00747591" w:rsidRPr="000A7E1B">
        <w:rPr>
          <w:rFonts w:ascii="Times New Roman" w:hAnsi="Times New Roman" w:cs="Times New Roman"/>
          <w:bCs/>
          <w:sz w:val="24"/>
          <w:szCs w:val="24"/>
        </w:rPr>
        <w:t xml:space="preserve"> </w:t>
      </w:r>
      <w:r w:rsidRPr="000A7E1B">
        <w:rPr>
          <w:rFonts w:ascii="Times New Roman" w:hAnsi="Times New Roman" w:cs="Times New Roman"/>
          <w:bCs/>
          <w:sz w:val="24"/>
          <w:szCs w:val="24"/>
        </w:rPr>
        <w:t xml:space="preserve">National Bureau Of Economic </w:t>
      </w:r>
      <w:r w:rsidR="00747591" w:rsidRPr="000A7E1B">
        <w:rPr>
          <w:rFonts w:ascii="Times New Roman" w:hAnsi="Times New Roman" w:cs="Times New Roman"/>
          <w:bCs/>
          <w:sz w:val="24"/>
          <w:szCs w:val="24"/>
        </w:rPr>
        <w:t>Research working</w:t>
      </w:r>
      <w:r w:rsidRPr="000A7E1B">
        <w:rPr>
          <w:rFonts w:ascii="Times New Roman" w:hAnsi="Times New Roman" w:cs="Times New Roman"/>
          <w:bCs/>
          <w:sz w:val="24"/>
          <w:szCs w:val="24"/>
        </w:rPr>
        <w:t xml:space="preserve"> Paper 16289. http://www.nber.org/papers/w16289</w:t>
      </w:r>
    </w:p>
    <w:p w14:paraId="44A89145" w14:textId="77777777" w:rsidR="005E4276" w:rsidRPr="000A7E1B" w:rsidRDefault="006D388F" w:rsidP="000A7E1B">
      <w:pPr>
        <w:spacing w:line="360" w:lineRule="auto"/>
        <w:jc w:val="both"/>
        <w:rPr>
          <w:rFonts w:ascii="Times New Roman" w:hAnsi="Times New Roman" w:cs="Times New Roman"/>
          <w:b/>
          <w:sz w:val="24"/>
          <w:szCs w:val="24"/>
        </w:rPr>
      </w:pPr>
      <w:r w:rsidRPr="000A7E1B">
        <w:rPr>
          <w:rFonts w:ascii="Times New Roman" w:hAnsi="Times New Roman" w:cs="Times New Roman"/>
          <w:b/>
          <w:sz w:val="24"/>
          <w:szCs w:val="24"/>
        </w:rPr>
        <w:t>Miles, J. (2005).</w:t>
      </w:r>
      <w:r w:rsidRPr="000A7E1B">
        <w:rPr>
          <w:rFonts w:ascii="Times New Roman" w:hAnsi="Times New Roman" w:cs="Times New Roman"/>
          <w:bCs/>
          <w:sz w:val="24"/>
          <w:szCs w:val="24"/>
        </w:rPr>
        <w:t>" Tolerance and Variance Inflation Factor" (Vol. 4). John Wiley et Sons.</w:t>
      </w:r>
    </w:p>
    <w:p w14:paraId="1A4F12CA" w14:textId="52D269F6" w:rsidR="00EB76E3" w:rsidRPr="000A7E1B" w:rsidRDefault="00EB76E3"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 xml:space="preserve">Modica, E., S. Laudage and M. Harding (2018), </w:t>
      </w:r>
      <w:r w:rsidRPr="000A7E1B">
        <w:rPr>
          <w:rFonts w:ascii="Times New Roman" w:hAnsi="Times New Roman" w:cs="Times New Roman"/>
          <w:bCs/>
          <w:sz w:val="24"/>
          <w:szCs w:val="24"/>
        </w:rPr>
        <w:t xml:space="preserve">“Domestic Revenue Mobilisation: A new database on tax levels and structures in 80 countries”, OECD Taxation Working </w:t>
      </w:r>
      <w:r w:rsidR="00265690" w:rsidRPr="000A7E1B">
        <w:rPr>
          <w:rFonts w:ascii="Times New Roman" w:hAnsi="Times New Roman" w:cs="Times New Roman"/>
          <w:bCs/>
          <w:sz w:val="24"/>
          <w:szCs w:val="24"/>
        </w:rPr>
        <w:t>Papers, No</w:t>
      </w:r>
      <w:r w:rsidRPr="000A7E1B">
        <w:rPr>
          <w:rFonts w:ascii="Times New Roman" w:hAnsi="Times New Roman" w:cs="Times New Roman"/>
          <w:bCs/>
          <w:sz w:val="24"/>
          <w:szCs w:val="24"/>
        </w:rPr>
        <w:t>. 36, OECD Publishing, Paris. http://dx.doi.org/10.1787/a87feae8-en</w:t>
      </w:r>
    </w:p>
    <w:p w14:paraId="11D9DC8F" w14:textId="59C7FC07" w:rsidR="005E4276" w:rsidRPr="000A7E1B" w:rsidRDefault="006D388F" w:rsidP="000A7E1B">
      <w:pPr>
        <w:spacing w:line="360" w:lineRule="auto"/>
        <w:jc w:val="both"/>
        <w:rPr>
          <w:rFonts w:ascii="Times New Roman" w:hAnsi="Times New Roman" w:cs="Times New Roman"/>
          <w:b/>
          <w:sz w:val="24"/>
          <w:szCs w:val="24"/>
        </w:rPr>
      </w:pPr>
      <w:r w:rsidRPr="000A7E1B">
        <w:rPr>
          <w:rFonts w:ascii="Times New Roman" w:hAnsi="Times New Roman" w:cs="Times New Roman"/>
          <w:b/>
          <w:sz w:val="24"/>
          <w:szCs w:val="24"/>
        </w:rPr>
        <w:t>Modigliani, F., et Brumberg, R. (1954)</w:t>
      </w:r>
      <w:r w:rsidRPr="000A7E1B">
        <w:rPr>
          <w:rFonts w:ascii="Times New Roman" w:hAnsi="Times New Roman" w:cs="Times New Roman"/>
          <w:bCs/>
          <w:sz w:val="24"/>
          <w:szCs w:val="24"/>
        </w:rPr>
        <w:t xml:space="preserve">" Utility Analysis </w:t>
      </w:r>
      <w:r w:rsidR="00265690" w:rsidRPr="000A7E1B">
        <w:rPr>
          <w:rFonts w:ascii="Times New Roman" w:hAnsi="Times New Roman" w:cs="Times New Roman"/>
          <w:bCs/>
          <w:sz w:val="24"/>
          <w:szCs w:val="24"/>
        </w:rPr>
        <w:t>and</w:t>
      </w:r>
      <w:r w:rsidRPr="000A7E1B">
        <w:rPr>
          <w:rFonts w:ascii="Times New Roman" w:hAnsi="Times New Roman" w:cs="Times New Roman"/>
          <w:bCs/>
          <w:sz w:val="24"/>
          <w:szCs w:val="24"/>
        </w:rPr>
        <w:t xml:space="preserve"> The Consumption Function: An Interpretation </w:t>
      </w:r>
      <w:r w:rsidR="00265690" w:rsidRPr="000A7E1B">
        <w:rPr>
          <w:rFonts w:ascii="Times New Roman" w:hAnsi="Times New Roman" w:cs="Times New Roman"/>
          <w:bCs/>
          <w:sz w:val="24"/>
          <w:szCs w:val="24"/>
        </w:rPr>
        <w:t>of</w:t>
      </w:r>
      <w:r w:rsidRPr="000A7E1B">
        <w:rPr>
          <w:rFonts w:ascii="Times New Roman" w:hAnsi="Times New Roman" w:cs="Times New Roman"/>
          <w:bCs/>
          <w:sz w:val="24"/>
          <w:szCs w:val="24"/>
        </w:rPr>
        <w:t xml:space="preserve"> Cross-Section Data" (in Post Keynesian Economics, ed. Kenneth K. Kurihara.). The MIT Press. https://doi.org/10.7551/mitpress/1923.001.0001</w:t>
      </w:r>
    </w:p>
    <w:p w14:paraId="6DEF2147" w14:textId="2852D097"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Pesaran et al (1997)</w:t>
      </w:r>
      <w:r w:rsidR="00726E21" w:rsidRPr="000A7E1B">
        <w:rPr>
          <w:rFonts w:ascii="Times New Roman" w:hAnsi="Times New Roman" w:cs="Times New Roman"/>
          <w:b/>
          <w:sz w:val="24"/>
          <w:szCs w:val="24"/>
        </w:rPr>
        <w:t xml:space="preserve"> </w:t>
      </w:r>
      <w:r w:rsidR="00726E21" w:rsidRPr="000A7E1B">
        <w:rPr>
          <w:rFonts w:ascii="Times New Roman" w:hAnsi="Times New Roman" w:cs="Times New Roman"/>
          <w:bCs/>
          <w:sz w:val="24"/>
          <w:szCs w:val="24"/>
        </w:rPr>
        <w:t>“</w:t>
      </w:r>
      <w:r w:rsidRPr="000A7E1B">
        <w:rPr>
          <w:rFonts w:ascii="Times New Roman" w:hAnsi="Times New Roman" w:cs="Times New Roman"/>
          <w:bCs/>
          <w:sz w:val="24"/>
          <w:szCs w:val="24"/>
        </w:rPr>
        <w:t>Pooled estimation of long run Relationships in Dynamic Heterogeneous Panels".</w:t>
      </w:r>
    </w:p>
    <w:p w14:paraId="09DC9E00" w14:textId="4416B26C"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lastRenderedPageBreak/>
        <w:t>Pesaran, M. H., Shin, Y., et Smith, R. J. (2001</w:t>
      </w:r>
      <w:r w:rsidRPr="000A7E1B">
        <w:rPr>
          <w:rFonts w:ascii="Times New Roman" w:hAnsi="Times New Roman" w:cs="Times New Roman"/>
          <w:bCs/>
          <w:sz w:val="24"/>
          <w:szCs w:val="24"/>
        </w:rPr>
        <w:t>)" Bounds testing approaches to the analysis of</w:t>
      </w:r>
      <w:r w:rsidR="000A7E1B">
        <w:rPr>
          <w:rFonts w:ascii="Times New Roman" w:hAnsi="Times New Roman" w:cs="Times New Roman"/>
          <w:bCs/>
          <w:sz w:val="24"/>
          <w:szCs w:val="24"/>
        </w:rPr>
        <w:t xml:space="preserve"> </w:t>
      </w:r>
      <w:r w:rsidR="005B07FA" w:rsidRPr="000A7E1B">
        <w:rPr>
          <w:rFonts w:ascii="Times New Roman" w:hAnsi="Times New Roman" w:cs="Times New Roman"/>
          <w:bCs/>
          <w:sz w:val="24"/>
          <w:szCs w:val="24"/>
        </w:rPr>
        <w:t>level</w:t>
      </w:r>
      <w:r w:rsidR="000A7E1B">
        <w:rPr>
          <w:rFonts w:ascii="Times New Roman" w:hAnsi="Times New Roman" w:cs="Times New Roman"/>
          <w:bCs/>
          <w:sz w:val="24"/>
          <w:szCs w:val="24"/>
        </w:rPr>
        <w:t xml:space="preserve"> </w:t>
      </w:r>
      <w:r w:rsidR="005B07FA" w:rsidRPr="000A7E1B">
        <w:rPr>
          <w:rFonts w:ascii="Times New Roman" w:hAnsi="Times New Roman" w:cs="Times New Roman"/>
          <w:bCs/>
          <w:sz w:val="24"/>
          <w:szCs w:val="24"/>
        </w:rPr>
        <w:t>relationships</w:t>
      </w:r>
      <w:r w:rsidRPr="000A7E1B">
        <w:rPr>
          <w:rFonts w:ascii="Times New Roman" w:hAnsi="Times New Roman" w:cs="Times New Roman"/>
          <w:bCs/>
          <w:sz w:val="24"/>
          <w:szCs w:val="24"/>
        </w:rPr>
        <w:t>.</w:t>
      </w:r>
      <w:r w:rsidR="00726E21" w:rsidRPr="000A7E1B">
        <w:rPr>
          <w:rFonts w:ascii="Times New Roman" w:hAnsi="Times New Roman" w:cs="Times New Roman"/>
          <w:bCs/>
          <w:sz w:val="24"/>
          <w:szCs w:val="24"/>
        </w:rPr>
        <w:t xml:space="preserve"> </w:t>
      </w:r>
      <w:r w:rsidRPr="000A7E1B">
        <w:rPr>
          <w:rFonts w:ascii="Times New Roman" w:hAnsi="Times New Roman" w:cs="Times New Roman"/>
          <w:bCs/>
          <w:sz w:val="24"/>
          <w:szCs w:val="24"/>
        </w:rPr>
        <w:t>Journal</w:t>
      </w:r>
      <w:r w:rsidR="00726E21" w:rsidRPr="000A7E1B">
        <w:rPr>
          <w:rFonts w:ascii="Times New Roman" w:hAnsi="Times New Roman" w:cs="Times New Roman"/>
          <w:bCs/>
          <w:sz w:val="24"/>
          <w:szCs w:val="24"/>
        </w:rPr>
        <w:t xml:space="preserve"> </w:t>
      </w:r>
      <w:r w:rsidRPr="000A7E1B">
        <w:rPr>
          <w:rFonts w:ascii="Times New Roman" w:hAnsi="Times New Roman" w:cs="Times New Roman"/>
          <w:bCs/>
          <w:sz w:val="24"/>
          <w:szCs w:val="24"/>
        </w:rPr>
        <w:t>of</w:t>
      </w:r>
      <w:r w:rsidR="000A7E1B">
        <w:rPr>
          <w:rFonts w:ascii="Times New Roman" w:hAnsi="Times New Roman" w:cs="Times New Roman"/>
          <w:bCs/>
          <w:sz w:val="24"/>
          <w:szCs w:val="24"/>
        </w:rPr>
        <w:t xml:space="preserve"> </w:t>
      </w:r>
      <w:r w:rsidRPr="000A7E1B">
        <w:rPr>
          <w:rFonts w:ascii="Times New Roman" w:hAnsi="Times New Roman" w:cs="Times New Roman"/>
          <w:bCs/>
          <w:sz w:val="24"/>
          <w:szCs w:val="24"/>
        </w:rPr>
        <w:t>Applied</w:t>
      </w:r>
      <w:r w:rsidR="00726E21" w:rsidRPr="000A7E1B">
        <w:rPr>
          <w:rFonts w:ascii="Times New Roman" w:hAnsi="Times New Roman" w:cs="Times New Roman"/>
          <w:bCs/>
          <w:sz w:val="24"/>
          <w:szCs w:val="24"/>
        </w:rPr>
        <w:t xml:space="preserve"> </w:t>
      </w:r>
      <w:r w:rsidRPr="000A7E1B">
        <w:rPr>
          <w:rFonts w:ascii="Times New Roman" w:hAnsi="Times New Roman" w:cs="Times New Roman"/>
          <w:bCs/>
          <w:sz w:val="24"/>
          <w:szCs w:val="24"/>
        </w:rPr>
        <w:t>Econometrics,16(3),289‑326.https://doi.org/10.1002/jae.616</w:t>
      </w:r>
    </w:p>
    <w:p w14:paraId="6FA62D8E" w14:textId="2D4903DF"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 xml:space="preserve">Phillips et Hansen (1990) </w:t>
      </w:r>
      <w:r w:rsidRPr="000A7E1B">
        <w:rPr>
          <w:rFonts w:ascii="Times New Roman" w:hAnsi="Times New Roman" w:cs="Times New Roman"/>
          <w:bCs/>
          <w:sz w:val="24"/>
          <w:szCs w:val="24"/>
        </w:rPr>
        <w:t xml:space="preserve">"Statistcal Inference in Instrumental Variables Regression with </w:t>
      </w:r>
      <w:r w:rsidR="009335CB" w:rsidRPr="000A7E1B">
        <w:rPr>
          <w:rFonts w:ascii="Times New Roman" w:hAnsi="Times New Roman" w:cs="Times New Roman"/>
          <w:bCs/>
          <w:sz w:val="24"/>
          <w:szCs w:val="24"/>
        </w:rPr>
        <w:t>I (</w:t>
      </w:r>
      <w:r w:rsidRPr="000A7E1B">
        <w:rPr>
          <w:rFonts w:ascii="Times New Roman" w:hAnsi="Times New Roman" w:cs="Times New Roman"/>
          <w:bCs/>
          <w:sz w:val="24"/>
          <w:szCs w:val="24"/>
        </w:rPr>
        <w:t xml:space="preserve">1) Precesses </w:t>
      </w:r>
      <w:r w:rsidR="009335CB" w:rsidRPr="000A7E1B">
        <w:rPr>
          <w:rFonts w:ascii="Times New Roman" w:hAnsi="Times New Roman" w:cs="Times New Roman"/>
          <w:bCs/>
          <w:sz w:val="24"/>
          <w:szCs w:val="24"/>
        </w:rPr>
        <w:t>“. Review</w:t>
      </w:r>
      <w:r w:rsidRPr="000A7E1B">
        <w:rPr>
          <w:rFonts w:ascii="Times New Roman" w:hAnsi="Times New Roman" w:cs="Times New Roman"/>
          <w:bCs/>
          <w:sz w:val="24"/>
          <w:szCs w:val="24"/>
        </w:rPr>
        <w:t xml:space="preserve"> of Economic Studies 57,99-125.</w:t>
      </w:r>
    </w:p>
    <w:p w14:paraId="552E8C55" w14:textId="77777777"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Phillips, P. C. B., et Perron, P. (1988</w:t>
      </w:r>
      <w:r w:rsidRPr="000A7E1B">
        <w:rPr>
          <w:rFonts w:ascii="Times New Roman" w:hAnsi="Times New Roman" w:cs="Times New Roman"/>
          <w:bCs/>
          <w:sz w:val="24"/>
          <w:szCs w:val="24"/>
        </w:rPr>
        <w:t>)" Testing for a unit root in time series regression". Biometrika, 75(2), 335‑346. http://dx.doi.org/10.1093/biomet/75.2.335</w:t>
      </w:r>
    </w:p>
    <w:p w14:paraId="75CA7A82" w14:textId="32D586BC"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 xml:space="preserve">Sani, A. B., et Sani, I. (2020) </w:t>
      </w:r>
      <w:r w:rsidRPr="000A7E1B">
        <w:rPr>
          <w:rFonts w:ascii="Times New Roman" w:hAnsi="Times New Roman" w:cs="Times New Roman"/>
          <w:bCs/>
          <w:sz w:val="24"/>
          <w:szCs w:val="24"/>
        </w:rPr>
        <w:t>"Analysis of the Effect of Value Added Tax on Consumption in Nigeria". IOSR Journal of Business and Management</w:t>
      </w:r>
      <w:r w:rsidR="00747591" w:rsidRPr="000A7E1B">
        <w:rPr>
          <w:rFonts w:ascii="Times New Roman" w:hAnsi="Times New Roman" w:cs="Times New Roman"/>
          <w:bCs/>
          <w:sz w:val="24"/>
          <w:szCs w:val="24"/>
        </w:rPr>
        <w:t xml:space="preserve"> </w:t>
      </w:r>
      <w:r w:rsidRPr="000A7E1B">
        <w:rPr>
          <w:rFonts w:ascii="Times New Roman" w:hAnsi="Times New Roman" w:cs="Times New Roman"/>
          <w:bCs/>
          <w:sz w:val="24"/>
          <w:szCs w:val="24"/>
        </w:rPr>
        <w:t>(IOSR-JBM), 22, 32‑40. https://doi.org/DOI: 10.9790/487X-2201073240</w:t>
      </w:r>
    </w:p>
    <w:p w14:paraId="73CAC110" w14:textId="77777777"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 xml:space="preserve">Shapiro, M. D., et Slemrod, J. (2003). </w:t>
      </w:r>
      <w:r w:rsidRPr="000A7E1B">
        <w:rPr>
          <w:rFonts w:ascii="Times New Roman" w:hAnsi="Times New Roman" w:cs="Times New Roman"/>
          <w:bCs/>
          <w:sz w:val="24"/>
          <w:szCs w:val="24"/>
        </w:rPr>
        <w:t>"Consumer Response to Tax Rebates." The American Economic Review, 93(1).</w:t>
      </w:r>
    </w:p>
    <w:p w14:paraId="445D7C1F" w14:textId="77777777" w:rsidR="005E4276" w:rsidRPr="000A7E1B" w:rsidRDefault="006D388F" w:rsidP="000A7E1B">
      <w:pPr>
        <w:spacing w:line="360" w:lineRule="auto"/>
        <w:jc w:val="both"/>
        <w:rPr>
          <w:rFonts w:ascii="Times New Roman" w:hAnsi="Times New Roman" w:cs="Times New Roman"/>
          <w:bCs/>
          <w:sz w:val="24"/>
          <w:szCs w:val="24"/>
        </w:rPr>
      </w:pPr>
      <w:r w:rsidRPr="000A7E1B">
        <w:rPr>
          <w:rFonts w:ascii="Times New Roman" w:hAnsi="Times New Roman" w:cs="Times New Roman"/>
          <w:b/>
          <w:sz w:val="24"/>
          <w:szCs w:val="24"/>
        </w:rPr>
        <w:t xml:space="preserve">Tochukwu, O. R., Jerry, K., &amp; Titus, O. A. (2015) </w:t>
      </w:r>
      <w:r w:rsidRPr="000A7E1B">
        <w:rPr>
          <w:rFonts w:ascii="Times New Roman" w:hAnsi="Times New Roman" w:cs="Times New Roman"/>
          <w:bCs/>
          <w:sz w:val="24"/>
          <w:szCs w:val="24"/>
        </w:rPr>
        <w:t>"Value Added Tax and Consumption Expenditure Behaviour of Households in Nigeria " An Empirical Investigation. 3.</w:t>
      </w:r>
    </w:p>
    <w:bookmarkEnd w:id="18"/>
    <w:p w14:paraId="258181EB" w14:textId="77777777" w:rsidR="005E4276" w:rsidRPr="000A7E1B" w:rsidRDefault="005E4276" w:rsidP="000A7E1B">
      <w:pPr>
        <w:spacing w:line="360" w:lineRule="auto"/>
        <w:rPr>
          <w:b/>
        </w:rPr>
      </w:pPr>
    </w:p>
    <w:p w14:paraId="3301BCF6" w14:textId="77777777" w:rsidR="00D360E8" w:rsidRPr="000A7E1B" w:rsidRDefault="00D360E8" w:rsidP="000A7E1B">
      <w:pPr>
        <w:spacing w:line="360" w:lineRule="auto"/>
        <w:rPr>
          <w:b/>
        </w:rPr>
      </w:pPr>
    </w:p>
    <w:p w14:paraId="726EBCD7" w14:textId="77777777" w:rsidR="00D360E8" w:rsidRDefault="00D360E8" w:rsidP="000A7E1B">
      <w:pPr>
        <w:spacing w:line="360" w:lineRule="auto"/>
        <w:rPr>
          <w:b/>
        </w:rPr>
      </w:pPr>
    </w:p>
    <w:p w14:paraId="64101E24" w14:textId="77777777" w:rsidR="009A7496" w:rsidRDefault="009A7496" w:rsidP="000A7E1B">
      <w:pPr>
        <w:spacing w:line="360" w:lineRule="auto"/>
        <w:rPr>
          <w:b/>
        </w:rPr>
      </w:pPr>
    </w:p>
    <w:p w14:paraId="7F1FB98C" w14:textId="77777777" w:rsidR="009A7496" w:rsidRDefault="009A7496" w:rsidP="000A7E1B">
      <w:pPr>
        <w:spacing w:line="360" w:lineRule="auto"/>
        <w:rPr>
          <w:b/>
        </w:rPr>
      </w:pPr>
    </w:p>
    <w:p w14:paraId="20A460B9" w14:textId="77777777" w:rsidR="00C9703A" w:rsidRDefault="00C9703A" w:rsidP="000A7E1B">
      <w:pPr>
        <w:spacing w:line="360" w:lineRule="auto"/>
        <w:rPr>
          <w:b/>
        </w:rPr>
      </w:pPr>
    </w:p>
    <w:p w14:paraId="482CB865" w14:textId="77777777" w:rsidR="00F96F76" w:rsidRDefault="00F96F76" w:rsidP="000A7E1B">
      <w:pPr>
        <w:spacing w:line="360" w:lineRule="auto"/>
        <w:rPr>
          <w:b/>
        </w:rPr>
      </w:pPr>
    </w:p>
    <w:p w14:paraId="264BAC0D" w14:textId="77777777" w:rsidR="00265690" w:rsidRDefault="00265690" w:rsidP="000A7E1B">
      <w:pPr>
        <w:spacing w:line="360" w:lineRule="auto"/>
        <w:rPr>
          <w:b/>
        </w:rPr>
      </w:pPr>
    </w:p>
    <w:p w14:paraId="6314264C" w14:textId="77777777" w:rsidR="00265690" w:rsidRDefault="00265690" w:rsidP="000A7E1B">
      <w:pPr>
        <w:spacing w:line="360" w:lineRule="auto"/>
        <w:rPr>
          <w:b/>
        </w:rPr>
      </w:pPr>
    </w:p>
    <w:p w14:paraId="11E8404C" w14:textId="77777777" w:rsidR="00265690" w:rsidRPr="000A7E1B" w:rsidRDefault="00265690" w:rsidP="000A7E1B">
      <w:pPr>
        <w:spacing w:line="360" w:lineRule="auto"/>
        <w:rPr>
          <w:b/>
        </w:rPr>
      </w:pPr>
    </w:p>
    <w:p w14:paraId="7461CB37" w14:textId="77777777" w:rsidR="005E4276" w:rsidRDefault="005E4276">
      <w:pPr>
        <w:spacing w:line="360" w:lineRule="auto"/>
        <w:jc w:val="both"/>
        <w:rPr>
          <w:rFonts w:ascii="Times New Roman" w:eastAsia="Times New Roman" w:hAnsi="Times New Roman" w:cs="Times New Roman"/>
          <w:sz w:val="24"/>
          <w:szCs w:val="24"/>
        </w:rPr>
      </w:pPr>
    </w:p>
    <w:p w14:paraId="64C65AA0" w14:textId="47A81DFA" w:rsidR="005E4276" w:rsidRPr="00831DF8" w:rsidRDefault="006D388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ANNEXE</w:t>
      </w:r>
    </w:p>
    <w:p w14:paraId="288F9B8C" w14:textId="761FAC4C"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Annexe </w:t>
      </w:r>
      <w:r w:rsidR="00831DF8">
        <w:rPr>
          <w:rFonts w:ascii="Times New Roman" w:eastAsia="Times New Roman" w:hAnsi="Times New Roman" w:cs="Times New Roman"/>
          <w:sz w:val="24"/>
          <w:szCs w:val="24"/>
          <w:lang w:val="fr-FR"/>
        </w:rPr>
        <w:t>1</w:t>
      </w:r>
      <w:r w:rsidRPr="00256989">
        <w:rPr>
          <w:rFonts w:ascii="Times New Roman" w:eastAsia="Times New Roman" w:hAnsi="Times New Roman" w:cs="Times New Roman"/>
          <w:sz w:val="24"/>
          <w:szCs w:val="24"/>
          <w:lang w:val="fr-FR"/>
        </w:rPr>
        <w:t>. Le résultat de long t</w:t>
      </w:r>
      <w:r w:rsidR="003D060C">
        <w:rPr>
          <w:rFonts w:ascii="Times New Roman" w:eastAsia="Times New Roman" w:hAnsi="Times New Roman" w:cs="Times New Roman"/>
          <w:sz w:val="24"/>
          <w:szCs w:val="24"/>
          <w:lang w:val="fr-FR"/>
        </w:rPr>
        <w:t>erme du modèle 2</w:t>
      </w:r>
      <w:r w:rsidR="00C26BF1">
        <w:rPr>
          <w:rFonts w:ascii="Times New Roman" w:eastAsia="Times New Roman" w:hAnsi="Times New Roman" w:cs="Times New Roman"/>
          <w:sz w:val="24"/>
          <w:szCs w:val="24"/>
          <w:lang w:val="fr-FR"/>
        </w:rPr>
        <w:t xml:space="preserve"> ARDL (5</w:t>
      </w:r>
      <w:r w:rsidR="003D060C">
        <w:rPr>
          <w:rFonts w:ascii="Times New Roman" w:eastAsia="Times New Roman" w:hAnsi="Times New Roman" w:cs="Times New Roman"/>
          <w:sz w:val="24"/>
          <w:szCs w:val="24"/>
          <w:lang w:val="fr-FR"/>
        </w:rPr>
        <w:t>,1,4,2,4,4,3</w:t>
      </w:r>
      <w:r w:rsidRPr="00256989">
        <w:rPr>
          <w:rFonts w:ascii="Times New Roman" w:eastAsia="Times New Roman" w:hAnsi="Times New Roman" w:cs="Times New Roman"/>
          <w:sz w:val="24"/>
          <w:szCs w:val="24"/>
          <w:lang w:val="fr-FR"/>
        </w:rPr>
        <w:t>)</w:t>
      </w:r>
    </w:p>
    <w:p w14:paraId="273077E6" w14:textId="3821E4FC" w:rsidR="00C26BF1" w:rsidRDefault="003D060C">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257EFA25" wp14:editId="134F1DF5">
            <wp:extent cx="4305300" cy="20478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5300" cy="2047875"/>
                    </a:xfrm>
                    <a:prstGeom prst="rect">
                      <a:avLst/>
                    </a:prstGeom>
                  </pic:spPr>
                </pic:pic>
              </a:graphicData>
            </a:graphic>
          </wp:inline>
        </w:drawing>
      </w:r>
    </w:p>
    <w:p w14:paraId="6C6612E3" w14:textId="2FD461A5" w:rsidR="00C26BF1"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Annexe </w:t>
      </w:r>
      <w:r w:rsidR="00831DF8">
        <w:rPr>
          <w:rFonts w:ascii="Times New Roman" w:eastAsia="Times New Roman" w:hAnsi="Times New Roman" w:cs="Times New Roman"/>
          <w:sz w:val="24"/>
          <w:szCs w:val="24"/>
          <w:lang w:val="fr-FR"/>
        </w:rPr>
        <w:t>2</w:t>
      </w:r>
      <w:r w:rsidRPr="00256989">
        <w:rPr>
          <w:rFonts w:ascii="Times New Roman" w:eastAsia="Times New Roman" w:hAnsi="Times New Roman" w:cs="Times New Roman"/>
          <w:sz w:val="24"/>
          <w:szCs w:val="24"/>
          <w:lang w:val="fr-FR"/>
        </w:rPr>
        <w:t>: Le test de cointégration</w:t>
      </w:r>
    </w:p>
    <w:p w14:paraId="53B9589F" w14:textId="0B39ED04"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w:t>
      </w:r>
      <w:r w:rsidR="00532D22">
        <w:rPr>
          <w:rFonts w:ascii="Times New Roman" w:eastAsia="Times New Roman" w:hAnsi="Times New Roman" w:cs="Times New Roman"/>
          <w:sz w:val="24"/>
          <w:szCs w:val="24"/>
          <w:lang w:val="fr-FR"/>
        </w:rPr>
        <w:t>Le modèle 1 du ARDL (</w:t>
      </w:r>
      <w:r w:rsidR="00E86EF5">
        <w:rPr>
          <w:rFonts w:ascii="Times New Roman" w:eastAsia="Times New Roman" w:hAnsi="Times New Roman" w:cs="Times New Roman"/>
          <w:sz w:val="24"/>
          <w:szCs w:val="24"/>
          <w:lang w:val="fr-FR"/>
        </w:rPr>
        <w:t>2,5,5,4,0,4,5</w:t>
      </w:r>
      <w:r w:rsidRPr="00256989">
        <w:rPr>
          <w:rFonts w:ascii="Times New Roman" w:eastAsia="Times New Roman" w:hAnsi="Times New Roman" w:cs="Times New Roman"/>
          <w:sz w:val="24"/>
          <w:szCs w:val="24"/>
          <w:lang w:val="fr-FR"/>
        </w:rPr>
        <w:t>)</w:t>
      </w:r>
    </w:p>
    <w:p w14:paraId="235DD9B9" w14:textId="06B075A0" w:rsidR="005E4276" w:rsidRDefault="001C2D06">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3A9D2ADB" wp14:editId="3A81E216">
            <wp:extent cx="4267200" cy="13906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7200" cy="1390650"/>
                    </a:xfrm>
                    <a:prstGeom prst="rect">
                      <a:avLst/>
                    </a:prstGeom>
                  </pic:spPr>
                </pic:pic>
              </a:graphicData>
            </a:graphic>
          </wp:inline>
        </w:drawing>
      </w:r>
    </w:p>
    <w:p w14:paraId="62765769" w14:textId="16723381"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316C">
        <w:rPr>
          <w:rFonts w:ascii="Times New Roman" w:eastAsia="Times New Roman" w:hAnsi="Times New Roman" w:cs="Times New Roman"/>
          <w:sz w:val="24"/>
          <w:szCs w:val="24"/>
        </w:rPr>
        <w:t>Le modèle 2 du ARDL (5,1,4,2,</w:t>
      </w:r>
      <w:r w:rsidR="0013163E">
        <w:rPr>
          <w:rFonts w:ascii="Times New Roman" w:eastAsia="Times New Roman" w:hAnsi="Times New Roman" w:cs="Times New Roman"/>
          <w:sz w:val="24"/>
          <w:szCs w:val="24"/>
        </w:rPr>
        <w:t>4,4,3</w:t>
      </w:r>
      <w:r>
        <w:rPr>
          <w:rFonts w:ascii="Times New Roman" w:eastAsia="Times New Roman" w:hAnsi="Times New Roman" w:cs="Times New Roman"/>
          <w:sz w:val="24"/>
          <w:szCs w:val="24"/>
        </w:rPr>
        <w:t>)</w:t>
      </w:r>
    </w:p>
    <w:p w14:paraId="4B814691" w14:textId="01B2B8A8" w:rsidR="005E4276" w:rsidRDefault="00D60647">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08124BED" wp14:editId="40F76F88">
            <wp:extent cx="4295775" cy="22098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95775" cy="2209800"/>
                    </a:xfrm>
                    <a:prstGeom prst="rect">
                      <a:avLst/>
                    </a:prstGeom>
                  </pic:spPr>
                </pic:pic>
              </a:graphicData>
            </a:graphic>
          </wp:inline>
        </w:drawing>
      </w:r>
    </w:p>
    <w:p w14:paraId="397D16E5" w14:textId="2804F11E"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Annexe </w:t>
      </w:r>
      <w:r w:rsidR="00831DF8">
        <w:rPr>
          <w:rFonts w:ascii="Times New Roman" w:eastAsia="Times New Roman" w:hAnsi="Times New Roman" w:cs="Times New Roman"/>
          <w:sz w:val="24"/>
          <w:szCs w:val="24"/>
        </w:rPr>
        <w:t>3</w:t>
      </w:r>
      <w:r>
        <w:rPr>
          <w:rFonts w:ascii="Times New Roman" w:eastAsia="Times New Roman" w:hAnsi="Times New Roman" w:cs="Times New Roman"/>
          <w:sz w:val="24"/>
          <w:szCs w:val="24"/>
        </w:rPr>
        <w:t>: Le test d’autocorrélation</w:t>
      </w:r>
    </w:p>
    <w:p w14:paraId="2FCC98AB" w14:textId="60A2C538" w:rsidR="0093772D" w:rsidRDefault="00F93DFD">
      <w:pPr>
        <w:spacing w:line="360" w:lineRule="auto"/>
        <w:jc w:val="both"/>
        <w:rPr>
          <w:rFonts w:ascii="Times New Roman" w:eastAsia="Times New Roman" w:hAnsi="Times New Roman" w:cs="Times New Roman"/>
          <w:sz w:val="24"/>
          <w:szCs w:val="24"/>
        </w:rPr>
      </w:pPr>
      <w:r>
        <w:rPr>
          <w:noProof/>
          <w:lang w:val="fr-FR"/>
        </w:rPr>
        <w:lastRenderedPageBreak/>
        <w:drawing>
          <wp:inline distT="0" distB="0" distL="0" distR="0" wp14:anchorId="03B0D270" wp14:editId="3185D12E">
            <wp:extent cx="4838700" cy="876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38700" cy="876300"/>
                    </a:xfrm>
                    <a:prstGeom prst="rect">
                      <a:avLst/>
                    </a:prstGeom>
                  </pic:spPr>
                </pic:pic>
              </a:graphicData>
            </a:graphic>
          </wp:inline>
        </w:drawing>
      </w:r>
    </w:p>
    <w:p w14:paraId="63769F54" w14:textId="1EFAF2B9"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Annexe </w:t>
      </w:r>
      <w:r w:rsidR="00831DF8">
        <w:rPr>
          <w:rFonts w:ascii="Times New Roman" w:eastAsia="Times New Roman" w:hAnsi="Times New Roman" w:cs="Times New Roman"/>
          <w:sz w:val="24"/>
          <w:szCs w:val="24"/>
        </w:rPr>
        <w:t>4</w:t>
      </w:r>
      <w:r>
        <w:rPr>
          <w:rFonts w:ascii="Times New Roman" w:eastAsia="Times New Roman" w:hAnsi="Times New Roman" w:cs="Times New Roman"/>
          <w:sz w:val="24"/>
          <w:szCs w:val="24"/>
        </w:rPr>
        <w:t>: Le test d’hétéroscédasticité</w:t>
      </w:r>
    </w:p>
    <w:p w14:paraId="0A4F4FC3" w14:textId="5AFA0395" w:rsidR="005E4276" w:rsidRDefault="0093772D">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7B938AF0" wp14:editId="664625E7">
            <wp:extent cx="4867275" cy="11430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67275" cy="1143000"/>
                    </a:xfrm>
                    <a:prstGeom prst="rect">
                      <a:avLst/>
                    </a:prstGeom>
                  </pic:spPr>
                </pic:pic>
              </a:graphicData>
            </a:graphic>
          </wp:inline>
        </w:drawing>
      </w:r>
    </w:p>
    <w:p w14:paraId="1FB3B127" w14:textId="2133CADB" w:rsidR="005E4276" w:rsidRDefault="006D38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Annexe</w:t>
      </w:r>
      <w:r w:rsidR="005B07FA">
        <w:rPr>
          <w:rFonts w:ascii="Times New Roman" w:eastAsia="Times New Roman" w:hAnsi="Times New Roman" w:cs="Times New Roman"/>
          <w:sz w:val="24"/>
          <w:szCs w:val="24"/>
        </w:rPr>
        <w:t xml:space="preserve"> </w:t>
      </w:r>
      <w:r w:rsidR="00831DF8">
        <w:rPr>
          <w:rFonts w:ascii="Times New Roman" w:eastAsia="Times New Roman" w:hAnsi="Times New Roman" w:cs="Times New Roman"/>
          <w:sz w:val="24"/>
          <w:szCs w:val="24"/>
        </w:rPr>
        <w:t>5</w:t>
      </w:r>
      <w:r>
        <w:rPr>
          <w:rFonts w:ascii="Times New Roman" w:eastAsia="Times New Roman" w:hAnsi="Times New Roman" w:cs="Times New Roman"/>
          <w:sz w:val="24"/>
          <w:szCs w:val="24"/>
        </w:rPr>
        <w:t>: le test de normalité</w:t>
      </w:r>
    </w:p>
    <w:p w14:paraId="75DC3070" w14:textId="4AA1FEE5" w:rsidR="005E4276" w:rsidRDefault="000D7DD0">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74DA3985" wp14:editId="162D5E73">
            <wp:extent cx="5943600" cy="18605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860550"/>
                    </a:xfrm>
                    <a:prstGeom prst="rect">
                      <a:avLst/>
                    </a:prstGeom>
                  </pic:spPr>
                </pic:pic>
              </a:graphicData>
            </a:graphic>
          </wp:inline>
        </w:drawing>
      </w:r>
    </w:p>
    <w:p w14:paraId="72A2D731" w14:textId="77777777" w:rsidR="00831DF8" w:rsidRDefault="00831DF8">
      <w:pPr>
        <w:spacing w:line="360" w:lineRule="auto"/>
        <w:jc w:val="both"/>
        <w:rPr>
          <w:rFonts w:ascii="Times New Roman" w:eastAsia="Times New Roman" w:hAnsi="Times New Roman" w:cs="Times New Roman"/>
          <w:sz w:val="24"/>
          <w:szCs w:val="24"/>
        </w:rPr>
      </w:pPr>
    </w:p>
    <w:p w14:paraId="48414287" w14:textId="3B8A5BCB"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Annexe </w:t>
      </w:r>
      <w:r w:rsidR="00831DF8">
        <w:rPr>
          <w:rFonts w:ascii="Times New Roman" w:eastAsia="Times New Roman" w:hAnsi="Times New Roman" w:cs="Times New Roman"/>
          <w:sz w:val="24"/>
          <w:szCs w:val="24"/>
          <w:lang w:val="fr-FR"/>
        </w:rPr>
        <w:t>6</w:t>
      </w:r>
      <w:r w:rsidRPr="00256989">
        <w:rPr>
          <w:rFonts w:ascii="Times New Roman" w:eastAsia="Times New Roman" w:hAnsi="Times New Roman" w:cs="Times New Roman"/>
          <w:sz w:val="24"/>
          <w:szCs w:val="24"/>
          <w:lang w:val="fr-FR"/>
        </w:rPr>
        <w:t>: Graphique de CUSUM du modèle 1</w:t>
      </w:r>
    </w:p>
    <w:p w14:paraId="27995188" w14:textId="5E249392" w:rsidR="000A119B" w:rsidRDefault="003F795D">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4190FDB0" wp14:editId="20AC4885">
            <wp:extent cx="5942013" cy="2070100"/>
            <wp:effectExtent l="0" t="0" r="1905"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8145" cy="2075720"/>
                    </a:xfrm>
                    <a:prstGeom prst="rect">
                      <a:avLst/>
                    </a:prstGeom>
                  </pic:spPr>
                </pic:pic>
              </a:graphicData>
            </a:graphic>
          </wp:inline>
        </w:drawing>
      </w:r>
    </w:p>
    <w:p w14:paraId="124B4D69" w14:textId="2D602D65" w:rsidR="005E4276" w:rsidRPr="00256989" w:rsidRDefault="006D388F">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lastRenderedPageBreak/>
        <w:t>Annexe</w:t>
      </w:r>
      <w:r w:rsidR="008F0527">
        <w:rPr>
          <w:rFonts w:ascii="Times New Roman" w:eastAsia="Times New Roman" w:hAnsi="Times New Roman" w:cs="Times New Roman"/>
          <w:sz w:val="24"/>
          <w:szCs w:val="24"/>
          <w:lang w:val="fr-FR"/>
        </w:rPr>
        <w:t xml:space="preserve"> </w:t>
      </w:r>
      <w:r w:rsidR="00831DF8">
        <w:rPr>
          <w:rFonts w:ascii="Times New Roman" w:eastAsia="Times New Roman" w:hAnsi="Times New Roman" w:cs="Times New Roman"/>
          <w:sz w:val="24"/>
          <w:szCs w:val="24"/>
          <w:lang w:val="fr-FR"/>
        </w:rPr>
        <w:t>7</w:t>
      </w:r>
      <w:r w:rsidRPr="00256989">
        <w:rPr>
          <w:rFonts w:ascii="Times New Roman" w:eastAsia="Times New Roman" w:hAnsi="Times New Roman" w:cs="Times New Roman"/>
          <w:sz w:val="24"/>
          <w:szCs w:val="24"/>
          <w:lang w:val="fr-FR"/>
        </w:rPr>
        <w:t xml:space="preserve"> : Le résultat de</w:t>
      </w:r>
      <w:r w:rsidR="00B843A2">
        <w:rPr>
          <w:rFonts w:ascii="Times New Roman" w:eastAsia="Times New Roman" w:hAnsi="Times New Roman" w:cs="Times New Roman"/>
          <w:sz w:val="24"/>
          <w:szCs w:val="24"/>
          <w:lang w:val="fr-FR"/>
        </w:rPr>
        <w:t xml:space="preserve"> court terme du G2 ARDL (1,1,2,2,2</w:t>
      </w:r>
      <w:r w:rsidRPr="00256989">
        <w:rPr>
          <w:rFonts w:ascii="Times New Roman" w:eastAsia="Times New Roman" w:hAnsi="Times New Roman" w:cs="Times New Roman"/>
          <w:sz w:val="24"/>
          <w:szCs w:val="24"/>
          <w:lang w:val="fr-FR"/>
        </w:rPr>
        <w:t>)</w:t>
      </w:r>
    </w:p>
    <w:p w14:paraId="6DE57E46" w14:textId="03258A16" w:rsidR="005E4276" w:rsidRDefault="00B843A2">
      <w:pPr>
        <w:spacing w:line="360" w:lineRule="auto"/>
        <w:jc w:val="both"/>
        <w:rPr>
          <w:rFonts w:ascii="Times New Roman" w:eastAsia="Times New Roman" w:hAnsi="Times New Roman" w:cs="Times New Roman"/>
          <w:sz w:val="24"/>
          <w:szCs w:val="24"/>
        </w:rPr>
      </w:pPr>
      <w:r>
        <w:rPr>
          <w:noProof/>
          <w:lang w:val="fr-FR"/>
        </w:rPr>
        <w:drawing>
          <wp:inline distT="0" distB="0" distL="0" distR="0" wp14:anchorId="522F16AD" wp14:editId="32EA3067">
            <wp:extent cx="4295775" cy="2814762"/>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02676" cy="2819284"/>
                    </a:xfrm>
                    <a:prstGeom prst="rect">
                      <a:avLst/>
                    </a:prstGeom>
                  </pic:spPr>
                </pic:pic>
              </a:graphicData>
            </a:graphic>
          </wp:inline>
        </w:drawing>
      </w:r>
    </w:p>
    <w:p w14:paraId="182A2810" w14:textId="4C3744B4" w:rsidR="005E4276" w:rsidRPr="000A119B" w:rsidRDefault="008F0527">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Annexe </w:t>
      </w:r>
      <w:r w:rsidR="00831DF8">
        <w:rPr>
          <w:rFonts w:ascii="Times New Roman" w:eastAsia="Times New Roman" w:hAnsi="Times New Roman" w:cs="Times New Roman"/>
          <w:sz w:val="24"/>
          <w:szCs w:val="24"/>
          <w:lang w:val="fr-FR"/>
        </w:rPr>
        <w:t>8</w:t>
      </w:r>
      <w:r w:rsidR="00BC307B">
        <w:rPr>
          <w:rFonts w:ascii="Times New Roman" w:eastAsia="Times New Roman" w:hAnsi="Times New Roman" w:cs="Times New Roman"/>
          <w:sz w:val="24"/>
          <w:szCs w:val="24"/>
          <w:lang w:val="fr-FR"/>
        </w:rPr>
        <w:t>: Le résultat de long terme du G5 ARDL (2,3,3</w:t>
      </w:r>
      <w:r w:rsidR="00004AF1">
        <w:rPr>
          <w:rFonts w:ascii="Times New Roman" w:eastAsia="Times New Roman" w:hAnsi="Times New Roman" w:cs="Times New Roman"/>
          <w:sz w:val="24"/>
          <w:szCs w:val="24"/>
          <w:lang w:val="fr-FR"/>
        </w:rPr>
        <w:t>,2,3</w:t>
      </w:r>
      <w:r w:rsidRPr="00256989">
        <w:rPr>
          <w:rFonts w:ascii="Times New Roman" w:eastAsia="Times New Roman" w:hAnsi="Times New Roman" w:cs="Times New Roman"/>
          <w:sz w:val="24"/>
          <w:szCs w:val="24"/>
          <w:lang w:val="fr-FR"/>
        </w:rPr>
        <w:t>)</w:t>
      </w:r>
    </w:p>
    <w:p w14:paraId="37D2E426" w14:textId="5C80B613" w:rsidR="005E4276" w:rsidRPr="003F795D" w:rsidRDefault="008F0527">
      <w:pPr>
        <w:spacing w:line="360" w:lineRule="auto"/>
        <w:jc w:val="both"/>
        <w:rPr>
          <w:rFonts w:ascii="Times New Roman" w:eastAsia="Times New Roman" w:hAnsi="Times New Roman" w:cs="Times New Roman"/>
          <w:b/>
          <w:sz w:val="24"/>
          <w:szCs w:val="24"/>
        </w:rPr>
      </w:pPr>
      <w:r>
        <w:rPr>
          <w:noProof/>
          <w:lang w:val="fr-FR"/>
        </w:rPr>
        <w:drawing>
          <wp:inline distT="0" distB="0" distL="0" distR="0" wp14:anchorId="5A53014B" wp14:editId="3D6581F3">
            <wp:extent cx="4324350" cy="25241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4350" cy="2524125"/>
                    </a:xfrm>
                    <a:prstGeom prst="rect">
                      <a:avLst/>
                    </a:prstGeom>
                  </pic:spPr>
                </pic:pic>
              </a:graphicData>
            </a:graphic>
          </wp:inline>
        </w:drawing>
      </w:r>
    </w:p>
    <w:p w14:paraId="52C9617E" w14:textId="16A187FD" w:rsidR="005E4276" w:rsidRPr="000208D0" w:rsidRDefault="000208D0">
      <w:pPr>
        <w:spacing w:line="360" w:lineRule="auto"/>
        <w:jc w:val="both"/>
        <w:rPr>
          <w:rFonts w:ascii="Times New Roman" w:eastAsia="Times New Roman" w:hAnsi="Times New Roman" w:cs="Times New Roman"/>
          <w:sz w:val="24"/>
          <w:szCs w:val="24"/>
          <w:lang w:val="fr-FR"/>
        </w:rPr>
      </w:pPr>
      <w:r w:rsidRPr="00256989">
        <w:rPr>
          <w:rFonts w:ascii="Times New Roman" w:eastAsia="Times New Roman" w:hAnsi="Times New Roman" w:cs="Times New Roman"/>
          <w:sz w:val="24"/>
          <w:szCs w:val="24"/>
          <w:lang w:val="fr-FR"/>
        </w:rPr>
        <w:t xml:space="preserve">Annexe </w:t>
      </w:r>
      <w:r w:rsidR="00831DF8">
        <w:rPr>
          <w:rFonts w:ascii="Times New Roman" w:eastAsia="Times New Roman" w:hAnsi="Times New Roman" w:cs="Times New Roman"/>
          <w:sz w:val="24"/>
          <w:szCs w:val="24"/>
          <w:lang w:val="fr-FR"/>
        </w:rPr>
        <w:t>9</w:t>
      </w:r>
      <w:r>
        <w:rPr>
          <w:rFonts w:ascii="Times New Roman" w:eastAsia="Times New Roman" w:hAnsi="Times New Roman" w:cs="Times New Roman"/>
          <w:sz w:val="24"/>
          <w:szCs w:val="24"/>
          <w:lang w:val="fr-FR"/>
        </w:rPr>
        <w:t xml:space="preserve"> : Le résu</w:t>
      </w:r>
      <w:r w:rsidR="000620CE">
        <w:rPr>
          <w:rFonts w:ascii="Times New Roman" w:eastAsia="Times New Roman" w:hAnsi="Times New Roman" w:cs="Times New Roman"/>
          <w:sz w:val="24"/>
          <w:szCs w:val="24"/>
          <w:lang w:val="fr-FR"/>
        </w:rPr>
        <w:t>ltat de court terme du G3</w:t>
      </w:r>
      <w:r w:rsidR="003E1EA8">
        <w:rPr>
          <w:rFonts w:ascii="Times New Roman" w:eastAsia="Times New Roman" w:hAnsi="Times New Roman" w:cs="Times New Roman"/>
          <w:sz w:val="24"/>
          <w:szCs w:val="24"/>
          <w:lang w:val="fr-FR"/>
        </w:rPr>
        <w:t xml:space="preserve"> ARDL (1,3,3,3</w:t>
      </w:r>
      <w:r>
        <w:rPr>
          <w:rFonts w:ascii="Times New Roman" w:eastAsia="Times New Roman" w:hAnsi="Times New Roman" w:cs="Times New Roman"/>
          <w:sz w:val="24"/>
          <w:szCs w:val="24"/>
          <w:lang w:val="fr-FR"/>
        </w:rPr>
        <w:t>,3</w:t>
      </w:r>
      <w:r w:rsidRPr="00256989">
        <w:rPr>
          <w:rFonts w:ascii="Times New Roman" w:eastAsia="Times New Roman" w:hAnsi="Times New Roman" w:cs="Times New Roman"/>
          <w:sz w:val="24"/>
          <w:szCs w:val="24"/>
          <w:lang w:val="fr-FR"/>
        </w:rPr>
        <w:t>)</w:t>
      </w:r>
      <w:r w:rsidR="000620CE">
        <w:rPr>
          <w:rFonts w:ascii="Times New Roman" w:eastAsia="Times New Roman" w:hAnsi="Times New Roman" w:cs="Times New Roman"/>
          <w:sz w:val="24"/>
          <w:szCs w:val="24"/>
          <w:lang w:val="fr-FR"/>
        </w:rPr>
        <w:t xml:space="preserve"> (test de robustesse)</w:t>
      </w:r>
    </w:p>
    <w:p w14:paraId="12AE1264" w14:textId="29169FA6" w:rsidR="005E4276" w:rsidRDefault="000208D0">
      <w:pPr>
        <w:rPr>
          <w:rFonts w:ascii="Times New Roman" w:eastAsia="Times New Roman" w:hAnsi="Times New Roman" w:cs="Times New Roman"/>
          <w:sz w:val="24"/>
          <w:szCs w:val="24"/>
        </w:rPr>
      </w:pPr>
      <w:r>
        <w:rPr>
          <w:noProof/>
          <w:lang w:val="fr-FR"/>
        </w:rPr>
        <w:lastRenderedPageBreak/>
        <w:drawing>
          <wp:inline distT="0" distB="0" distL="0" distR="0" wp14:anchorId="63F75B46" wp14:editId="23758092">
            <wp:extent cx="4324350" cy="39719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24350" cy="3971925"/>
                    </a:xfrm>
                    <a:prstGeom prst="rect">
                      <a:avLst/>
                    </a:prstGeom>
                  </pic:spPr>
                </pic:pic>
              </a:graphicData>
            </a:graphic>
          </wp:inline>
        </w:drawing>
      </w:r>
    </w:p>
    <w:sectPr w:rsidR="005E4276" w:rsidSect="00B12410">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2F45" w14:textId="77777777" w:rsidR="003A73F0" w:rsidRDefault="003A73F0">
      <w:pPr>
        <w:spacing w:after="0" w:line="240" w:lineRule="auto"/>
      </w:pPr>
      <w:r>
        <w:separator/>
      </w:r>
    </w:p>
  </w:endnote>
  <w:endnote w:type="continuationSeparator" w:id="0">
    <w:p w14:paraId="6C022416" w14:textId="77777777" w:rsidR="003A73F0" w:rsidRDefault="003A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936495"/>
      <w:docPartObj>
        <w:docPartGallery w:val="Page Numbers (Bottom of Page)"/>
        <w:docPartUnique/>
      </w:docPartObj>
    </w:sdtPr>
    <w:sdtEndPr/>
    <w:sdtContent>
      <w:p w14:paraId="7A0DBDAD" w14:textId="4DDD7E9F" w:rsidR="005C0169" w:rsidRDefault="005C0169">
        <w:pPr>
          <w:pStyle w:val="Pieddepage"/>
          <w:jc w:val="right"/>
        </w:pPr>
        <w:r>
          <w:fldChar w:fldCharType="begin"/>
        </w:r>
        <w:r>
          <w:instrText>PAGE   \* MERGEFORMAT</w:instrText>
        </w:r>
        <w:r>
          <w:fldChar w:fldCharType="separate"/>
        </w:r>
        <w:r w:rsidR="003F3DF9" w:rsidRPr="003F3DF9">
          <w:rPr>
            <w:noProof/>
            <w:lang w:val="fr-FR"/>
          </w:rPr>
          <w:t>53</w:t>
        </w:r>
        <w:r>
          <w:fldChar w:fldCharType="end"/>
        </w:r>
      </w:p>
    </w:sdtContent>
  </w:sdt>
  <w:p w14:paraId="4CF71DB6" w14:textId="77777777" w:rsidR="005C0169" w:rsidRDefault="005C0169">
    <w:pPr>
      <w:pBdr>
        <w:top w:val="nil"/>
        <w:left w:val="nil"/>
        <w:bottom w:val="nil"/>
        <w:right w:val="nil"/>
        <w:between w:val="nil"/>
      </w:pBdr>
      <w:tabs>
        <w:tab w:val="center" w:pos="4536"/>
        <w:tab w:val="right" w:pos="9072"/>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8839" w14:textId="77777777" w:rsidR="003A73F0" w:rsidRDefault="003A73F0">
      <w:pPr>
        <w:spacing w:after="0" w:line="240" w:lineRule="auto"/>
      </w:pPr>
      <w:r>
        <w:separator/>
      </w:r>
    </w:p>
  </w:footnote>
  <w:footnote w:type="continuationSeparator" w:id="0">
    <w:p w14:paraId="04FA2CD2" w14:textId="77777777" w:rsidR="003A73F0" w:rsidRDefault="003A73F0">
      <w:pPr>
        <w:spacing w:after="0" w:line="240" w:lineRule="auto"/>
      </w:pPr>
      <w:r>
        <w:continuationSeparator/>
      </w:r>
    </w:p>
  </w:footnote>
  <w:footnote w:id="1">
    <w:p w14:paraId="0F4CF2F4" w14:textId="77777777" w:rsidR="005C0169" w:rsidRPr="00256989" w:rsidRDefault="005C01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fr-FR"/>
        </w:rPr>
      </w:pPr>
      <w:r>
        <w:rPr>
          <w:vertAlign w:val="superscript"/>
        </w:rPr>
        <w:footnoteRef/>
      </w:r>
      <w:r w:rsidRPr="00256989">
        <w:rPr>
          <w:rFonts w:eastAsia="Calibri"/>
          <w:color w:val="000000"/>
          <w:sz w:val="20"/>
          <w:szCs w:val="20"/>
          <w:lang w:val="fr-FR"/>
        </w:rPr>
        <w:t xml:space="preserve"> </w:t>
      </w:r>
      <w:r w:rsidRPr="00256989">
        <w:rPr>
          <w:rFonts w:ascii="Times New Roman" w:eastAsia="Times New Roman" w:hAnsi="Times New Roman" w:cs="Times New Roman"/>
          <w:color w:val="000000"/>
          <w:sz w:val="20"/>
          <w:szCs w:val="20"/>
          <w:lang w:val="fr-FR"/>
        </w:rPr>
        <w:t>La propension marginale à consommer représente la part du revenu supplémentaire qui est consacré un supplément de consommation. Selon Keynes, sa formule se définit par: PMC</w:t>
      </w:r>
      <w:r w:rsidRPr="00256989">
        <w:rPr>
          <w:rFonts w:ascii="Cambria Math" w:eastAsia="Cambria Math" w:hAnsi="Cambria Math" w:cs="Cambria Math"/>
          <w:color w:val="000000"/>
          <w:sz w:val="20"/>
          <w:szCs w:val="20"/>
          <w:lang w:val="fr-FR"/>
        </w:rPr>
        <w:t>=</w:t>
      </w:r>
      <w:r>
        <w:rPr>
          <w:rFonts w:ascii="Cambria Math" w:eastAsia="Cambria Math" w:hAnsi="Cambria Math" w:cs="Cambria Math"/>
          <w:color w:val="000000"/>
          <w:sz w:val="20"/>
          <w:szCs w:val="20"/>
        </w:rPr>
        <w:t>Δ</w:t>
      </w:r>
      <w:r w:rsidRPr="00256989">
        <w:rPr>
          <w:rFonts w:ascii="Cambria Math" w:eastAsia="Cambria Math" w:hAnsi="Cambria Math" w:cs="Cambria Math"/>
          <w:color w:val="000000"/>
          <w:sz w:val="20"/>
          <w:szCs w:val="20"/>
          <w:lang w:val="fr-FR"/>
        </w:rPr>
        <w:t>C/</w:t>
      </w:r>
      <w:r>
        <w:rPr>
          <w:rFonts w:ascii="Cambria Math" w:eastAsia="Cambria Math" w:hAnsi="Cambria Math" w:cs="Cambria Math"/>
          <w:color w:val="000000"/>
          <w:sz w:val="20"/>
          <w:szCs w:val="20"/>
        </w:rPr>
        <w:t>Δ</w:t>
      </w:r>
      <w:r w:rsidRPr="00256989">
        <w:rPr>
          <w:rFonts w:ascii="Cambria Math" w:eastAsia="Cambria Math" w:hAnsi="Cambria Math" w:cs="Cambria Math"/>
          <w:color w:val="000000"/>
          <w:sz w:val="20"/>
          <w:szCs w:val="20"/>
          <w:lang w:val="fr-FR"/>
        </w:rPr>
        <w:t>Yd</w:t>
      </w:r>
      <w:r w:rsidRPr="00256989">
        <w:rPr>
          <w:rFonts w:ascii="Times New Roman" w:eastAsia="Times New Roman" w:hAnsi="Times New Roman" w:cs="Times New Roman"/>
          <w:color w:val="000000"/>
          <w:sz w:val="20"/>
          <w:szCs w:val="20"/>
          <w:lang w:val="fr-FR"/>
        </w:rPr>
        <w:t>.</w:t>
      </w:r>
    </w:p>
  </w:footnote>
  <w:footnote w:id="2">
    <w:p w14:paraId="161133BE" w14:textId="77777777" w:rsidR="005C0169" w:rsidRPr="00256989" w:rsidRDefault="005C016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fr-FR"/>
        </w:rPr>
      </w:pPr>
      <w:r>
        <w:rPr>
          <w:vertAlign w:val="superscript"/>
        </w:rPr>
        <w:footnoteRef/>
      </w:r>
      <w:r w:rsidRPr="00256989">
        <w:rPr>
          <w:rFonts w:eastAsia="Calibri"/>
          <w:color w:val="000000"/>
          <w:sz w:val="20"/>
          <w:szCs w:val="20"/>
          <w:lang w:val="fr-FR"/>
        </w:rPr>
        <w:t xml:space="preserve"> </w:t>
      </w:r>
      <w:r w:rsidRPr="00256989">
        <w:rPr>
          <w:rFonts w:ascii="Times New Roman" w:eastAsia="Times New Roman" w:hAnsi="Times New Roman" w:cs="Times New Roman"/>
          <w:color w:val="000000"/>
          <w:sz w:val="20"/>
          <w:szCs w:val="20"/>
          <w:lang w:val="fr-FR"/>
        </w:rPr>
        <w:t>La propension moyenne à consommer représente la part du revenu des ménages consacrés à la consommation</w:t>
      </w:r>
      <w:r w:rsidRPr="00256989">
        <w:rPr>
          <w:rFonts w:eastAsia="Calibri"/>
          <w:color w:val="000000"/>
          <w:sz w:val="20"/>
          <w:szCs w:val="20"/>
          <w:lang w:val="fr-FR"/>
        </w:rPr>
        <w:t xml:space="preserve">. Sa formule est </w:t>
      </w:r>
      <w:r w:rsidRPr="00256989">
        <w:rPr>
          <w:sz w:val="20"/>
          <w:szCs w:val="20"/>
          <w:lang w:val="fr-FR"/>
        </w:rPr>
        <w:t>définie</w:t>
      </w:r>
      <w:r w:rsidRPr="00256989">
        <w:rPr>
          <w:rFonts w:eastAsia="Calibri"/>
          <w:color w:val="000000"/>
          <w:sz w:val="20"/>
          <w:szCs w:val="20"/>
          <w:lang w:val="fr-FR"/>
        </w:rPr>
        <w:t xml:space="preserve"> par </w:t>
      </w:r>
      <w:r w:rsidRPr="00256989">
        <w:rPr>
          <w:rFonts w:ascii="Cambria Math" w:eastAsia="Cambria Math" w:hAnsi="Cambria Math" w:cs="Cambria Math"/>
          <w:color w:val="000000"/>
          <w:sz w:val="20"/>
          <w:szCs w:val="20"/>
          <w:lang w:val="fr-FR"/>
        </w:rPr>
        <w:t>Pmc= C/Yd</w:t>
      </w:r>
      <w:r w:rsidRPr="00256989">
        <w:rPr>
          <w:rFonts w:ascii="Times New Roman" w:eastAsia="Times New Roman" w:hAnsi="Times New Roman" w:cs="Times New Roman"/>
          <w:color w:val="000000"/>
          <w:sz w:val="20"/>
          <w:szCs w:val="20"/>
          <w:lang w:val="fr-FR"/>
        </w:rPr>
        <w:t xml:space="preserve"> avec </w:t>
      </w:r>
      <w:r w:rsidRPr="00256989">
        <w:rPr>
          <w:rFonts w:ascii="Cambria Math" w:eastAsia="Cambria Math" w:hAnsi="Cambria Math" w:cs="Cambria Math"/>
          <w:color w:val="000000"/>
          <w:sz w:val="20"/>
          <w:szCs w:val="20"/>
          <w:lang w:val="fr-FR"/>
        </w:rPr>
        <w:t>C</w:t>
      </w:r>
      <w:r w:rsidRPr="00256989">
        <w:rPr>
          <w:rFonts w:ascii="Times New Roman" w:eastAsia="Times New Roman" w:hAnsi="Times New Roman" w:cs="Times New Roman"/>
          <w:color w:val="000000"/>
          <w:sz w:val="20"/>
          <w:szCs w:val="20"/>
          <w:lang w:val="fr-FR"/>
        </w:rPr>
        <w:t xml:space="preserve"> la consommation totale et </w:t>
      </w:r>
      <w:r w:rsidRPr="00256989">
        <w:rPr>
          <w:rFonts w:ascii="Cambria Math" w:eastAsia="Cambria Math" w:hAnsi="Cambria Math" w:cs="Cambria Math"/>
          <w:color w:val="000000"/>
          <w:sz w:val="20"/>
          <w:szCs w:val="20"/>
          <w:lang w:val="fr-FR"/>
        </w:rPr>
        <w:t>Yd</w:t>
      </w:r>
      <w:r w:rsidRPr="00256989">
        <w:rPr>
          <w:rFonts w:ascii="Times New Roman" w:eastAsia="Times New Roman" w:hAnsi="Times New Roman" w:cs="Times New Roman"/>
          <w:color w:val="000000"/>
          <w:sz w:val="20"/>
          <w:szCs w:val="20"/>
          <w:lang w:val="fr-FR"/>
        </w:rPr>
        <w:t xml:space="preserve"> le revenu disponible.</w:t>
      </w:r>
    </w:p>
    <w:p w14:paraId="2CFAB3E0" w14:textId="77777777" w:rsidR="005C0169" w:rsidRPr="00256989" w:rsidRDefault="005C0169">
      <w:pPr>
        <w:pBdr>
          <w:top w:val="nil"/>
          <w:left w:val="nil"/>
          <w:bottom w:val="nil"/>
          <w:right w:val="nil"/>
          <w:between w:val="nil"/>
        </w:pBdr>
        <w:spacing w:after="0" w:line="240" w:lineRule="auto"/>
        <w:rPr>
          <w:rFonts w:eastAsia="Calibri"/>
          <w:color w:val="000000"/>
          <w:sz w:val="20"/>
          <w:szCs w:val="20"/>
          <w:lang w:val="fr-FR"/>
        </w:rPr>
      </w:pPr>
    </w:p>
  </w:footnote>
  <w:footnote w:id="3">
    <w:p w14:paraId="28D36687" w14:textId="77777777" w:rsidR="005C0169" w:rsidRPr="00256989" w:rsidRDefault="005C0169">
      <w:pPr>
        <w:pBdr>
          <w:top w:val="nil"/>
          <w:left w:val="nil"/>
          <w:bottom w:val="nil"/>
          <w:right w:val="nil"/>
          <w:between w:val="nil"/>
        </w:pBdr>
        <w:spacing w:after="0" w:line="240" w:lineRule="auto"/>
        <w:rPr>
          <w:rFonts w:eastAsia="Calibri"/>
          <w:color w:val="000000"/>
          <w:sz w:val="20"/>
          <w:szCs w:val="20"/>
          <w:lang w:val="fr-FR"/>
        </w:rPr>
      </w:pPr>
      <w:r>
        <w:rPr>
          <w:vertAlign w:val="superscript"/>
        </w:rPr>
        <w:footnoteRef/>
      </w:r>
      <w:r w:rsidRPr="00256989">
        <w:rPr>
          <w:rFonts w:eastAsia="Calibri"/>
          <w:color w:val="000000"/>
          <w:sz w:val="20"/>
          <w:szCs w:val="20"/>
          <w:lang w:val="fr-FR"/>
        </w:rPr>
        <w:t xml:space="preserve"> </w:t>
      </w:r>
      <w:r w:rsidRPr="00256989">
        <w:rPr>
          <w:rFonts w:ascii="Times New Roman" w:eastAsia="Times New Roman" w:hAnsi="Times New Roman" w:cs="Times New Roman"/>
          <w:color w:val="000000"/>
          <w:sz w:val="20"/>
          <w:szCs w:val="20"/>
          <w:lang w:val="fr-FR"/>
        </w:rPr>
        <w:t xml:space="preserve">De ce fait, la fonction de consommation Keynésienne est </w:t>
      </w:r>
      <w:r w:rsidRPr="00256989">
        <w:rPr>
          <w:rFonts w:ascii="Times New Roman" w:eastAsia="Times New Roman" w:hAnsi="Times New Roman" w:cs="Times New Roman"/>
          <w:sz w:val="20"/>
          <w:szCs w:val="20"/>
          <w:lang w:val="fr-FR"/>
        </w:rPr>
        <w:t>définie</w:t>
      </w:r>
      <w:r w:rsidRPr="00256989">
        <w:rPr>
          <w:rFonts w:ascii="Times New Roman" w:eastAsia="Times New Roman" w:hAnsi="Times New Roman" w:cs="Times New Roman"/>
          <w:color w:val="000000"/>
          <w:sz w:val="20"/>
          <w:szCs w:val="20"/>
          <w:lang w:val="fr-FR"/>
        </w:rPr>
        <w:t xml:space="preserve"> par:</w:t>
      </w:r>
      <w:r w:rsidRPr="00256989">
        <w:rPr>
          <w:rFonts w:ascii="Cambria Math" w:eastAsia="Cambria Math" w:hAnsi="Cambria Math" w:cs="Cambria Math"/>
          <w:color w:val="000000"/>
          <w:sz w:val="20"/>
          <w:szCs w:val="20"/>
          <w:lang w:val="fr-FR"/>
        </w:rPr>
        <w:t>C=C0+cY</w:t>
      </w:r>
      <w:r w:rsidRPr="00256989">
        <w:rPr>
          <w:rFonts w:ascii="Times New Roman" w:eastAsia="Times New Roman" w:hAnsi="Times New Roman" w:cs="Times New Roman"/>
          <w:color w:val="000000"/>
          <w:sz w:val="20"/>
          <w:szCs w:val="20"/>
          <w:lang w:val="fr-FR"/>
        </w:rPr>
        <w:t xml:space="preserve"> avec C: la consommation totale, </w:t>
      </w:r>
      <w:r w:rsidRPr="00256989">
        <w:rPr>
          <w:rFonts w:ascii="Cambria Math" w:eastAsia="Cambria Math" w:hAnsi="Cambria Math" w:cs="Cambria Math"/>
          <w:color w:val="000000"/>
          <w:sz w:val="20"/>
          <w:szCs w:val="20"/>
          <w:lang w:val="fr-FR"/>
        </w:rPr>
        <w:t>C0</w:t>
      </w:r>
      <w:r w:rsidRPr="00256989">
        <w:rPr>
          <w:rFonts w:ascii="Times New Roman" w:eastAsia="Times New Roman" w:hAnsi="Times New Roman" w:cs="Times New Roman"/>
          <w:color w:val="000000"/>
          <w:sz w:val="20"/>
          <w:szCs w:val="20"/>
          <w:lang w:val="fr-FR"/>
        </w:rPr>
        <w:t xml:space="preserve"> qui représente la consommation autonome, Y </w:t>
      </w:r>
      <w:r w:rsidRPr="00256989">
        <w:rPr>
          <w:rFonts w:ascii="Times New Roman" w:eastAsia="Times New Roman" w:hAnsi="Times New Roman" w:cs="Times New Roman"/>
          <w:sz w:val="20"/>
          <w:szCs w:val="20"/>
          <w:lang w:val="fr-FR"/>
        </w:rPr>
        <w:t>le</w:t>
      </w:r>
      <w:r w:rsidRPr="00256989">
        <w:rPr>
          <w:rFonts w:ascii="Times New Roman" w:eastAsia="Times New Roman" w:hAnsi="Times New Roman" w:cs="Times New Roman"/>
          <w:color w:val="000000"/>
          <w:sz w:val="20"/>
          <w:szCs w:val="20"/>
          <w:lang w:val="fr-FR"/>
        </w:rPr>
        <w:t xml:space="preserve"> revenu disponible et c la propension </w:t>
      </w:r>
      <w:r w:rsidRPr="00256989">
        <w:rPr>
          <w:rFonts w:ascii="Times New Roman" w:eastAsia="Times New Roman" w:hAnsi="Times New Roman" w:cs="Times New Roman"/>
          <w:sz w:val="20"/>
          <w:szCs w:val="20"/>
          <w:lang w:val="fr-FR"/>
        </w:rPr>
        <w:t>marginale à consommer</w:t>
      </w:r>
      <w:r w:rsidRPr="00256989">
        <w:rPr>
          <w:rFonts w:ascii="Times New Roman" w:eastAsia="Times New Roman" w:hAnsi="Times New Roman" w:cs="Times New Roman"/>
          <w:color w:val="000000"/>
          <w:sz w:val="20"/>
          <w:szCs w:val="20"/>
          <w:lang w:val="fr-FR"/>
        </w:rPr>
        <w:t>.</w:t>
      </w:r>
    </w:p>
  </w:footnote>
  <w:footnote w:id="4">
    <w:p w14:paraId="51110DD4" w14:textId="39C1CF73" w:rsidR="005C0169" w:rsidRPr="00256989" w:rsidRDefault="005C0169">
      <w:pPr>
        <w:pBdr>
          <w:top w:val="nil"/>
          <w:left w:val="nil"/>
          <w:bottom w:val="nil"/>
          <w:right w:val="nil"/>
          <w:between w:val="nil"/>
        </w:pBdr>
        <w:spacing w:after="0" w:line="240" w:lineRule="auto"/>
        <w:rPr>
          <w:rFonts w:eastAsia="Calibri"/>
          <w:color w:val="000000"/>
          <w:sz w:val="20"/>
          <w:szCs w:val="20"/>
          <w:lang w:val="fr-FR"/>
        </w:rPr>
      </w:pPr>
      <w:r>
        <w:rPr>
          <w:vertAlign w:val="superscript"/>
        </w:rPr>
        <w:footnoteRef/>
      </w:r>
      <w:r w:rsidRPr="00256989">
        <w:rPr>
          <w:rFonts w:eastAsia="Calibri"/>
          <w:color w:val="000000"/>
          <w:sz w:val="20"/>
          <w:szCs w:val="20"/>
          <w:lang w:val="fr-FR"/>
        </w:rPr>
        <w:t xml:space="preserve"> </w:t>
      </w:r>
      <w:r w:rsidRPr="00256989">
        <w:rPr>
          <w:rFonts w:ascii="Times New Roman" w:eastAsia="Times New Roman" w:hAnsi="Times New Roman" w:cs="Times New Roman"/>
          <w:color w:val="000000"/>
          <w:sz w:val="20"/>
          <w:szCs w:val="20"/>
          <w:lang w:val="fr-FR"/>
        </w:rPr>
        <w:t xml:space="preserve">Duesenberry (1994) dans sa fonction de consommation pose deux Hypothèses : Effet de démonstration qui stipule que la propension à consommer d’un ménage n’est </w:t>
      </w:r>
      <w:r w:rsidRPr="00256989">
        <w:rPr>
          <w:rFonts w:ascii="Times New Roman" w:eastAsia="Times New Roman" w:hAnsi="Times New Roman" w:cs="Times New Roman"/>
          <w:sz w:val="20"/>
          <w:szCs w:val="20"/>
          <w:lang w:val="fr-FR"/>
        </w:rPr>
        <w:t>pas en</w:t>
      </w:r>
      <w:r w:rsidRPr="00256989">
        <w:rPr>
          <w:rFonts w:ascii="Times New Roman" w:eastAsia="Times New Roman" w:hAnsi="Times New Roman" w:cs="Times New Roman"/>
          <w:color w:val="000000"/>
          <w:sz w:val="20"/>
          <w:szCs w:val="20"/>
          <w:lang w:val="fr-FR"/>
        </w:rPr>
        <w:t xml:space="preserve"> fonction seulement de son revenu disponible mais aussi de sa position relative dans l’échelle des revenus de sa catégories sociale et l’hypothèse de l’effet de cliquet qui montre que la Pmc reste constante sur une longue période.</w:t>
      </w:r>
    </w:p>
  </w:footnote>
  <w:footnote w:id="5">
    <w:p w14:paraId="164C4E1E" w14:textId="6F694BD2" w:rsidR="005C0169" w:rsidRPr="00256989" w:rsidRDefault="005C0169">
      <w:pPr>
        <w:pBdr>
          <w:top w:val="nil"/>
          <w:left w:val="nil"/>
          <w:bottom w:val="nil"/>
          <w:right w:val="nil"/>
          <w:between w:val="nil"/>
        </w:pBdr>
        <w:spacing w:after="0" w:line="240" w:lineRule="auto"/>
        <w:rPr>
          <w:rFonts w:eastAsia="Calibri"/>
          <w:color w:val="000000"/>
          <w:sz w:val="20"/>
          <w:szCs w:val="20"/>
          <w:lang w:val="fr-FR"/>
        </w:rPr>
      </w:pPr>
      <w:r>
        <w:rPr>
          <w:vertAlign w:val="superscript"/>
        </w:rPr>
        <w:footnoteRef/>
      </w:r>
      <w:r w:rsidRPr="00256989">
        <w:rPr>
          <w:rFonts w:eastAsia="Calibri"/>
          <w:color w:val="000000"/>
          <w:sz w:val="20"/>
          <w:szCs w:val="20"/>
          <w:lang w:val="fr-FR"/>
        </w:rPr>
        <w:t xml:space="preserve"> </w:t>
      </w:r>
      <w:r w:rsidRPr="00256989">
        <w:rPr>
          <w:rFonts w:ascii="Times New Roman" w:eastAsia="Times New Roman" w:hAnsi="Times New Roman" w:cs="Times New Roman"/>
          <w:color w:val="000000"/>
          <w:sz w:val="20"/>
          <w:szCs w:val="20"/>
          <w:lang w:val="fr-FR"/>
        </w:rPr>
        <w:t>La fonction est définie par</w:t>
      </w:r>
      <w:r w:rsidRPr="00256989">
        <w:rPr>
          <w:rFonts w:eastAsia="Calibri"/>
          <w:color w:val="000000"/>
          <w:sz w:val="20"/>
          <w:szCs w:val="20"/>
          <w:lang w:val="fr-FR"/>
        </w:rPr>
        <w:t xml:space="preserve"> :</w:t>
      </w:r>
      <w:r w:rsidRPr="00256989">
        <w:rPr>
          <w:rFonts w:ascii="Times New Roman" w:eastAsia="Times New Roman" w:hAnsi="Times New Roman" w:cs="Times New Roman"/>
          <w:color w:val="000000"/>
          <w:sz w:val="24"/>
          <w:szCs w:val="24"/>
          <w:lang w:val="fr-FR"/>
        </w:rPr>
        <w:t xml:space="preserve"> </w:t>
      </w:r>
      <w:r w:rsidRPr="00256989">
        <w:rPr>
          <w:rFonts w:ascii="Cambria Math" w:eastAsia="Cambria Math" w:hAnsi="Cambria Math" w:cs="Cambria Math"/>
          <w:color w:val="000000"/>
          <w:sz w:val="20"/>
          <w:szCs w:val="20"/>
          <w:lang w:val="fr-FR"/>
        </w:rPr>
        <w:t>Y=Yt+Yp</w:t>
      </w:r>
      <w:r w:rsidRPr="00256989">
        <w:rPr>
          <w:rFonts w:ascii="Times New Roman" w:eastAsia="Times New Roman" w:hAnsi="Times New Roman" w:cs="Times New Roman"/>
          <w:color w:val="000000"/>
          <w:sz w:val="20"/>
          <w:szCs w:val="20"/>
          <w:lang w:val="fr-FR"/>
        </w:rPr>
        <w:t xml:space="preserve"> avec </w:t>
      </w:r>
      <w:r w:rsidRPr="00256989">
        <w:rPr>
          <w:rFonts w:ascii="Cambria Math" w:eastAsia="Cambria Math" w:hAnsi="Cambria Math" w:cs="Cambria Math"/>
          <w:color w:val="000000"/>
          <w:sz w:val="20"/>
          <w:szCs w:val="20"/>
          <w:lang w:val="fr-FR"/>
        </w:rPr>
        <w:t>Yt</w:t>
      </w:r>
      <w:r w:rsidRPr="00256989">
        <w:rPr>
          <w:rFonts w:ascii="Times New Roman" w:eastAsia="Times New Roman" w:hAnsi="Times New Roman" w:cs="Times New Roman"/>
          <w:color w:val="000000"/>
          <w:sz w:val="20"/>
          <w:szCs w:val="20"/>
          <w:lang w:val="fr-FR"/>
        </w:rPr>
        <w:t xml:space="preserve"> qui représente le revenu transitoire et </w:t>
      </w:r>
      <w:r w:rsidRPr="00256989">
        <w:rPr>
          <w:rFonts w:ascii="Cambria Math" w:eastAsia="Cambria Math" w:hAnsi="Cambria Math" w:cs="Cambria Math"/>
          <w:color w:val="000000"/>
          <w:sz w:val="20"/>
          <w:szCs w:val="20"/>
          <w:lang w:val="fr-FR"/>
        </w:rPr>
        <w:t>Yp</w:t>
      </w:r>
      <w:r w:rsidRPr="00256989">
        <w:rPr>
          <w:rFonts w:ascii="Times New Roman" w:eastAsia="Times New Roman" w:hAnsi="Times New Roman" w:cs="Times New Roman"/>
          <w:color w:val="000000"/>
          <w:sz w:val="20"/>
          <w:szCs w:val="20"/>
          <w:lang w:val="fr-FR"/>
        </w:rPr>
        <w:t xml:space="preserve"> le revenu permanent.</w:t>
      </w:r>
    </w:p>
  </w:footnote>
  <w:footnote w:id="6">
    <w:p w14:paraId="2F34E102" w14:textId="77777777" w:rsidR="005C0169" w:rsidRPr="00256989" w:rsidRDefault="005C0169" w:rsidP="00CB6EA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fr-FR"/>
        </w:rPr>
      </w:pPr>
      <w:r>
        <w:rPr>
          <w:rStyle w:val="Appelnotedebasdep"/>
        </w:rPr>
        <w:footnoteRef/>
      </w:r>
      <w:r w:rsidRPr="00256989">
        <w:rPr>
          <w:lang w:val="fr-FR"/>
        </w:rPr>
        <w:t xml:space="preserve"> </w:t>
      </w:r>
      <w:r w:rsidRPr="00256989">
        <w:rPr>
          <w:rFonts w:ascii="Times New Roman" w:eastAsia="Times New Roman" w:hAnsi="Times New Roman" w:cs="Times New Roman"/>
          <w:color w:val="000000"/>
          <w:sz w:val="20"/>
          <w:szCs w:val="20"/>
          <w:lang w:val="fr-FR"/>
        </w:rPr>
        <w:t>La taxe sur la valeur ajoutée a été mise en application au Burkina Faso par la loi 4/92/ADP du 3 décembre 1992 et applicable le 1</w:t>
      </w:r>
      <w:r w:rsidRPr="00256989">
        <w:rPr>
          <w:rFonts w:ascii="Times New Roman" w:eastAsia="Times New Roman" w:hAnsi="Times New Roman" w:cs="Times New Roman"/>
          <w:color w:val="000000"/>
          <w:sz w:val="20"/>
          <w:szCs w:val="20"/>
          <w:vertAlign w:val="superscript"/>
          <w:lang w:val="fr-FR"/>
        </w:rPr>
        <w:t>er</w:t>
      </w:r>
      <w:r w:rsidRPr="00256989">
        <w:rPr>
          <w:rFonts w:ascii="Times New Roman" w:eastAsia="Times New Roman" w:hAnsi="Times New Roman" w:cs="Times New Roman"/>
          <w:color w:val="000000"/>
          <w:sz w:val="20"/>
          <w:szCs w:val="20"/>
          <w:lang w:val="fr-FR"/>
        </w:rPr>
        <w:t xml:space="preserve"> janvier 1993. Aujourd’hui, sont imposables à cette taxe notamment les personnes physiques ou morales qui réalisent des affaires imposables (autre que salariée). Et également les personnes suivantes ayant opté à la TVA c’est-à-dire exploitants agricoles, éleveurs, pêcheurs.</w:t>
      </w:r>
      <w:r w:rsidRPr="00256989">
        <w:rPr>
          <w:rFonts w:ascii="Times New Roman" w:eastAsia="Times New Roman" w:hAnsi="Times New Roman" w:cs="Times New Roman"/>
          <w:color w:val="000000"/>
          <w:sz w:val="24"/>
          <w:szCs w:val="24"/>
          <w:lang w:val="fr-FR"/>
        </w:rPr>
        <w:t xml:space="preserve"> </w:t>
      </w:r>
      <w:r w:rsidRPr="00256989">
        <w:rPr>
          <w:rFonts w:ascii="Times New Roman" w:eastAsia="Times New Roman" w:hAnsi="Times New Roman" w:cs="Times New Roman"/>
          <w:color w:val="000000"/>
          <w:sz w:val="20"/>
          <w:szCs w:val="20"/>
          <w:lang w:val="fr-FR"/>
        </w:rPr>
        <w:t>Son montant est calculé sur le prix de vente hors taxes de tous les biens et services.</w:t>
      </w:r>
    </w:p>
    <w:p w14:paraId="330849FE" w14:textId="1AA8CF30" w:rsidR="005C0169" w:rsidRPr="00CB6EAC" w:rsidRDefault="005C0169">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0BAC"/>
    <w:multiLevelType w:val="hybridMultilevel"/>
    <w:tmpl w:val="590CB04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E1D1B20"/>
    <w:multiLevelType w:val="multilevel"/>
    <w:tmpl w:val="B06C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23260"/>
    <w:multiLevelType w:val="multilevel"/>
    <w:tmpl w:val="8232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54ACC"/>
    <w:multiLevelType w:val="multilevel"/>
    <w:tmpl w:val="8ADC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3782C"/>
    <w:multiLevelType w:val="multilevel"/>
    <w:tmpl w:val="0A46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1147E4"/>
    <w:multiLevelType w:val="hybridMultilevel"/>
    <w:tmpl w:val="5B6E072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313744"/>
    <w:multiLevelType w:val="multilevel"/>
    <w:tmpl w:val="CFA0DE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B6B1B35"/>
    <w:multiLevelType w:val="hybridMultilevel"/>
    <w:tmpl w:val="ED5A5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3B7059"/>
    <w:multiLevelType w:val="multilevel"/>
    <w:tmpl w:val="9080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32E25"/>
    <w:multiLevelType w:val="multilevel"/>
    <w:tmpl w:val="E252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E2E4B"/>
    <w:multiLevelType w:val="multilevel"/>
    <w:tmpl w:val="495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265BF"/>
    <w:multiLevelType w:val="multilevel"/>
    <w:tmpl w:val="3420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423B85"/>
    <w:multiLevelType w:val="hybridMultilevel"/>
    <w:tmpl w:val="2FB6D5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3642037"/>
    <w:multiLevelType w:val="multilevel"/>
    <w:tmpl w:val="4112B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83413A"/>
    <w:multiLevelType w:val="multilevel"/>
    <w:tmpl w:val="FBE05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604F97"/>
    <w:multiLevelType w:val="hybridMultilevel"/>
    <w:tmpl w:val="60923B60"/>
    <w:lvl w:ilvl="0" w:tplc="D87217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F1F1447"/>
    <w:multiLevelType w:val="multilevel"/>
    <w:tmpl w:val="11D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074101">
    <w:abstractNumId w:val="6"/>
  </w:num>
  <w:num w:numId="2" w16cid:durableId="1187598546">
    <w:abstractNumId w:val="13"/>
  </w:num>
  <w:num w:numId="3" w16cid:durableId="2116123547">
    <w:abstractNumId w:val="11"/>
  </w:num>
  <w:num w:numId="4" w16cid:durableId="1683892989">
    <w:abstractNumId w:val="14"/>
  </w:num>
  <w:num w:numId="5" w16cid:durableId="87120098">
    <w:abstractNumId w:val="4"/>
  </w:num>
  <w:num w:numId="6" w16cid:durableId="2005086827">
    <w:abstractNumId w:val="0"/>
  </w:num>
  <w:num w:numId="7" w16cid:durableId="104230901">
    <w:abstractNumId w:val="9"/>
  </w:num>
  <w:num w:numId="8" w16cid:durableId="1874803373">
    <w:abstractNumId w:val="2"/>
  </w:num>
  <w:num w:numId="9" w16cid:durableId="1920167194">
    <w:abstractNumId w:val="1"/>
  </w:num>
  <w:num w:numId="10" w16cid:durableId="531698497">
    <w:abstractNumId w:val="15"/>
  </w:num>
  <w:num w:numId="11" w16cid:durableId="656568326">
    <w:abstractNumId w:val="16"/>
  </w:num>
  <w:num w:numId="12" w16cid:durableId="572393447">
    <w:abstractNumId w:val="3"/>
  </w:num>
  <w:num w:numId="13" w16cid:durableId="1959528460">
    <w:abstractNumId w:val="8"/>
  </w:num>
  <w:num w:numId="14" w16cid:durableId="1398239070">
    <w:abstractNumId w:val="10"/>
  </w:num>
  <w:num w:numId="15" w16cid:durableId="506945372">
    <w:abstractNumId w:val="7"/>
  </w:num>
  <w:num w:numId="16" w16cid:durableId="1066419914">
    <w:abstractNumId w:val="12"/>
  </w:num>
  <w:num w:numId="17" w16cid:durableId="976225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76"/>
    <w:rsid w:val="000033DF"/>
    <w:rsid w:val="000038FF"/>
    <w:rsid w:val="00004AF1"/>
    <w:rsid w:val="00006BC4"/>
    <w:rsid w:val="000104C6"/>
    <w:rsid w:val="000112F3"/>
    <w:rsid w:val="000208D0"/>
    <w:rsid w:val="00020FC0"/>
    <w:rsid w:val="00022239"/>
    <w:rsid w:val="00022F64"/>
    <w:rsid w:val="00024BF8"/>
    <w:rsid w:val="000252E0"/>
    <w:rsid w:val="00025660"/>
    <w:rsid w:val="000274A7"/>
    <w:rsid w:val="000339CE"/>
    <w:rsid w:val="000348F3"/>
    <w:rsid w:val="000360AC"/>
    <w:rsid w:val="000414BC"/>
    <w:rsid w:val="00041C57"/>
    <w:rsid w:val="000425DB"/>
    <w:rsid w:val="00042A44"/>
    <w:rsid w:val="00044A45"/>
    <w:rsid w:val="000504C8"/>
    <w:rsid w:val="00050F1F"/>
    <w:rsid w:val="00051B3A"/>
    <w:rsid w:val="00052A35"/>
    <w:rsid w:val="00053C28"/>
    <w:rsid w:val="00054D15"/>
    <w:rsid w:val="00054E86"/>
    <w:rsid w:val="00054F0B"/>
    <w:rsid w:val="00055D2D"/>
    <w:rsid w:val="00056183"/>
    <w:rsid w:val="00056B55"/>
    <w:rsid w:val="00060E49"/>
    <w:rsid w:val="00061BF5"/>
    <w:rsid w:val="000620CE"/>
    <w:rsid w:val="00062B6E"/>
    <w:rsid w:val="00066A59"/>
    <w:rsid w:val="00066AB3"/>
    <w:rsid w:val="00066F3F"/>
    <w:rsid w:val="000703F9"/>
    <w:rsid w:val="000704B1"/>
    <w:rsid w:val="00070CF1"/>
    <w:rsid w:val="00070ECC"/>
    <w:rsid w:val="0007570E"/>
    <w:rsid w:val="00076EB1"/>
    <w:rsid w:val="0007747A"/>
    <w:rsid w:val="00080637"/>
    <w:rsid w:val="000818FC"/>
    <w:rsid w:val="00082CBB"/>
    <w:rsid w:val="00083BCD"/>
    <w:rsid w:val="0008516F"/>
    <w:rsid w:val="000854BC"/>
    <w:rsid w:val="00087590"/>
    <w:rsid w:val="000879CB"/>
    <w:rsid w:val="00090137"/>
    <w:rsid w:val="00090CC7"/>
    <w:rsid w:val="00091068"/>
    <w:rsid w:val="000919C4"/>
    <w:rsid w:val="00091BEC"/>
    <w:rsid w:val="00092700"/>
    <w:rsid w:val="00093BE8"/>
    <w:rsid w:val="000945E9"/>
    <w:rsid w:val="00096559"/>
    <w:rsid w:val="0009775A"/>
    <w:rsid w:val="00097B53"/>
    <w:rsid w:val="000A119B"/>
    <w:rsid w:val="000A2A24"/>
    <w:rsid w:val="000A2B61"/>
    <w:rsid w:val="000A2C2E"/>
    <w:rsid w:val="000A2FE8"/>
    <w:rsid w:val="000A4B35"/>
    <w:rsid w:val="000A6440"/>
    <w:rsid w:val="000A7E1B"/>
    <w:rsid w:val="000B342D"/>
    <w:rsid w:val="000B35A8"/>
    <w:rsid w:val="000B6D6C"/>
    <w:rsid w:val="000B776B"/>
    <w:rsid w:val="000C0231"/>
    <w:rsid w:val="000C0353"/>
    <w:rsid w:val="000C075C"/>
    <w:rsid w:val="000C0D5A"/>
    <w:rsid w:val="000C3BDB"/>
    <w:rsid w:val="000C496C"/>
    <w:rsid w:val="000C73D0"/>
    <w:rsid w:val="000C7D91"/>
    <w:rsid w:val="000D0B35"/>
    <w:rsid w:val="000D0FE6"/>
    <w:rsid w:val="000D3489"/>
    <w:rsid w:val="000D3AAF"/>
    <w:rsid w:val="000D74DE"/>
    <w:rsid w:val="000D7DD0"/>
    <w:rsid w:val="000E00F0"/>
    <w:rsid w:val="000E06CD"/>
    <w:rsid w:val="000E3F26"/>
    <w:rsid w:val="000E4188"/>
    <w:rsid w:val="000E468A"/>
    <w:rsid w:val="000F1810"/>
    <w:rsid w:val="000F329C"/>
    <w:rsid w:val="000F4D80"/>
    <w:rsid w:val="000F56A4"/>
    <w:rsid w:val="000F6A5D"/>
    <w:rsid w:val="000F6BEF"/>
    <w:rsid w:val="00102087"/>
    <w:rsid w:val="001035A0"/>
    <w:rsid w:val="00103B55"/>
    <w:rsid w:val="00103FD6"/>
    <w:rsid w:val="00105E60"/>
    <w:rsid w:val="00110078"/>
    <w:rsid w:val="0011140A"/>
    <w:rsid w:val="00114410"/>
    <w:rsid w:val="001145F8"/>
    <w:rsid w:val="00114F02"/>
    <w:rsid w:val="00115CF5"/>
    <w:rsid w:val="001162E4"/>
    <w:rsid w:val="0011706E"/>
    <w:rsid w:val="00125A66"/>
    <w:rsid w:val="00131504"/>
    <w:rsid w:val="0013163E"/>
    <w:rsid w:val="001322AF"/>
    <w:rsid w:val="00133FD9"/>
    <w:rsid w:val="0013722D"/>
    <w:rsid w:val="00140BA2"/>
    <w:rsid w:val="00140D67"/>
    <w:rsid w:val="001419F9"/>
    <w:rsid w:val="00143084"/>
    <w:rsid w:val="00144D22"/>
    <w:rsid w:val="0014552E"/>
    <w:rsid w:val="00145E5F"/>
    <w:rsid w:val="0014667B"/>
    <w:rsid w:val="001477F1"/>
    <w:rsid w:val="00152307"/>
    <w:rsid w:val="00153ED3"/>
    <w:rsid w:val="00156AEF"/>
    <w:rsid w:val="00166172"/>
    <w:rsid w:val="00166CC9"/>
    <w:rsid w:val="00170A78"/>
    <w:rsid w:val="00171571"/>
    <w:rsid w:val="00171705"/>
    <w:rsid w:val="00173A39"/>
    <w:rsid w:val="00173E38"/>
    <w:rsid w:val="00176FBF"/>
    <w:rsid w:val="0017701D"/>
    <w:rsid w:val="00181328"/>
    <w:rsid w:val="001817CA"/>
    <w:rsid w:val="00181B6B"/>
    <w:rsid w:val="001820E0"/>
    <w:rsid w:val="001831B6"/>
    <w:rsid w:val="001838BA"/>
    <w:rsid w:val="0019025F"/>
    <w:rsid w:val="00190939"/>
    <w:rsid w:val="00191F8E"/>
    <w:rsid w:val="001938BC"/>
    <w:rsid w:val="001951A9"/>
    <w:rsid w:val="00195871"/>
    <w:rsid w:val="00195F25"/>
    <w:rsid w:val="0019621D"/>
    <w:rsid w:val="001967DE"/>
    <w:rsid w:val="001A1656"/>
    <w:rsid w:val="001A2411"/>
    <w:rsid w:val="001A3FB2"/>
    <w:rsid w:val="001A4E9C"/>
    <w:rsid w:val="001A5DB5"/>
    <w:rsid w:val="001A60D7"/>
    <w:rsid w:val="001A6E09"/>
    <w:rsid w:val="001A78D5"/>
    <w:rsid w:val="001A7FFC"/>
    <w:rsid w:val="001B20A2"/>
    <w:rsid w:val="001B30A0"/>
    <w:rsid w:val="001B36A3"/>
    <w:rsid w:val="001B4198"/>
    <w:rsid w:val="001B4415"/>
    <w:rsid w:val="001B6D4F"/>
    <w:rsid w:val="001B70BA"/>
    <w:rsid w:val="001B7245"/>
    <w:rsid w:val="001C0458"/>
    <w:rsid w:val="001C0654"/>
    <w:rsid w:val="001C122B"/>
    <w:rsid w:val="001C1420"/>
    <w:rsid w:val="001C2227"/>
    <w:rsid w:val="001C2D06"/>
    <w:rsid w:val="001C3C5C"/>
    <w:rsid w:val="001C48E0"/>
    <w:rsid w:val="001C4CDB"/>
    <w:rsid w:val="001C7865"/>
    <w:rsid w:val="001D2409"/>
    <w:rsid w:val="001D29BB"/>
    <w:rsid w:val="001D41D6"/>
    <w:rsid w:val="001D55F6"/>
    <w:rsid w:val="001D6438"/>
    <w:rsid w:val="001E0369"/>
    <w:rsid w:val="001E64F9"/>
    <w:rsid w:val="001E6FA6"/>
    <w:rsid w:val="001E6FE6"/>
    <w:rsid w:val="001E6FF1"/>
    <w:rsid w:val="001E7C0B"/>
    <w:rsid w:val="001F0425"/>
    <w:rsid w:val="001F0430"/>
    <w:rsid w:val="001F04FF"/>
    <w:rsid w:val="001F15CA"/>
    <w:rsid w:val="001F1ACC"/>
    <w:rsid w:val="001F368A"/>
    <w:rsid w:val="001F6E09"/>
    <w:rsid w:val="001F6EDC"/>
    <w:rsid w:val="00200480"/>
    <w:rsid w:val="00200B80"/>
    <w:rsid w:val="00201A63"/>
    <w:rsid w:val="00203B60"/>
    <w:rsid w:val="002060DC"/>
    <w:rsid w:val="002073CB"/>
    <w:rsid w:val="00207F40"/>
    <w:rsid w:val="00211429"/>
    <w:rsid w:val="00211E64"/>
    <w:rsid w:val="00212121"/>
    <w:rsid w:val="002133CB"/>
    <w:rsid w:val="00215E3C"/>
    <w:rsid w:val="00217543"/>
    <w:rsid w:val="00217F78"/>
    <w:rsid w:val="00220585"/>
    <w:rsid w:val="002243B5"/>
    <w:rsid w:val="00225F1A"/>
    <w:rsid w:val="00226D72"/>
    <w:rsid w:val="002301B5"/>
    <w:rsid w:val="0023083B"/>
    <w:rsid w:val="00230AD8"/>
    <w:rsid w:val="00231C62"/>
    <w:rsid w:val="002352C4"/>
    <w:rsid w:val="00235903"/>
    <w:rsid w:val="00236531"/>
    <w:rsid w:val="00240018"/>
    <w:rsid w:val="00240C5A"/>
    <w:rsid w:val="00241C15"/>
    <w:rsid w:val="0024274A"/>
    <w:rsid w:val="002441EA"/>
    <w:rsid w:val="00245C28"/>
    <w:rsid w:val="0024750E"/>
    <w:rsid w:val="002507FF"/>
    <w:rsid w:val="00250CC1"/>
    <w:rsid w:val="00252F21"/>
    <w:rsid w:val="00256989"/>
    <w:rsid w:val="00260654"/>
    <w:rsid w:val="00260C34"/>
    <w:rsid w:val="00264479"/>
    <w:rsid w:val="00265690"/>
    <w:rsid w:val="00267726"/>
    <w:rsid w:val="00267DF3"/>
    <w:rsid w:val="002705BA"/>
    <w:rsid w:val="0027149C"/>
    <w:rsid w:val="0027176A"/>
    <w:rsid w:val="0027201D"/>
    <w:rsid w:val="00272F3A"/>
    <w:rsid w:val="00273106"/>
    <w:rsid w:val="00274EFC"/>
    <w:rsid w:val="00275706"/>
    <w:rsid w:val="002766F7"/>
    <w:rsid w:val="0027695A"/>
    <w:rsid w:val="0028235A"/>
    <w:rsid w:val="0028237D"/>
    <w:rsid w:val="00285388"/>
    <w:rsid w:val="002863B3"/>
    <w:rsid w:val="00286514"/>
    <w:rsid w:val="00290A62"/>
    <w:rsid w:val="0029167F"/>
    <w:rsid w:val="0029251F"/>
    <w:rsid w:val="00292A7D"/>
    <w:rsid w:val="00294744"/>
    <w:rsid w:val="00294DDD"/>
    <w:rsid w:val="00295021"/>
    <w:rsid w:val="00296509"/>
    <w:rsid w:val="002A05A0"/>
    <w:rsid w:val="002A0CC9"/>
    <w:rsid w:val="002A3C31"/>
    <w:rsid w:val="002A4D83"/>
    <w:rsid w:val="002A5036"/>
    <w:rsid w:val="002A54DE"/>
    <w:rsid w:val="002A6096"/>
    <w:rsid w:val="002B010E"/>
    <w:rsid w:val="002B0BFD"/>
    <w:rsid w:val="002B3912"/>
    <w:rsid w:val="002B3F8C"/>
    <w:rsid w:val="002B7335"/>
    <w:rsid w:val="002C0040"/>
    <w:rsid w:val="002C05B5"/>
    <w:rsid w:val="002C21AF"/>
    <w:rsid w:val="002C29E9"/>
    <w:rsid w:val="002C3FAE"/>
    <w:rsid w:val="002C607C"/>
    <w:rsid w:val="002C62A1"/>
    <w:rsid w:val="002C69ED"/>
    <w:rsid w:val="002C7031"/>
    <w:rsid w:val="002C78CF"/>
    <w:rsid w:val="002D02FE"/>
    <w:rsid w:val="002D1EB1"/>
    <w:rsid w:val="002D23DB"/>
    <w:rsid w:val="002D692F"/>
    <w:rsid w:val="002D6AB9"/>
    <w:rsid w:val="002D787A"/>
    <w:rsid w:val="002E4695"/>
    <w:rsid w:val="002E5AF2"/>
    <w:rsid w:val="002E6E74"/>
    <w:rsid w:val="002F0784"/>
    <w:rsid w:val="002F1ACD"/>
    <w:rsid w:val="002F2AA7"/>
    <w:rsid w:val="002F3F40"/>
    <w:rsid w:val="002F4D74"/>
    <w:rsid w:val="002F6EA6"/>
    <w:rsid w:val="003004FA"/>
    <w:rsid w:val="00301571"/>
    <w:rsid w:val="003022CB"/>
    <w:rsid w:val="00302390"/>
    <w:rsid w:val="00304251"/>
    <w:rsid w:val="00304868"/>
    <w:rsid w:val="00305982"/>
    <w:rsid w:val="00305CB6"/>
    <w:rsid w:val="00310C49"/>
    <w:rsid w:val="00310EC7"/>
    <w:rsid w:val="00312612"/>
    <w:rsid w:val="00312DE4"/>
    <w:rsid w:val="003146BC"/>
    <w:rsid w:val="00314798"/>
    <w:rsid w:val="003149F5"/>
    <w:rsid w:val="003173D8"/>
    <w:rsid w:val="00320129"/>
    <w:rsid w:val="0032027E"/>
    <w:rsid w:val="00320576"/>
    <w:rsid w:val="003218C0"/>
    <w:rsid w:val="00322341"/>
    <w:rsid w:val="00322857"/>
    <w:rsid w:val="003228A6"/>
    <w:rsid w:val="00323FD6"/>
    <w:rsid w:val="00326869"/>
    <w:rsid w:val="00327CB4"/>
    <w:rsid w:val="00327CFC"/>
    <w:rsid w:val="00330107"/>
    <w:rsid w:val="00330428"/>
    <w:rsid w:val="003313D8"/>
    <w:rsid w:val="003314CF"/>
    <w:rsid w:val="00331DA8"/>
    <w:rsid w:val="00333FF1"/>
    <w:rsid w:val="0033434A"/>
    <w:rsid w:val="00335BF2"/>
    <w:rsid w:val="00336587"/>
    <w:rsid w:val="0033687B"/>
    <w:rsid w:val="00336D17"/>
    <w:rsid w:val="003373B2"/>
    <w:rsid w:val="003409B9"/>
    <w:rsid w:val="00345FC2"/>
    <w:rsid w:val="003521FA"/>
    <w:rsid w:val="0035265F"/>
    <w:rsid w:val="003536EF"/>
    <w:rsid w:val="00353839"/>
    <w:rsid w:val="0035697D"/>
    <w:rsid w:val="00361CAE"/>
    <w:rsid w:val="003625C3"/>
    <w:rsid w:val="003625E7"/>
    <w:rsid w:val="003636DF"/>
    <w:rsid w:val="00370255"/>
    <w:rsid w:val="00371797"/>
    <w:rsid w:val="003777B1"/>
    <w:rsid w:val="003777D4"/>
    <w:rsid w:val="00377B5D"/>
    <w:rsid w:val="00381D77"/>
    <w:rsid w:val="00381DE3"/>
    <w:rsid w:val="00382332"/>
    <w:rsid w:val="00383001"/>
    <w:rsid w:val="003831E4"/>
    <w:rsid w:val="0038470D"/>
    <w:rsid w:val="00385606"/>
    <w:rsid w:val="00386ED9"/>
    <w:rsid w:val="003879F3"/>
    <w:rsid w:val="003904B9"/>
    <w:rsid w:val="0039130A"/>
    <w:rsid w:val="00391FB9"/>
    <w:rsid w:val="00392F36"/>
    <w:rsid w:val="00395A8D"/>
    <w:rsid w:val="003960E8"/>
    <w:rsid w:val="003968F7"/>
    <w:rsid w:val="003A0E62"/>
    <w:rsid w:val="003A4DC8"/>
    <w:rsid w:val="003A51B4"/>
    <w:rsid w:val="003A6F43"/>
    <w:rsid w:val="003A73F0"/>
    <w:rsid w:val="003B0126"/>
    <w:rsid w:val="003B1EC4"/>
    <w:rsid w:val="003B24C2"/>
    <w:rsid w:val="003B2EC8"/>
    <w:rsid w:val="003B3F73"/>
    <w:rsid w:val="003B4173"/>
    <w:rsid w:val="003B4A16"/>
    <w:rsid w:val="003B57C4"/>
    <w:rsid w:val="003B6CC5"/>
    <w:rsid w:val="003B70F5"/>
    <w:rsid w:val="003C0AA9"/>
    <w:rsid w:val="003C29FA"/>
    <w:rsid w:val="003C31AA"/>
    <w:rsid w:val="003C3267"/>
    <w:rsid w:val="003C3933"/>
    <w:rsid w:val="003C3E9F"/>
    <w:rsid w:val="003C473B"/>
    <w:rsid w:val="003C4D65"/>
    <w:rsid w:val="003C50B2"/>
    <w:rsid w:val="003C6105"/>
    <w:rsid w:val="003C6A40"/>
    <w:rsid w:val="003C7A20"/>
    <w:rsid w:val="003D060C"/>
    <w:rsid w:val="003D1E0F"/>
    <w:rsid w:val="003D4911"/>
    <w:rsid w:val="003D7ED5"/>
    <w:rsid w:val="003E0B8D"/>
    <w:rsid w:val="003E1EA8"/>
    <w:rsid w:val="003E26EF"/>
    <w:rsid w:val="003E537F"/>
    <w:rsid w:val="003E57F9"/>
    <w:rsid w:val="003E6D9C"/>
    <w:rsid w:val="003E7277"/>
    <w:rsid w:val="003E7280"/>
    <w:rsid w:val="003F0B9A"/>
    <w:rsid w:val="003F0E5B"/>
    <w:rsid w:val="003F0F8E"/>
    <w:rsid w:val="003F1269"/>
    <w:rsid w:val="003F3DF9"/>
    <w:rsid w:val="003F47DD"/>
    <w:rsid w:val="003F5750"/>
    <w:rsid w:val="003F67E6"/>
    <w:rsid w:val="003F795D"/>
    <w:rsid w:val="00400A05"/>
    <w:rsid w:val="00405651"/>
    <w:rsid w:val="00406CEC"/>
    <w:rsid w:val="00407C6A"/>
    <w:rsid w:val="00411CF8"/>
    <w:rsid w:val="00412CE2"/>
    <w:rsid w:val="004135DF"/>
    <w:rsid w:val="00413CCD"/>
    <w:rsid w:val="0041690D"/>
    <w:rsid w:val="00416B47"/>
    <w:rsid w:val="00417E4E"/>
    <w:rsid w:val="00421193"/>
    <w:rsid w:val="00421778"/>
    <w:rsid w:val="00422FF4"/>
    <w:rsid w:val="004248FF"/>
    <w:rsid w:val="00425C5A"/>
    <w:rsid w:val="00426E32"/>
    <w:rsid w:val="00430F52"/>
    <w:rsid w:val="00433833"/>
    <w:rsid w:val="00433972"/>
    <w:rsid w:val="00435AF1"/>
    <w:rsid w:val="00435B3B"/>
    <w:rsid w:val="00440238"/>
    <w:rsid w:val="00440284"/>
    <w:rsid w:val="0044047A"/>
    <w:rsid w:val="0044133F"/>
    <w:rsid w:val="004429AC"/>
    <w:rsid w:val="00444AEE"/>
    <w:rsid w:val="00444B9A"/>
    <w:rsid w:val="004451D7"/>
    <w:rsid w:val="0044615C"/>
    <w:rsid w:val="00451417"/>
    <w:rsid w:val="004514B0"/>
    <w:rsid w:val="0045278B"/>
    <w:rsid w:val="00454F0D"/>
    <w:rsid w:val="00456073"/>
    <w:rsid w:val="004575AB"/>
    <w:rsid w:val="00460F55"/>
    <w:rsid w:val="004625E9"/>
    <w:rsid w:val="00463CBB"/>
    <w:rsid w:val="00465C4C"/>
    <w:rsid w:val="00470078"/>
    <w:rsid w:val="00470259"/>
    <w:rsid w:val="0047092F"/>
    <w:rsid w:val="00470B70"/>
    <w:rsid w:val="00470C53"/>
    <w:rsid w:val="00470EBD"/>
    <w:rsid w:val="0047104D"/>
    <w:rsid w:val="00473A7A"/>
    <w:rsid w:val="00473C95"/>
    <w:rsid w:val="004742B6"/>
    <w:rsid w:val="00475DA1"/>
    <w:rsid w:val="0047638A"/>
    <w:rsid w:val="00482022"/>
    <w:rsid w:val="0048236F"/>
    <w:rsid w:val="0048317D"/>
    <w:rsid w:val="0048318C"/>
    <w:rsid w:val="00484A82"/>
    <w:rsid w:val="004856B8"/>
    <w:rsid w:val="00486043"/>
    <w:rsid w:val="00490F81"/>
    <w:rsid w:val="00491176"/>
    <w:rsid w:val="00491BBA"/>
    <w:rsid w:val="00492680"/>
    <w:rsid w:val="00494563"/>
    <w:rsid w:val="004951A8"/>
    <w:rsid w:val="0049649E"/>
    <w:rsid w:val="00496E33"/>
    <w:rsid w:val="004A08C6"/>
    <w:rsid w:val="004A0B9C"/>
    <w:rsid w:val="004A3888"/>
    <w:rsid w:val="004A5AC7"/>
    <w:rsid w:val="004B0217"/>
    <w:rsid w:val="004B2395"/>
    <w:rsid w:val="004C11B8"/>
    <w:rsid w:val="004C31A0"/>
    <w:rsid w:val="004C4524"/>
    <w:rsid w:val="004C453C"/>
    <w:rsid w:val="004C46E1"/>
    <w:rsid w:val="004C59D4"/>
    <w:rsid w:val="004C66DB"/>
    <w:rsid w:val="004C7002"/>
    <w:rsid w:val="004D29D7"/>
    <w:rsid w:val="004D2C39"/>
    <w:rsid w:val="004E040C"/>
    <w:rsid w:val="004E343A"/>
    <w:rsid w:val="004E646A"/>
    <w:rsid w:val="004E677F"/>
    <w:rsid w:val="004E68A0"/>
    <w:rsid w:val="004F2BD5"/>
    <w:rsid w:val="004F51E3"/>
    <w:rsid w:val="005003F0"/>
    <w:rsid w:val="0050085A"/>
    <w:rsid w:val="00500B5D"/>
    <w:rsid w:val="00504C60"/>
    <w:rsid w:val="005058FD"/>
    <w:rsid w:val="00510982"/>
    <w:rsid w:val="00512D92"/>
    <w:rsid w:val="00513AF8"/>
    <w:rsid w:val="005144B3"/>
    <w:rsid w:val="00516253"/>
    <w:rsid w:val="00522694"/>
    <w:rsid w:val="00524636"/>
    <w:rsid w:val="00525A71"/>
    <w:rsid w:val="0052699D"/>
    <w:rsid w:val="00532D22"/>
    <w:rsid w:val="00533E53"/>
    <w:rsid w:val="00534883"/>
    <w:rsid w:val="00534A1D"/>
    <w:rsid w:val="00536798"/>
    <w:rsid w:val="005369C5"/>
    <w:rsid w:val="0054157D"/>
    <w:rsid w:val="00541ADF"/>
    <w:rsid w:val="00542033"/>
    <w:rsid w:val="00542B18"/>
    <w:rsid w:val="005430E4"/>
    <w:rsid w:val="00543DD5"/>
    <w:rsid w:val="00543F94"/>
    <w:rsid w:val="00545DBA"/>
    <w:rsid w:val="00547BD7"/>
    <w:rsid w:val="00550287"/>
    <w:rsid w:val="005529F8"/>
    <w:rsid w:val="00553123"/>
    <w:rsid w:val="0055345E"/>
    <w:rsid w:val="00553542"/>
    <w:rsid w:val="00553F11"/>
    <w:rsid w:val="005559AF"/>
    <w:rsid w:val="00555E6E"/>
    <w:rsid w:val="00557842"/>
    <w:rsid w:val="00562615"/>
    <w:rsid w:val="00563006"/>
    <w:rsid w:val="00564BEC"/>
    <w:rsid w:val="00566791"/>
    <w:rsid w:val="005677D2"/>
    <w:rsid w:val="00567DAA"/>
    <w:rsid w:val="005731BC"/>
    <w:rsid w:val="005758D3"/>
    <w:rsid w:val="005767ED"/>
    <w:rsid w:val="0058388E"/>
    <w:rsid w:val="00583DCC"/>
    <w:rsid w:val="00592C78"/>
    <w:rsid w:val="00592DF1"/>
    <w:rsid w:val="005930FE"/>
    <w:rsid w:val="00593D8D"/>
    <w:rsid w:val="0059754C"/>
    <w:rsid w:val="00597756"/>
    <w:rsid w:val="005A0353"/>
    <w:rsid w:val="005A05DF"/>
    <w:rsid w:val="005A18B6"/>
    <w:rsid w:val="005A23D9"/>
    <w:rsid w:val="005A2BDD"/>
    <w:rsid w:val="005A2F91"/>
    <w:rsid w:val="005A39FC"/>
    <w:rsid w:val="005A4CC1"/>
    <w:rsid w:val="005A503C"/>
    <w:rsid w:val="005A5406"/>
    <w:rsid w:val="005A5EC7"/>
    <w:rsid w:val="005B07FA"/>
    <w:rsid w:val="005B13A7"/>
    <w:rsid w:val="005B2099"/>
    <w:rsid w:val="005B2790"/>
    <w:rsid w:val="005B282D"/>
    <w:rsid w:val="005B2AEB"/>
    <w:rsid w:val="005B457F"/>
    <w:rsid w:val="005B4586"/>
    <w:rsid w:val="005B4D7A"/>
    <w:rsid w:val="005B7B16"/>
    <w:rsid w:val="005C0169"/>
    <w:rsid w:val="005C17AB"/>
    <w:rsid w:val="005C1811"/>
    <w:rsid w:val="005C4DEB"/>
    <w:rsid w:val="005C52A2"/>
    <w:rsid w:val="005C6076"/>
    <w:rsid w:val="005C6493"/>
    <w:rsid w:val="005C668D"/>
    <w:rsid w:val="005D0008"/>
    <w:rsid w:val="005D00E6"/>
    <w:rsid w:val="005D35B6"/>
    <w:rsid w:val="005D3ACC"/>
    <w:rsid w:val="005D5B33"/>
    <w:rsid w:val="005D61B6"/>
    <w:rsid w:val="005D64A9"/>
    <w:rsid w:val="005D69E9"/>
    <w:rsid w:val="005D7C2F"/>
    <w:rsid w:val="005E24C7"/>
    <w:rsid w:val="005E27B2"/>
    <w:rsid w:val="005E3A60"/>
    <w:rsid w:val="005E4276"/>
    <w:rsid w:val="005E4F3D"/>
    <w:rsid w:val="005E55D3"/>
    <w:rsid w:val="005E6B8E"/>
    <w:rsid w:val="005E7C17"/>
    <w:rsid w:val="005F0AD3"/>
    <w:rsid w:val="005F2491"/>
    <w:rsid w:val="005F2D7C"/>
    <w:rsid w:val="005F313A"/>
    <w:rsid w:val="005F4ECC"/>
    <w:rsid w:val="005F58F1"/>
    <w:rsid w:val="005F5932"/>
    <w:rsid w:val="005F750C"/>
    <w:rsid w:val="006003E6"/>
    <w:rsid w:val="00601959"/>
    <w:rsid w:val="00602478"/>
    <w:rsid w:val="00607493"/>
    <w:rsid w:val="00607A9D"/>
    <w:rsid w:val="006126BB"/>
    <w:rsid w:val="00612B0F"/>
    <w:rsid w:val="00616340"/>
    <w:rsid w:val="00616422"/>
    <w:rsid w:val="0062033C"/>
    <w:rsid w:val="006220D1"/>
    <w:rsid w:val="006222FA"/>
    <w:rsid w:val="00622E60"/>
    <w:rsid w:val="00623137"/>
    <w:rsid w:val="00624A05"/>
    <w:rsid w:val="006252A2"/>
    <w:rsid w:val="006266EF"/>
    <w:rsid w:val="0063316C"/>
    <w:rsid w:val="00634938"/>
    <w:rsid w:val="00637215"/>
    <w:rsid w:val="00637B9B"/>
    <w:rsid w:val="00641E9A"/>
    <w:rsid w:val="00642975"/>
    <w:rsid w:val="0064310F"/>
    <w:rsid w:val="006467B1"/>
    <w:rsid w:val="00650B2B"/>
    <w:rsid w:val="006510B6"/>
    <w:rsid w:val="006514C9"/>
    <w:rsid w:val="00653841"/>
    <w:rsid w:val="00654883"/>
    <w:rsid w:val="0065563F"/>
    <w:rsid w:val="00655F42"/>
    <w:rsid w:val="00660D71"/>
    <w:rsid w:val="006646BC"/>
    <w:rsid w:val="006655EA"/>
    <w:rsid w:val="0066651A"/>
    <w:rsid w:val="0067072F"/>
    <w:rsid w:val="006731CB"/>
    <w:rsid w:val="006747F3"/>
    <w:rsid w:val="0068099A"/>
    <w:rsid w:val="00684891"/>
    <w:rsid w:val="00684F6D"/>
    <w:rsid w:val="0068515B"/>
    <w:rsid w:val="00685615"/>
    <w:rsid w:val="006858E2"/>
    <w:rsid w:val="00685C3E"/>
    <w:rsid w:val="0069127B"/>
    <w:rsid w:val="00694134"/>
    <w:rsid w:val="0069475C"/>
    <w:rsid w:val="00694B30"/>
    <w:rsid w:val="0069622B"/>
    <w:rsid w:val="00696CBF"/>
    <w:rsid w:val="00696F6A"/>
    <w:rsid w:val="006979DC"/>
    <w:rsid w:val="006A10BB"/>
    <w:rsid w:val="006A10CF"/>
    <w:rsid w:val="006A124A"/>
    <w:rsid w:val="006A1F84"/>
    <w:rsid w:val="006A3A50"/>
    <w:rsid w:val="006A6377"/>
    <w:rsid w:val="006A7269"/>
    <w:rsid w:val="006A7B0C"/>
    <w:rsid w:val="006A7C42"/>
    <w:rsid w:val="006B04A6"/>
    <w:rsid w:val="006B056A"/>
    <w:rsid w:val="006B1E27"/>
    <w:rsid w:val="006B2596"/>
    <w:rsid w:val="006B2FB5"/>
    <w:rsid w:val="006B4756"/>
    <w:rsid w:val="006B68A5"/>
    <w:rsid w:val="006B7EAB"/>
    <w:rsid w:val="006C0540"/>
    <w:rsid w:val="006C0DE2"/>
    <w:rsid w:val="006C1DFA"/>
    <w:rsid w:val="006C26FE"/>
    <w:rsid w:val="006C3155"/>
    <w:rsid w:val="006D10EF"/>
    <w:rsid w:val="006D388F"/>
    <w:rsid w:val="006D518B"/>
    <w:rsid w:val="006D5F34"/>
    <w:rsid w:val="006E0306"/>
    <w:rsid w:val="006E1498"/>
    <w:rsid w:val="006E15F1"/>
    <w:rsid w:val="006E1FE1"/>
    <w:rsid w:val="006E2BEA"/>
    <w:rsid w:val="006E40C4"/>
    <w:rsid w:val="006E4617"/>
    <w:rsid w:val="006E46AD"/>
    <w:rsid w:val="006E686F"/>
    <w:rsid w:val="007029F6"/>
    <w:rsid w:val="00703965"/>
    <w:rsid w:val="00705339"/>
    <w:rsid w:val="0071085B"/>
    <w:rsid w:val="007109E0"/>
    <w:rsid w:val="007118EA"/>
    <w:rsid w:val="00714E55"/>
    <w:rsid w:val="0071524A"/>
    <w:rsid w:val="00717B54"/>
    <w:rsid w:val="007221BA"/>
    <w:rsid w:val="00722B25"/>
    <w:rsid w:val="00724F29"/>
    <w:rsid w:val="00726E21"/>
    <w:rsid w:val="00730576"/>
    <w:rsid w:val="00736110"/>
    <w:rsid w:val="00736376"/>
    <w:rsid w:val="00741B10"/>
    <w:rsid w:val="00742D9C"/>
    <w:rsid w:val="00745ADE"/>
    <w:rsid w:val="0074602B"/>
    <w:rsid w:val="00747591"/>
    <w:rsid w:val="00751502"/>
    <w:rsid w:val="0075318F"/>
    <w:rsid w:val="00753893"/>
    <w:rsid w:val="00754895"/>
    <w:rsid w:val="00754C54"/>
    <w:rsid w:val="00756CB7"/>
    <w:rsid w:val="0075759A"/>
    <w:rsid w:val="0076015B"/>
    <w:rsid w:val="007618D6"/>
    <w:rsid w:val="00761D01"/>
    <w:rsid w:val="00764BF9"/>
    <w:rsid w:val="00765FDB"/>
    <w:rsid w:val="00771103"/>
    <w:rsid w:val="00771460"/>
    <w:rsid w:val="00772CC9"/>
    <w:rsid w:val="00774E1D"/>
    <w:rsid w:val="007757DB"/>
    <w:rsid w:val="00776B4C"/>
    <w:rsid w:val="00776CF6"/>
    <w:rsid w:val="0077785A"/>
    <w:rsid w:val="00782A9A"/>
    <w:rsid w:val="00786FC7"/>
    <w:rsid w:val="00787070"/>
    <w:rsid w:val="00787572"/>
    <w:rsid w:val="007902FF"/>
    <w:rsid w:val="00793286"/>
    <w:rsid w:val="00794C7C"/>
    <w:rsid w:val="007957BF"/>
    <w:rsid w:val="00795909"/>
    <w:rsid w:val="00795C22"/>
    <w:rsid w:val="00796C2E"/>
    <w:rsid w:val="00797CC0"/>
    <w:rsid w:val="007A0DEA"/>
    <w:rsid w:val="007A1AA5"/>
    <w:rsid w:val="007A1B5D"/>
    <w:rsid w:val="007A5913"/>
    <w:rsid w:val="007A6BDB"/>
    <w:rsid w:val="007A6EE3"/>
    <w:rsid w:val="007B0D24"/>
    <w:rsid w:val="007B225B"/>
    <w:rsid w:val="007B25F0"/>
    <w:rsid w:val="007B3B19"/>
    <w:rsid w:val="007B5D10"/>
    <w:rsid w:val="007B70C6"/>
    <w:rsid w:val="007C0689"/>
    <w:rsid w:val="007C0E68"/>
    <w:rsid w:val="007C0F5E"/>
    <w:rsid w:val="007C3107"/>
    <w:rsid w:val="007C469E"/>
    <w:rsid w:val="007C6A2C"/>
    <w:rsid w:val="007D0338"/>
    <w:rsid w:val="007D0827"/>
    <w:rsid w:val="007D1370"/>
    <w:rsid w:val="007D19E0"/>
    <w:rsid w:val="007D26AB"/>
    <w:rsid w:val="007D2F51"/>
    <w:rsid w:val="007D41DE"/>
    <w:rsid w:val="007D550F"/>
    <w:rsid w:val="007E1F39"/>
    <w:rsid w:val="007E21F3"/>
    <w:rsid w:val="007E4F9E"/>
    <w:rsid w:val="007E531E"/>
    <w:rsid w:val="007F040D"/>
    <w:rsid w:val="007F0489"/>
    <w:rsid w:val="007F0672"/>
    <w:rsid w:val="007F0F35"/>
    <w:rsid w:val="007F1D0A"/>
    <w:rsid w:val="007F2575"/>
    <w:rsid w:val="007F2F27"/>
    <w:rsid w:val="007F7FD7"/>
    <w:rsid w:val="00802194"/>
    <w:rsid w:val="008048DE"/>
    <w:rsid w:val="00804EEA"/>
    <w:rsid w:val="0080524A"/>
    <w:rsid w:val="00806922"/>
    <w:rsid w:val="00813C63"/>
    <w:rsid w:val="008142ED"/>
    <w:rsid w:val="008161EF"/>
    <w:rsid w:val="00816265"/>
    <w:rsid w:val="008221DB"/>
    <w:rsid w:val="008230B8"/>
    <w:rsid w:val="00823FE3"/>
    <w:rsid w:val="008245B0"/>
    <w:rsid w:val="00824A89"/>
    <w:rsid w:val="00824EA7"/>
    <w:rsid w:val="00826995"/>
    <w:rsid w:val="0082726E"/>
    <w:rsid w:val="008306F1"/>
    <w:rsid w:val="00831DF8"/>
    <w:rsid w:val="00833B01"/>
    <w:rsid w:val="00835117"/>
    <w:rsid w:val="00836104"/>
    <w:rsid w:val="0083724B"/>
    <w:rsid w:val="0084172A"/>
    <w:rsid w:val="00842F81"/>
    <w:rsid w:val="00843517"/>
    <w:rsid w:val="00844616"/>
    <w:rsid w:val="00845236"/>
    <w:rsid w:val="008458A2"/>
    <w:rsid w:val="00845A90"/>
    <w:rsid w:val="00850844"/>
    <w:rsid w:val="008508F7"/>
    <w:rsid w:val="0085130D"/>
    <w:rsid w:val="0085409A"/>
    <w:rsid w:val="00856048"/>
    <w:rsid w:val="0085788E"/>
    <w:rsid w:val="0086001B"/>
    <w:rsid w:val="00860714"/>
    <w:rsid w:val="008607B7"/>
    <w:rsid w:val="00862CB1"/>
    <w:rsid w:val="00864BD5"/>
    <w:rsid w:val="00866679"/>
    <w:rsid w:val="00870898"/>
    <w:rsid w:val="0087118B"/>
    <w:rsid w:val="00873146"/>
    <w:rsid w:val="00873830"/>
    <w:rsid w:val="008739A4"/>
    <w:rsid w:val="00873BD7"/>
    <w:rsid w:val="00873E6C"/>
    <w:rsid w:val="008754BF"/>
    <w:rsid w:val="008757B7"/>
    <w:rsid w:val="00880B69"/>
    <w:rsid w:val="008831F8"/>
    <w:rsid w:val="00885810"/>
    <w:rsid w:val="00887012"/>
    <w:rsid w:val="008875F7"/>
    <w:rsid w:val="00891FE4"/>
    <w:rsid w:val="008928EE"/>
    <w:rsid w:val="00892B43"/>
    <w:rsid w:val="008942E2"/>
    <w:rsid w:val="00894AE3"/>
    <w:rsid w:val="00894CD7"/>
    <w:rsid w:val="008A3797"/>
    <w:rsid w:val="008A39A9"/>
    <w:rsid w:val="008A3B53"/>
    <w:rsid w:val="008A5167"/>
    <w:rsid w:val="008A6473"/>
    <w:rsid w:val="008B140B"/>
    <w:rsid w:val="008B1AC6"/>
    <w:rsid w:val="008B5324"/>
    <w:rsid w:val="008B6AE5"/>
    <w:rsid w:val="008B708E"/>
    <w:rsid w:val="008B7668"/>
    <w:rsid w:val="008B7DC5"/>
    <w:rsid w:val="008B7F8E"/>
    <w:rsid w:val="008C03F0"/>
    <w:rsid w:val="008C0D84"/>
    <w:rsid w:val="008C0FA4"/>
    <w:rsid w:val="008C1E42"/>
    <w:rsid w:val="008C62B0"/>
    <w:rsid w:val="008C7B1B"/>
    <w:rsid w:val="008C7B7C"/>
    <w:rsid w:val="008D0978"/>
    <w:rsid w:val="008D342F"/>
    <w:rsid w:val="008D45B3"/>
    <w:rsid w:val="008D4949"/>
    <w:rsid w:val="008D54AB"/>
    <w:rsid w:val="008D5766"/>
    <w:rsid w:val="008D6C56"/>
    <w:rsid w:val="008E1FCD"/>
    <w:rsid w:val="008E2692"/>
    <w:rsid w:val="008E46B8"/>
    <w:rsid w:val="008E679F"/>
    <w:rsid w:val="008E73C5"/>
    <w:rsid w:val="008F0527"/>
    <w:rsid w:val="008F128C"/>
    <w:rsid w:val="008F23B7"/>
    <w:rsid w:val="008F4BE3"/>
    <w:rsid w:val="008F541C"/>
    <w:rsid w:val="008F5707"/>
    <w:rsid w:val="008F6072"/>
    <w:rsid w:val="009000DE"/>
    <w:rsid w:val="009006C4"/>
    <w:rsid w:val="009015E9"/>
    <w:rsid w:val="00902587"/>
    <w:rsid w:val="009025F5"/>
    <w:rsid w:val="00902EFF"/>
    <w:rsid w:val="0090527B"/>
    <w:rsid w:val="009111BB"/>
    <w:rsid w:val="0091324B"/>
    <w:rsid w:val="00914DDB"/>
    <w:rsid w:val="00915351"/>
    <w:rsid w:val="0091563C"/>
    <w:rsid w:val="00923B66"/>
    <w:rsid w:val="009246CF"/>
    <w:rsid w:val="009246DF"/>
    <w:rsid w:val="009278C0"/>
    <w:rsid w:val="00927D86"/>
    <w:rsid w:val="00930CA8"/>
    <w:rsid w:val="00931187"/>
    <w:rsid w:val="009335CB"/>
    <w:rsid w:val="0093474E"/>
    <w:rsid w:val="00935352"/>
    <w:rsid w:val="00935C9A"/>
    <w:rsid w:val="00936552"/>
    <w:rsid w:val="009366AB"/>
    <w:rsid w:val="0093772D"/>
    <w:rsid w:val="00937DE6"/>
    <w:rsid w:val="009409BE"/>
    <w:rsid w:val="009418D6"/>
    <w:rsid w:val="00942100"/>
    <w:rsid w:val="00942459"/>
    <w:rsid w:val="0094537B"/>
    <w:rsid w:val="00945BA2"/>
    <w:rsid w:val="00951162"/>
    <w:rsid w:val="009513D3"/>
    <w:rsid w:val="009534BB"/>
    <w:rsid w:val="00953645"/>
    <w:rsid w:val="00957A02"/>
    <w:rsid w:val="00966B78"/>
    <w:rsid w:val="00967CB8"/>
    <w:rsid w:val="00971434"/>
    <w:rsid w:val="009722C1"/>
    <w:rsid w:val="00972DE9"/>
    <w:rsid w:val="00976479"/>
    <w:rsid w:val="00980017"/>
    <w:rsid w:val="0098021E"/>
    <w:rsid w:val="00981078"/>
    <w:rsid w:val="009818D9"/>
    <w:rsid w:val="00981D59"/>
    <w:rsid w:val="0098389D"/>
    <w:rsid w:val="00983C5E"/>
    <w:rsid w:val="009841C7"/>
    <w:rsid w:val="0098482B"/>
    <w:rsid w:val="00984F38"/>
    <w:rsid w:val="00986BFD"/>
    <w:rsid w:val="00987790"/>
    <w:rsid w:val="00991641"/>
    <w:rsid w:val="00992220"/>
    <w:rsid w:val="00993BD4"/>
    <w:rsid w:val="0099672D"/>
    <w:rsid w:val="009A4E4D"/>
    <w:rsid w:val="009A714C"/>
    <w:rsid w:val="009A7496"/>
    <w:rsid w:val="009A7720"/>
    <w:rsid w:val="009B0F7F"/>
    <w:rsid w:val="009B3BD2"/>
    <w:rsid w:val="009B3DFE"/>
    <w:rsid w:val="009B3EFE"/>
    <w:rsid w:val="009B4A6D"/>
    <w:rsid w:val="009C0341"/>
    <w:rsid w:val="009C1E90"/>
    <w:rsid w:val="009C240B"/>
    <w:rsid w:val="009C39EC"/>
    <w:rsid w:val="009C3F92"/>
    <w:rsid w:val="009D09C1"/>
    <w:rsid w:val="009D1D72"/>
    <w:rsid w:val="009D3088"/>
    <w:rsid w:val="009D4227"/>
    <w:rsid w:val="009E036B"/>
    <w:rsid w:val="009E1893"/>
    <w:rsid w:val="009E30DA"/>
    <w:rsid w:val="009E38DB"/>
    <w:rsid w:val="009E5464"/>
    <w:rsid w:val="009E56D2"/>
    <w:rsid w:val="009F03C5"/>
    <w:rsid w:val="009F0847"/>
    <w:rsid w:val="009F0B6D"/>
    <w:rsid w:val="009F0F6B"/>
    <w:rsid w:val="009F2035"/>
    <w:rsid w:val="009F36FD"/>
    <w:rsid w:val="009F6184"/>
    <w:rsid w:val="009F63D5"/>
    <w:rsid w:val="009F7C10"/>
    <w:rsid w:val="00A0079C"/>
    <w:rsid w:val="00A00895"/>
    <w:rsid w:val="00A0105B"/>
    <w:rsid w:val="00A0253D"/>
    <w:rsid w:val="00A03DBC"/>
    <w:rsid w:val="00A0597C"/>
    <w:rsid w:val="00A07372"/>
    <w:rsid w:val="00A10DC1"/>
    <w:rsid w:val="00A129F3"/>
    <w:rsid w:val="00A13F42"/>
    <w:rsid w:val="00A15303"/>
    <w:rsid w:val="00A178E2"/>
    <w:rsid w:val="00A17F7F"/>
    <w:rsid w:val="00A2164B"/>
    <w:rsid w:val="00A21E4E"/>
    <w:rsid w:val="00A22E08"/>
    <w:rsid w:val="00A22F7B"/>
    <w:rsid w:val="00A2377D"/>
    <w:rsid w:val="00A23B7D"/>
    <w:rsid w:val="00A243E8"/>
    <w:rsid w:val="00A27087"/>
    <w:rsid w:val="00A2713B"/>
    <w:rsid w:val="00A271CA"/>
    <w:rsid w:val="00A3138D"/>
    <w:rsid w:val="00A32909"/>
    <w:rsid w:val="00A3635E"/>
    <w:rsid w:val="00A36820"/>
    <w:rsid w:val="00A36A91"/>
    <w:rsid w:val="00A37B10"/>
    <w:rsid w:val="00A37E0E"/>
    <w:rsid w:val="00A40269"/>
    <w:rsid w:val="00A40EB0"/>
    <w:rsid w:val="00A41835"/>
    <w:rsid w:val="00A43DDD"/>
    <w:rsid w:val="00A446B5"/>
    <w:rsid w:val="00A45B3B"/>
    <w:rsid w:val="00A5133B"/>
    <w:rsid w:val="00A5166F"/>
    <w:rsid w:val="00A51934"/>
    <w:rsid w:val="00A52648"/>
    <w:rsid w:val="00A5319F"/>
    <w:rsid w:val="00A53533"/>
    <w:rsid w:val="00A5450F"/>
    <w:rsid w:val="00A54AA8"/>
    <w:rsid w:val="00A55C5C"/>
    <w:rsid w:val="00A57609"/>
    <w:rsid w:val="00A61F05"/>
    <w:rsid w:val="00A62726"/>
    <w:rsid w:val="00A62AFF"/>
    <w:rsid w:val="00A6309C"/>
    <w:rsid w:val="00A675C1"/>
    <w:rsid w:val="00A71254"/>
    <w:rsid w:val="00A7212A"/>
    <w:rsid w:val="00A75056"/>
    <w:rsid w:val="00A804A2"/>
    <w:rsid w:val="00A80ACE"/>
    <w:rsid w:val="00A81D92"/>
    <w:rsid w:val="00A824E1"/>
    <w:rsid w:val="00A82EC7"/>
    <w:rsid w:val="00A83732"/>
    <w:rsid w:val="00A84AED"/>
    <w:rsid w:val="00A85EA8"/>
    <w:rsid w:val="00A86570"/>
    <w:rsid w:val="00A86AF0"/>
    <w:rsid w:val="00A87256"/>
    <w:rsid w:val="00A92690"/>
    <w:rsid w:val="00A94769"/>
    <w:rsid w:val="00A94D71"/>
    <w:rsid w:val="00A97ACA"/>
    <w:rsid w:val="00AA0AE4"/>
    <w:rsid w:val="00AA1240"/>
    <w:rsid w:val="00AA2B3C"/>
    <w:rsid w:val="00AA2F97"/>
    <w:rsid w:val="00AA483B"/>
    <w:rsid w:val="00AA76E1"/>
    <w:rsid w:val="00AB1EF9"/>
    <w:rsid w:val="00AB3E92"/>
    <w:rsid w:val="00AB4EF0"/>
    <w:rsid w:val="00AB52AB"/>
    <w:rsid w:val="00AB63D5"/>
    <w:rsid w:val="00AB7445"/>
    <w:rsid w:val="00AC377C"/>
    <w:rsid w:val="00AC4BDA"/>
    <w:rsid w:val="00AC638D"/>
    <w:rsid w:val="00AC723F"/>
    <w:rsid w:val="00AD0FBA"/>
    <w:rsid w:val="00AD18FE"/>
    <w:rsid w:val="00AD5650"/>
    <w:rsid w:val="00AD5DAA"/>
    <w:rsid w:val="00AD65AD"/>
    <w:rsid w:val="00AE4374"/>
    <w:rsid w:val="00AE5371"/>
    <w:rsid w:val="00AE6893"/>
    <w:rsid w:val="00AF05FF"/>
    <w:rsid w:val="00AF0915"/>
    <w:rsid w:val="00AF0F26"/>
    <w:rsid w:val="00AF3374"/>
    <w:rsid w:val="00AF48BD"/>
    <w:rsid w:val="00AF5205"/>
    <w:rsid w:val="00AF79E7"/>
    <w:rsid w:val="00B00867"/>
    <w:rsid w:val="00B00D04"/>
    <w:rsid w:val="00B027C8"/>
    <w:rsid w:val="00B02823"/>
    <w:rsid w:val="00B07DEF"/>
    <w:rsid w:val="00B105FA"/>
    <w:rsid w:val="00B10AFD"/>
    <w:rsid w:val="00B12163"/>
    <w:rsid w:val="00B12410"/>
    <w:rsid w:val="00B12DED"/>
    <w:rsid w:val="00B13925"/>
    <w:rsid w:val="00B13F01"/>
    <w:rsid w:val="00B15509"/>
    <w:rsid w:val="00B16520"/>
    <w:rsid w:val="00B16ACA"/>
    <w:rsid w:val="00B16B5A"/>
    <w:rsid w:val="00B1717D"/>
    <w:rsid w:val="00B21DD6"/>
    <w:rsid w:val="00B23EFF"/>
    <w:rsid w:val="00B2451B"/>
    <w:rsid w:val="00B2566D"/>
    <w:rsid w:val="00B25C53"/>
    <w:rsid w:val="00B26C1A"/>
    <w:rsid w:val="00B26FCB"/>
    <w:rsid w:val="00B32C32"/>
    <w:rsid w:val="00B341D4"/>
    <w:rsid w:val="00B3511E"/>
    <w:rsid w:val="00B36C3B"/>
    <w:rsid w:val="00B40CE0"/>
    <w:rsid w:val="00B426E8"/>
    <w:rsid w:val="00B45331"/>
    <w:rsid w:val="00B454BB"/>
    <w:rsid w:val="00B4594F"/>
    <w:rsid w:val="00B50CB8"/>
    <w:rsid w:val="00B526B2"/>
    <w:rsid w:val="00B60C59"/>
    <w:rsid w:val="00B63946"/>
    <w:rsid w:val="00B6496A"/>
    <w:rsid w:val="00B657E4"/>
    <w:rsid w:val="00B65A2A"/>
    <w:rsid w:val="00B74663"/>
    <w:rsid w:val="00B7495B"/>
    <w:rsid w:val="00B74AE3"/>
    <w:rsid w:val="00B76201"/>
    <w:rsid w:val="00B7788B"/>
    <w:rsid w:val="00B77A90"/>
    <w:rsid w:val="00B77E60"/>
    <w:rsid w:val="00B80D64"/>
    <w:rsid w:val="00B843A2"/>
    <w:rsid w:val="00B87648"/>
    <w:rsid w:val="00B90832"/>
    <w:rsid w:val="00B91DB9"/>
    <w:rsid w:val="00B92AE5"/>
    <w:rsid w:val="00B939D7"/>
    <w:rsid w:val="00B9601B"/>
    <w:rsid w:val="00B960F1"/>
    <w:rsid w:val="00B972F7"/>
    <w:rsid w:val="00BA0A58"/>
    <w:rsid w:val="00BA169C"/>
    <w:rsid w:val="00BA5FD4"/>
    <w:rsid w:val="00BA7F36"/>
    <w:rsid w:val="00BB2122"/>
    <w:rsid w:val="00BB278D"/>
    <w:rsid w:val="00BB2B62"/>
    <w:rsid w:val="00BB3984"/>
    <w:rsid w:val="00BB3B9E"/>
    <w:rsid w:val="00BB571A"/>
    <w:rsid w:val="00BC2015"/>
    <w:rsid w:val="00BC2376"/>
    <w:rsid w:val="00BC307B"/>
    <w:rsid w:val="00BC4150"/>
    <w:rsid w:val="00BC6908"/>
    <w:rsid w:val="00BC7D53"/>
    <w:rsid w:val="00BD1313"/>
    <w:rsid w:val="00BD404D"/>
    <w:rsid w:val="00BD4FDE"/>
    <w:rsid w:val="00BD5D40"/>
    <w:rsid w:val="00BE1F2A"/>
    <w:rsid w:val="00BE229C"/>
    <w:rsid w:val="00BE5191"/>
    <w:rsid w:val="00BE65F8"/>
    <w:rsid w:val="00BE687D"/>
    <w:rsid w:val="00BE7610"/>
    <w:rsid w:val="00BF0B24"/>
    <w:rsid w:val="00BF2909"/>
    <w:rsid w:val="00BF3FCE"/>
    <w:rsid w:val="00BF5B70"/>
    <w:rsid w:val="00BF7E46"/>
    <w:rsid w:val="00C016CC"/>
    <w:rsid w:val="00C01EB6"/>
    <w:rsid w:val="00C0238C"/>
    <w:rsid w:val="00C023A3"/>
    <w:rsid w:val="00C05B96"/>
    <w:rsid w:val="00C07CBB"/>
    <w:rsid w:val="00C10ED4"/>
    <w:rsid w:val="00C119BA"/>
    <w:rsid w:val="00C1206F"/>
    <w:rsid w:val="00C146B3"/>
    <w:rsid w:val="00C1610A"/>
    <w:rsid w:val="00C20446"/>
    <w:rsid w:val="00C207F2"/>
    <w:rsid w:val="00C21D23"/>
    <w:rsid w:val="00C22847"/>
    <w:rsid w:val="00C2284E"/>
    <w:rsid w:val="00C231B2"/>
    <w:rsid w:val="00C23CBC"/>
    <w:rsid w:val="00C2599C"/>
    <w:rsid w:val="00C25A41"/>
    <w:rsid w:val="00C260F3"/>
    <w:rsid w:val="00C26728"/>
    <w:rsid w:val="00C269B3"/>
    <w:rsid w:val="00C26BF1"/>
    <w:rsid w:val="00C340FA"/>
    <w:rsid w:val="00C360C0"/>
    <w:rsid w:val="00C3673A"/>
    <w:rsid w:val="00C42E95"/>
    <w:rsid w:val="00C4303B"/>
    <w:rsid w:val="00C43CFC"/>
    <w:rsid w:val="00C475C5"/>
    <w:rsid w:val="00C51AD9"/>
    <w:rsid w:val="00C51D4D"/>
    <w:rsid w:val="00C529C1"/>
    <w:rsid w:val="00C53A20"/>
    <w:rsid w:val="00C5519A"/>
    <w:rsid w:val="00C552E4"/>
    <w:rsid w:val="00C55452"/>
    <w:rsid w:val="00C61E3A"/>
    <w:rsid w:val="00C64221"/>
    <w:rsid w:val="00C64FFA"/>
    <w:rsid w:val="00C6563D"/>
    <w:rsid w:val="00C66915"/>
    <w:rsid w:val="00C707D1"/>
    <w:rsid w:val="00C71BB6"/>
    <w:rsid w:val="00C72DCF"/>
    <w:rsid w:val="00C7371D"/>
    <w:rsid w:val="00C7449B"/>
    <w:rsid w:val="00C7527D"/>
    <w:rsid w:val="00C76006"/>
    <w:rsid w:val="00C768AE"/>
    <w:rsid w:val="00C76D4D"/>
    <w:rsid w:val="00C77F99"/>
    <w:rsid w:val="00C80C81"/>
    <w:rsid w:val="00C82D43"/>
    <w:rsid w:val="00C86F81"/>
    <w:rsid w:val="00C8713B"/>
    <w:rsid w:val="00C87C98"/>
    <w:rsid w:val="00C9093F"/>
    <w:rsid w:val="00C929C8"/>
    <w:rsid w:val="00C93904"/>
    <w:rsid w:val="00C96EF7"/>
    <w:rsid w:val="00C96FB6"/>
    <w:rsid w:val="00C9703A"/>
    <w:rsid w:val="00C9707D"/>
    <w:rsid w:val="00CA001F"/>
    <w:rsid w:val="00CA0D68"/>
    <w:rsid w:val="00CA15AE"/>
    <w:rsid w:val="00CA2297"/>
    <w:rsid w:val="00CA28D5"/>
    <w:rsid w:val="00CA350D"/>
    <w:rsid w:val="00CA4279"/>
    <w:rsid w:val="00CA47A8"/>
    <w:rsid w:val="00CA61CF"/>
    <w:rsid w:val="00CA6F8B"/>
    <w:rsid w:val="00CA7F84"/>
    <w:rsid w:val="00CB0354"/>
    <w:rsid w:val="00CB0F96"/>
    <w:rsid w:val="00CB31AA"/>
    <w:rsid w:val="00CB3902"/>
    <w:rsid w:val="00CB3B7E"/>
    <w:rsid w:val="00CB4074"/>
    <w:rsid w:val="00CB6576"/>
    <w:rsid w:val="00CB6EAC"/>
    <w:rsid w:val="00CB72E9"/>
    <w:rsid w:val="00CC0962"/>
    <w:rsid w:val="00CC13D8"/>
    <w:rsid w:val="00CC2A64"/>
    <w:rsid w:val="00CC3B69"/>
    <w:rsid w:val="00CC42AF"/>
    <w:rsid w:val="00CC54F2"/>
    <w:rsid w:val="00CC68EE"/>
    <w:rsid w:val="00CC771A"/>
    <w:rsid w:val="00CD0E21"/>
    <w:rsid w:val="00CD15D4"/>
    <w:rsid w:val="00CD2F1E"/>
    <w:rsid w:val="00CD580A"/>
    <w:rsid w:val="00CD5E26"/>
    <w:rsid w:val="00CD64D0"/>
    <w:rsid w:val="00CD7C7E"/>
    <w:rsid w:val="00CE4205"/>
    <w:rsid w:val="00CF17EC"/>
    <w:rsid w:val="00CF3434"/>
    <w:rsid w:val="00CF3C97"/>
    <w:rsid w:val="00CF67A4"/>
    <w:rsid w:val="00CF67AB"/>
    <w:rsid w:val="00CF78C6"/>
    <w:rsid w:val="00D01797"/>
    <w:rsid w:val="00D0242B"/>
    <w:rsid w:val="00D0359A"/>
    <w:rsid w:val="00D04AB3"/>
    <w:rsid w:val="00D04E51"/>
    <w:rsid w:val="00D10B21"/>
    <w:rsid w:val="00D127CA"/>
    <w:rsid w:val="00D12B92"/>
    <w:rsid w:val="00D12DAE"/>
    <w:rsid w:val="00D146FF"/>
    <w:rsid w:val="00D16626"/>
    <w:rsid w:val="00D2075E"/>
    <w:rsid w:val="00D20E1C"/>
    <w:rsid w:val="00D228B4"/>
    <w:rsid w:val="00D23855"/>
    <w:rsid w:val="00D241D9"/>
    <w:rsid w:val="00D25E93"/>
    <w:rsid w:val="00D261B0"/>
    <w:rsid w:val="00D26870"/>
    <w:rsid w:val="00D26F87"/>
    <w:rsid w:val="00D2704C"/>
    <w:rsid w:val="00D27F34"/>
    <w:rsid w:val="00D32CFB"/>
    <w:rsid w:val="00D33E32"/>
    <w:rsid w:val="00D35B44"/>
    <w:rsid w:val="00D360E8"/>
    <w:rsid w:val="00D36DA4"/>
    <w:rsid w:val="00D37758"/>
    <w:rsid w:val="00D37B91"/>
    <w:rsid w:val="00D42175"/>
    <w:rsid w:val="00D42B21"/>
    <w:rsid w:val="00D46342"/>
    <w:rsid w:val="00D46F1E"/>
    <w:rsid w:val="00D47F01"/>
    <w:rsid w:val="00D507FE"/>
    <w:rsid w:val="00D52767"/>
    <w:rsid w:val="00D52DCB"/>
    <w:rsid w:val="00D53564"/>
    <w:rsid w:val="00D54CC3"/>
    <w:rsid w:val="00D54DD8"/>
    <w:rsid w:val="00D55314"/>
    <w:rsid w:val="00D55C64"/>
    <w:rsid w:val="00D56D82"/>
    <w:rsid w:val="00D57186"/>
    <w:rsid w:val="00D576F8"/>
    <w:rsid w:val="00D578C6"/>
    <w:rsid w:val="00D60647"/>
    <w:rsid w:val="00D613EC"/>
    <w:rsid w:val="00D61526"/>
    <w:rsid w:val="00D6208A"/>
    <w:rsid w:val="00D624D0"/>
    <w:rsid w:val="00D62ACA"/>
    <w:rsid w:val="00D66D95"/>
    <w:rsid w:val="00D67D0B"/>
    <w:rsid w:val="00D7017E"/>
    <w:rsid w:val="00D70B8F"/>
    <w:rsid w:val="00D71287"/>
    <w:rsid w:val="00D7184D"/>
    <w:rsid w:val="00D7406D"/>
    <w:rsid w:val="00D743A6"/>
    <w:rsid w:val="00D7443E"/>
    <w:rsid w:val="00D7447B"/>
    <w:rsid w:val="00D80C93"/>
    <w:rsid w:val="00D81F17"/>
    <w:rsid w:val="00D82358"/>
    <w:rsid w:val="00D85FD7"/>
    <w:rsid w:val="00D86FE2"/>
    <w:rsid w:val="00D8734A"/>
    <w:rsid w:val="00D87814"/>
    <w:rsid w:val="00D879C7"/>
    <w:rsid w:val="00D90534"/>
    <w:rsid w:val="00D90625"/>
    <w:rsid w:val="00D908A6"/>
    <w:rsid w:val="00D94013"/>
    <w:rsid w:val="00D9560E"/>
    <w:rsid w:val="00D95A36"/>
    <w:rsid w:val="00DA0D03"/>
    <w:rsid w:val="00DA131C"/>
    <w:rsid w:val="00DA2877"/>
    <w:rsid w:val="00DA2FA5"/>
    <w:rsid w:val="00DA42EA"/>
    <w:rsid w:val="00DA4D22"/>
    <w:rsid w:val="00DA5422"/>
    <w:rsid w:val="00DA5EFB"/>
    <w:rsid w:val="00DA6AC7"/>
    <w:rsid w:val="00DA76D8"/>
    <w:rsid w:val="00DA7725"/>
    <w:rsid w:val="00DA7CA1"/>
    <w:rsid w:val="00DB01E7"/>
    <w:rsid w:val="00DB2A56"/>
    <w:rsid w:val="00DB3160"/>
    <w:rsid w:val="00DB38D5"/>
    <w:rsid w:val="00DB5A06"/>
    <w:rsid w:val="00DC0F7B"/>
    <w:rsid w:val="00DC1F2D"/>
    <w:rsid w:val="00DC29F3"/>
    <w:rsid w:val="00DC43C0"/>
    <w:rsid w:val="00DC56B6"/>
    <w:rsid w:val="00DD21F0"/>
    <w:rsid w:val="00DD3EE1"/>
    <w:rsid w:val="00DD686E"/>
    <w:rsid w:val="00DD7303"/>
    <w:rsid w:val="00DD773E"/>
    <w:rsid w:val="00DE0E0D"/>
    <w:rsid w:val="00DE114C"/>
    <w:rsid w:val="00DE41B0"/>
    <w:rsid w:val="00DE577C"/>
    <w:rsid w:val="00DF191B"/>
    <w:rsid w:val="00DF2805"/>
    <w:rsid w:val="00DF5BDA"/>
    <w:rsid w:val="00DF5CD5"/>
    <w:rsid w:val="00E01C8A"/>
    <w:rsid w:val="00E023D1"/>
    <w:rsid w:val="00E046D4"/>
    <w:rsid w:val="00E0485A"/>
    <w:rsid w:val="00E101E6"/>
    <w:rsid w:val="00E10F64"/>
    <w:rsid w:val="00E114DE"/>
    <w:rsid w:val="00E1165A"/>
    <w:rsid w:val="00E11A20"/>
    <w:rsid w:val="00E12B62"/>
    <w:rsid w:val="00E15740"/>
    <w:rsid w:val="00E16FD3"/>
    <w:rsid w:val="00E20886"/>
    <w:rsid w:val="00E22ADC"/>
    <w:rsid w:val="00E22CA5"/>
    <w:rsid w:val="00E24702"/>
    <w:rsid w:val="00E24D0A"/>
    <w:rsid w:val="00E25CE6"/>
    <w:rsid w:val="00E26D33"/>
    <w:rsid w:val="00E27E51"/>
    <w:rsid w:val="00E27FE2"/>
    <w:rsid w:val="00E32A09"/>
    <w:rsid w:val="00E34DBB"/>
    <w:rsid w:val="00E3613B"/>
    <w:rsid w:val="00E40562"/>
    <w:rsid w:val="00E41129"/>
    <w:rsid w:val="00E418F4"/>
    <w:rsid w:val="00E426B1"/>
    <w:rsid w:val="00E44FA8"/>
    <w:rsid w:val="00E4577F"/>
    <w:rsid w:val="00E45C3E"/>
    <w:rsid w:val="00E46487"/>
    <w:rsid w:val="00E54FE6"/>
    <w:rsid w:val="00E56C49"/>
    <w:rsid w:val="00E574F2"/>
    <w:rsid w:val="00E6194C"/>
    <w:rsid w:val="00E623C7"/>
    <w:rsid w:val="00E63865"/>
    <w:rsid w:val="00E63B3F"/>
    <w:rsid w:val="00E653AF"/>
    <w:rsid w:val="00E66692"/>
    <w:rsid w:val="00E67943"/>
    <w:rsid w:val="00E70F34"/>
    <w:rsid w:val="00E72EC8"/>
    <w:rsid w:val="00E74C66"/>
    <w:rsid w:val="00E7750B"/>
    <w:rsid w:val="00E776F9"/>
    <w:rsid w:val="00E80791"/>
    <w:rsid w:val="00E81119"/>
    <w:rsid w:val="00E8307F"/>
    <w:rsid w:val="00E84C9E"/>
    <w:rsid w:val="00E86EF5"/>
    <w:rsid w:val="00E943E3"/>
    <w:rsid w:val="00E95155"/>
    <w:rsid w:val="00E96CE6"/>
    <w:rsid w:val="00EA0063"/>
    <w:rsid w:val="00EA0887"/>
    <w:rsid w:val="00EA1289"/>
    <w:rsid w:val="00EA2974"/>
    <w:rsid w:val="00EA40E9"/>
    <w:rsid w:val="00EA4132"/>
    <w:rsid w:val="00EA5EE7"/>
    <w:rsid w:val="00EA75FD"/>
    <w:rsid w:val="00EA7B96"/>
    <w:rsid w:val="00EB4997"/>
    <w:rsid w:val="00EB636B"/>
    <w:rsid w:val="00EB76E3"/>
    <w:rsid w:val="00EB7A4D"/>
    <w:rsid w:val="00EC0535"/>
    <w:rsid w:val="00EC6397"/>
    <w:rsid w:val="00ED1942"/>
    <w:rsid w:val="00ED2A72"/>
    <w:rsid w:val="00ED3409"/>
    <w:rsid w:val="00ED49F2"/>
    <w:rsid w:val="00ED5233"/>
    <w:rsid w:val="00ED5314"/>
    <w:rsid w:val="00ED5DE0"/>
    <w:rsid w:val="00ED5FD2"/>
    <w:rsid w:val="00EE032C"/>
    <w:rsid w:val="00EE0FA4"/>
    <w:rsid w:val="00EE13A4"/>
    <w:rsid w:val="00EE4763"/>
    <w:rsid w:val="00EE634A"/>
    <w:rsid w:val="00EE63F5"/>
    <w:rsid w:val="00EE722B"/>
    <w:rsid w:val="00EF1548"/>
    <w:rsid w:val="00EF19A8"/>
    <w:rsid w:val="00EF2148"/>
    <w:rsid w:val="00EF30C8"/>
    <w:rsid w:val="00EF3546"/>
    <w:rsid w:val="00EF3A21"/>
    <w:rsid w:val="00EF5157"/>
    <w:rsid w:val="00EF58B5"/>
    <w:rsid w:val="00EF6271"/>
    <w:rsid w:val="00EF7B3F"/>
    <w:rsid w:val="00F017BC"/>
    <w:rsid w:val="00F0436E"/>
    <w:rsid w:val="00F05447"/>
    <w:rsid w:val="00F06B90"/>
    <w:rsid w:val="00F10D6D"/>
    <w:rsid w:val="00F120C2"/>
    <w:rsid w:val="00F144A1"/>
    <w:rsid w:val="00F14B48"/>
    <w:rsid w:val="00F14C8F"/>
    <w:rsid w:val="00F17FE4"/>
    <w:rsid w:val="00F20502"/>
    <w:rsid w:val="00F21347"/>
    <w:rsid w:val="00F21FF3"/>
    <w:rsid w:val="00F2499F"/>
    <w:rsid w:val="00F24AF3"/>
    <w:rsid w:val="00F25063"/>
    <w:rsid w:val="00F27ABC"/>
    <w:rsid w:val="00F313B6"/>
    <w:rsid w:val="00F313B8"/>
    <w:rsid w:val="00F31826"/>
    <w:rsid w:val="00F34687"/>
    <w:rsid w:val="00F36259"/>
    <w:rsid w:val="00F3787A"/>
    <w:rsid w:val="00F412B9"/>
    <w:rsid w:val="00F423B0"/>
    <w:rsid w:val="00F44850"/>
    <w:rsid w:val="00F45968"/>
    <w:rsid w:val="00F473B9"/>
    <w:rsid w:val="00F527F7"/>
    <w:rsid w:val="00F52E90"/>
    <w:rsid w:val="00F543DA"/>
    <w:rsid w:val="00F54D62"/>
    <w:rsid w:val="00F579A4"/>
    <w:rsid w:val="00F60684"/>
    <w:rsid w:val="00F628F2"/>
    <w:rsid w:val="00F62B98"/>
    <w:rsid w:val="00F644F7"/>
    <w:rsid w:val="00F65639"/>
    <w:rsid w:val="00F6763B"/>
    <w:rsid w:val="00F7003F"/>
    <w:rsid w:val="00F7378E"/>
    <w:rsid w:val="00F73C85"/>
    <w:rsid w:val="00F76FE9"/>
    <w:rsid w:val="00F77250"/>
    <w:rsid w:val="00F81B7C"/>
    <w:rsid w:val="00F82EAE"/>
    <w:rsid w:val="00F91A08"/>
    <w:rsid w:val="00F91F33"/>
    <w:rsid w:val="00F923BD"/>
    <w:rsid w:val="00F92CDE"/>
    <w:rsid w:val="00F93DFD"/>
    <w:rsid w:val="00F93EA7"/>
    <w:rsid w:val="00F93F94"/>
    <w:rsid w:val="00F94192"/>
    <w:rsid w:val="00F9663C"/>
    <w:rsid w:val="00F96F76"/>
    <w:rsid w:val="00FA1DAD"/>
    <w:rsid w:val="00FA3226"/>
    <w:rsid w:val="00FA4143"/>
    <w:rsid w:val="00FA55AA"/>
    <w:rsid w:val="00FA5B0B"/>
    <w:rsid w:val="00FA7231"/>
    <w:rsid w:val="00FA7C51"/>
    <w:rsid w:val="00FB21F9"/>
    <w:rsid w:val="00FB2401"/>
    <w:rsid w:val="00FB5F58"/>
    <w:rsid w:val="00FB7225"/>
    <w:rsid w:val="00FC18E1"/>
    <w:rsid w:val="00FC1F0E"/>
    <w:rsid w:val="00FC1F59"/>
    <w:rsid w:val="00FC26BE"/>
    <w:rsid w:val="00FD06F7"/>
    <w:rsid w:val="00FD260C"/>
    <w:rsid w:val="00FD2675"/>
    <w:rsid w:val="00FD4962"/>
    <w:rsid w:val="00FD52AF"/>
    <w:rsid w:val="00FD54E6"/>
    <w:rsid w:val="00FD5FBC"/>
    <w:rsid w:val="00FD781E"/>
    <w:rsid w:val="00FD7E1D"/>
    <w:rsid w:val="00FE2DF2"/>
    <w:rsid w:val="00FE48F8"/>
    <w:rsid w:val="00FE6ABC"/>
    <w:rsid w:val="00FF0732"/>
    <w:rsid w:val="00FF0936"/>
    <w:rsid w:val="00FF1F2B"/>
    <w:rsid w:val="00FF4C8E"/>
    <w:rsid w:val="00FF4D73"/>
    <w:rsid w:val="00FF7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3BD93"/>
  <w15:docId w15:val="{CF203878-83AA-47A9-A0EF-A4743E79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7C"/>
    <w:rPr>
      <w:rFonts w:eastAsiaTheme="minorEastAsia"/>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2A087C"/>
    <w:pPr>
      <w:ind w:left="720"/>
      <w:contextualSpacing/>
    </w:pPr>
  </w:style>
  <w:style w:type="paragraph" w:styleId="Notedebasdepage">
    <w:name w:val="footnote text"/>
    <w:basedOn w:val="Normal"/>
    <w:link w:val="NotedebasdepageCar"/>
    <w:uiPriority w:val="99"/>
    <w:unhideWhenUsed/>
    <w:rsid w:val="002A087C"/>
    <w:pPr>
      <w:spacing w:after="0" w:line="240" w:lineRule="auto"/>
    </w:pPr>
    <w:rPr>
      <w:sz w:val="20"/>
      <w:szCs w:val="20"/>
    </w:rPr>
  </w:style>
  <w:style w:type="character" w:customStyle="1" w:styleId="NotedebasdepageCar">
    <w:name w:val="Note de bas de page Car"/>
    <w:basedOn w:val="Policepardfaut"/>
    <w:link w:val="Notedebasdepage"/>
    <w:uiPriority w:val="99"/>
    <w:rsid w:val="002A087C"/>
    <w:rPr>
      <w:rFonts w:eastAsiaTheme="minorEastAsia"/>
      <w:sz w:val="20"/>
      <w:szCs w:val="20"/>
      <w:lang w:val="en-US"/>
    </w:rPr>
  </w:style>
  <w:style w:type="character" w:styleId="Appelnotedebasdep">
    <w:name w:val="footnote reference"/>
    <w:basedOn w:val="Policepardfaut"/>
    <w:uiPriority w:val="99"/>
    <w:semiHidden/>
    <w:unhideWhenUsed/>
    <w:rsid w:val="002A087C"/>
    <w:rPr>
      <w:vertAlign w:val="superscript"/>
    </w:rPr>
  </w:style>
  <w:style w:type="character" w:customStyle="1" w:styleId="apple-style-span">
    <w:name w:val="apple-style-span"/>
    <w:basedOn w:val="Policepardfaut"/>
    <w:rsid w:val="002A087C"/>
  </w:style>
  <w:style w:type="paragraph" w:customStyle="1" w:styleId="Default">
    <w:name w:val="Default"/>
    <w:rsid w:val="002A087C"/>
    <w:pPr>
      <w:autoSpaceDE w:val="0"/>
      <w:autoSpaceDN w:val="0"/>
      <w:adjustRightInd w:val="0"/>
      <w:spacing w:after="0" w:line="240" w:lineRule="auto"/>
    </w:pPr>
    <w:rPr>
      <w:color w:val="000000"/>
      <w:sz w:val="24"/>
      <w:szCs w:val="24"/>
    </w:rPr>
  </w:style>
  <w:style w:type="character" w:customStyle="1" w:styleId="hgkelc">
    <w:name w:val="hgkelc"/>
    <w:basedOn w:val="Policepardfaut"/>
    <w:rsid w:val="002A087C"/>
  </w:style>
  <w:style w:type="character" w:styleId="Accentuation">
    <w:name w:val="Emphasis"/>
    <w:basedOn w:val="Policepardfaut"/>
    <w:uiPriority w:val="20"/>
    <w:qFormat/>
    <w:rsid w:val="002A087C"/>
    <w:rPr>
      <w:i/>
      <w:iCs/>
    </w:rPr>
  </w:style>
  <w:style w:type="character" w:customStyle="1" w:styleId="CommentaireCar">
    <w:name w:val="Commentaire Car"/>
    <w:basedOn w:val="Policepardfaut"/>
    <w:link w:val="Commentaire"/>
    <w:uiPriority w:val="99"/>
    <w:semiHidden/>
    <w:rsid w:val="002A087C"/>
    <w:rPr>
      <w:rFonts w:eastAsiaTheme="minorEastAsia"/>
      <w:sz w:val="20"/>
      <w:szCs w:val="20"/>
      <w:lang w:val="en-US"/>
    </w:rPr>
  </w:style>
  <w:style w:type="paragraph" w:styleId="Commentaire">
    <w:name w:val="annotation text"/>
    <w:basedOn w:val="Normal"/>
    <w:link w:val="CommentaireCar"/>
    <w:uiPriority w:val="99"/>
    <w:semiHidden/>
    <w:unhideWhenUsed/>
    <w:rsid w:val="002A087C"/>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2A087C"/>
    <w:rPr>
      <w:rFonts w:eastAsiaTheme="minorEastAsia"/>
      <w:b/>
      <w:bCs/>
      <w:sz w:val="20"/>
      <w:szCs w:val="20"/>
      <w:lang w:val="en-US"/>
    </w:rPr>
  </w:style>
  <w:style w:type="paragraph" w:styleId="Objetducommentaire">
    <w:name w:val="annotation subject"/>
    <w:basedOn w:val="Commentaire"/>
    <w:next w:val="Commentaire"/>
    <w:link w:val="ObjetducommentaireCar"/>
    <w:uiPriority w:val="99"/>
    <w:semiHidden/>
    <w:unhideWhenUsed/>
    <w:rsid w:val="002A087C"/>
    <w:rPr>
      <w:b/>
      <w:bCs/>
    </w:rPr>
  </w:style>
  <w:style w:type="character" w:customStyle="1" w:styleId="TextedebullesCar">
    <w:name w:val="Texte de bulles Car"/>
    <w:basedOn w:val="Policepardfaut"/>
    <w:link w:val="Textedebulles"/>
    <w:uiPriority w:val="99"/>
    <w:semiHidden/>
    <w:rsid w:val="002A087C"/>
    <w:rPr>
      <w:rFonts w:ascii="Segoe UI" w:eastAsiaTheme="minorEastAsia" w:hAnsi="Segoe UI" w:cs="Segoe UI"/>
      <w:sz w:val="18"/>
      <w:szCs w:val="18"/>
      <w:lang w:val="en-US"/>
    </w:rPr>
  </w:style>
  <w:style w:type="paragraph" w:styleId="Textedebulles">
    <w:name w:val="Balloon Text"/>
    <w:basedOn w:val="Normal"/>
    <w:link w:val="TextedebullesCar"/>
    <w:uiPriority w:val="99"/>
    <w:semiHidden/>
    <w:unhideWhenUsed/>
    <w:rsid w:val="002A087C"/>
    <w:pPr>
      <w:spacing w:after="0" w:line="240" w:lineRule="auto"/>
    </w:pPr>
    <w:rPr>
      <w:rFonts w:ascii="Segoe UI" w:hAnsi="Segoe UI" w:cs="Segoe UI"/>
      <w:sz w:val="18"/>
      <w:szCs w:val="18"/>
    </w:rPr>
  </w:style>
  <w:style w:type="paragraph" w:styleId="Sansinterligne">
    <w:name w:val="No Spacing"/>
    <w:uiPriority w:val="1"/>
    <w:qFormat/>
    <w:rsid w:val="002A087C"/>
    <w:pPr>
      <w:spacing w:after="0" w:line="240" w:lineRule="auto"/>
    </w:pPr>
    <w:rPr>
      <w:rFonts w:eastAsiaTheme="minorEastAsia"/>
    </w:rPr>
  </w:style>
  <w:style w:type="character" w:customStyle="1" w:styleId="PrformatHTMLCar">
    <w:name w:val="Préformaté HTML Car"/>
    <w:basedOn w:val="Policepardfaut"/>
    <w:link w:val="PrformatHTML"/>
    <w:uiPriority w:val="99"/>
    <w:semiHidden/>
    <w:rsid w:val="002A087C"/>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semiHidden/>
    <w:unhideWhenUsed/>
    <w:rsid w:val="002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rPr>
  </w:style>
  <w:style w:type="character" w:customStyle="1" w:styleId="En-tteCar">
    <w:name w:val="En-tête Car"/>
    <w:basedOn w:val="Policepardfaut"/>
    <w:link w:val="En-tte"/>
    <w:uiPriority w:val="99"/>
    <w:rsid w:val="002A087C"/>
    <w:rPr>
      <w:rFonts w:eastAsiaTheme="minorEastAsia"/>
      <w:lang w:val="en-US"/>
    </w:rPr>
  </w:style>
  <w:style w:type="paragraph" w:styleId="En-tte">
    <w:name w:val="header"/>
    <w:basedOn w:val="Normal"/>
    <w:link w:val="En-tteCar"/>
    <w:uiPriority w:val="99"/>
    <w:unhideWhenUsed/>
    <w:rsid w:val="002A087C"/>
    <w:pPr>
      <w:tabs>
        <w:tab w:val="center" w:pos="4536"/>
        <w:tab w:val="right" w:pos="9072"/>
      </w:tabs>
      <w:spacing w:after="0" w:line="240" w:lineRule="auto"/>
    </w:pPr>
  </w:style>
  <w:style w:type="paragraph" w:styleId="Pieddepage">
    <w:name w:val="footer"/>
    <w:basedOn w:val="Normal"/>
    <w:link w:val="PieddepageCar"/>
    <w:uiPriority w:val="99"/>
    <w:unhideWhenUsed/>
    <w:rsid w:val="002A0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087C"/>
    <w:rPr>
      <w:rFonts w:eastAsiaTheme="minorEastAsia"/>
      <w:lang w:val="en-US"/>
    </w:rPr>
  </w:style>
  <w:style w:type="table" w:styleId="TableauListe6Couleur">
    <w:name w:val="List Table 6 Colorful"/>
    <w:basedOn w:val="TableauNormal"/>
    <w:uiPriority w:val="51"/>
    <w:rsid w:val="002A087C"/>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z-HautduformulaireCar">
    <w:name w:val="z-Haut du formulaire Car"/>
    <w:basedOn w:val="Policepardfaut"/>
    <w:link w:val="z-Hautduformulaire"/>
    <w:uiPriority w:val="99"/>
    <w:semiHidden/>
    <w:rsid w:val="002A087C"/>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2A087C"/>
    <w:pPr>
      <w:pBdr>
        <w:bottom w:val="single" w:sz="6" w:space="1" w:color="auto"/>
      </w:pBdr>
      <w:spacing w:after="0" w:line="240" w:lineRule="auto"/>
      <w:jc w:val="center"/>
    </w:pPr>
    <w:rPr>
      <w:rFonts w:ascii="Arial" w:eastAsia="Times New Roman" w:hAnsi="Arial" w:cs="Arial"/>
      <w:vanish/>
      <w:sz w:val="16"/>
      <w:szCs w:val="16"/>
      <w:lang w:val="fr-FR"/>
    </w:rPr>
  </w:style>
  <w:style w:type="paragraph" w:styleId="Bibliographie">
    <w:name w:val="Bibliography"/>
    <w:basedOn w:val="Normal"/>
    <w:next w:val="Normal"/>
    <w:uiPriority w:val="37"/>
    <w:unhideWhenUsed/>
    <w:rsid w:val="002A087C"/>
    <w:pPr>
      <w:spacing w:after="0" w:line="480" w:lineRule="auto"/>
      <w:ind w:left="720" w:hanging="720"/>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
    <w:name w:val="8"/>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
    <w:name w:val="6"/>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5">
    <w:name w:val="5"/>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3">
    <w:name w:val="3"/>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styleId="Grilledutableau">
    <w:name w:val="Table Grid"/>
    <w:basedOn w:val="TableauNormal"/>
    <w:uiPriority w:val="39"/>
    <w:rsid w:val="00F5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66791"/>
    <w:rPr>
      <w:color w:val="666666"/>
    </w:rPr>
  </w:style>
  <w:style w:type="paragraph" w:styleId="NormalWeb">
    <w:name w:val="Normal (Web)"/>
    <w:basedOn w:val="Normal"/>
    <w:uiPriority w:val="99"/>
    <w:semiHidden/>
    <w:unhideWhenUsed/>
    <w:rsid w:val="00207F40"/>
    <w:rPr>
      <w:rFonts w:ascii="Times New Roman" w:hAnsi="Times New Roman" w:cs="Times New Roman"/>
      <w:sz w:val="24"/>
      <w:szCs w:val="24"/>
    </w:rPr>
  </w:style>
  <w:style w:type="paragraph" w:styleId="Rvision">
    <w:name w:val="Revision"/>
    <w:hidden/>
    <w:uiPriority w:val="99"/>
    <w:semiHidden/>
    <w:rsid w:val="002D692F"/>
    <w:pPr>
      <w:spacing w:after="0" w:line="240" w:lineRule="auto"/>
    </w:pPr>
    <w:rPr>
      <w:rFonts w:eastAsiaTheme="minorEastAsia"/>
    </w:rPr>
  </w:style>
  <w:style w:type="character" w:styleId="Marquedecommentaire">
    <w:name w:val="annotation reference"/>
    <w:basedOn w:val="Policepardfaut"/>
    <w:uiPriority w:val="99"/>
    <w:semiHidden/>
    <w:unhideWhenUsed/>
    <w:rsid w:val="007E531E"/>
    <w:rPr>
      <w:sz w:val="16"/>
      <w:szCs w:val="16"/>
    </w:rPr>
  </w:style>
  <w:style w:type="paragraph" w:styleId="Lgende">
    <w:name w:val="caption"/>
    <w:basedOn w:val="Normal"/>
    <w:next w:val="Normal"/>
    <w:uiPriority w:val="35"/>
    <w:semiHidden/>
    <w:unhideWhenUsed/>
    <w:qFormat/>
    <w:rsid w:val="0058388E"/>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FF4D73"/>
    <w:pPr>
      <w:spacing w:after="0"/>
    </w:pPr>
  </w:style>
  <w:style w:type="character" w:styleId="Lienhypertexte">
    <w:name w:val="Hyperlink"/>
    <w:basedOn w:val="Policepardfaut"/>
    <w:uiPriority w:val="99"/>
    <w:unhideWhenUsed/>
    <w:rsid w:val="00FF4D73"/>
    <w:rPr>
      <w:color w:val="0563C1" w:themeColor="hyperlink"/>
      <w:u w:val="single"/>
    </w:rPr>
  </w:style>
  <w:style w:type="table" w:styleId="TableauListe6Couleur-Accentuation3">
    <w:name w:val="List Table 6 Colorful Accent 3"/>
    <w:basedOn w:val="TableauNormal"/>
    <w:uiPriority w:val="51"/>
    <w:rsid w:val="001F1AC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7Couleur-Accentuation3">
    <w:name w:val="Grid Table 7 Colorful Accent 3"/>
    <w:basedOn w:val="TableauNormal"/>
    <w:uiPriority w:val="52"/>
    <w:rsid w:val="003D1E0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
    <w:name w:val="Grid Table 6 Colorful"/>
    <w:basedOn w:val="TableauNormal"/>
    <w:uiPriority w:val="51"/>
    <w:rsid w:val="00765FD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rsid w:val="00CA15A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4">
    <w:name w:val="Plain Table 4"/>
    <w:basedOn w:val="TableauNormal"/>
    <w:uiPriority w:val="44"/>
    <w:rsid w:val="005930FE"/>
    <w:pPr>
      <w:spacing w:after="0" w:line="240" w:lineRule="auto"/>
    </w:pPr>
    <w:rPr>
      <w:rFonts w:asciiTheme="minorHAnsi" w:eastAsiaTheme="minorEastAsia"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1744">
      <w:bodyDiv w:val="1"/>
      <w:marLeft w:val="0"/>
      <w:marRight w:val="0"/>
      <w:marTop w:val="0"/>
      <w:marBottom w:val="0"/>
      <w:divBdr>
        <w:top w:val="none" w:sz="0" w:space="0" w:color="auto"/>
        <w:left w:val="none" w:sz="0" w:space="0" w:color="auto"/>
        <w:bottom w:val="none" w:sz="0" w:space="0" w:color="auto"/>
        <w:right w:val="none" w:sz="0" w:space="0" w:color="auto"/>
      </w:divBdr>
    </w:div>
    <w:div w:id="150873662">
      <w:bodyDiv w:val="1"/>
      <w:marLeft w:val="0"/>
      <w:marRight w:val="0"/>
      <w:marTop w:val="0"/>
      <w:marBottom w:val="0"/>
      <w:divBdr>
        <w:top w:val="none" w:sz="0" w:space="0" w:color="auto"/>
        <w:left w:val="none" w:sz="0" w:space="0" w:color="auto"/>
        <w:bottom w:val="none" w:sz="0" w:space="0" w:color="auto"/>
        <w:right w:val="none" w:sz="0" w:space="0" w:color="auto"/>
      </w:divBdr>
    </w:div>
    <w:div w:id="278487415">
      <w:bodyDiv w:val="1"/>
      <w:marLeft w:val="0"/>
      <w:marRight w:val="0"/>
      <w:marTop w:val="0"/>
      <w:marBottom w:val="0"/>
      <w:divBdr>
        <w:top w:val="none" w:sz="0" w:space="0" w:color="auto"/>
        <w:left w:val="none" w:sz="0" w:space="0" w:color="auto"/>
        <w:bottom w:val="none" w:sz="0" w:space="0" w:color="auto"/>
        <w:right w:val="none" w:sz="0" w:space="0" w:color="auto"/>
      </w:divBdr>
      <w:divsChild>
        <w:div w:id="649410354">
          <w:marLeft w:val="0"/>
          <w:marRight w:val="0"/>
          <w:marTop w:val="0"/>
          <w:marBottom w:val="0"/>
          <w:divBdr>
            <w:top w:val="none" w:sz="0" w:space="0" w:color="auto"/>
            <w:left w:val="none" w:sz="0" w:space="0" w:color="auto"/>
            <w:bottom w:val="none" w:sz="0" w:space="0" w:color="auto"/>
            <w:right w:val="none" w:sz="0" w:space="0" w:color="auto"/>
          </w:divBdr>
          <w:divsChild>
            <w:div w:id="380791229">
              <w:marLeft w:val="0"/>
              <w:marRight w:val="0"/>
              <w:marTop w:val="0"/>
              <w:marBottom w:val="0"/>
              <w:divBdr>
                <w:top w:val="none" w:sz="0" w:space="0" w:color="auto"/>
                <w:left w:val="none" w:sz="0" w:space="0" w:color="auto"/>
                <w:bottom w:val="none" w:sz="0" w:space="0" w:color="auto"/>
                <w:right w:val="none" w:sz="0" w:space="0" w:color="auto"/>
              </w:divBdr>
              <w:divsChild>
                <w:div w:id="87890062">
                  <w:marLeft w:val="0"/>
                  <w:marRight w:val="0"/>
                  <w:marTop w:val="0"/>
                  <w:marBottom w:val="0"/>
                  <w:divBdr>
                    <w:top w:val="none" w:sz="0" w:space="0" w:color="auto"/>
                    <w:left w:val="none" w:sz="0" w:space="0" w:color="auto"/>
                    <w:bottom w:val="none" w:sz="0" w:space="0" w:color="auto"/>
                    <w:right w:val="none" w:sz="0" w:space="0" w:color="auto"/>
                  </w:divBdr>
                  <w:divsChild>
                    <w:div w:id="823281419">
                      <w:marLeft w:val="0"/>
                      <w:marRight w:val="0"/>
                      <w:marTop w:val="0"/>
                      <w:marBottom w:val="0"/>
                      <w:divBdr>
                        <w:top w:val="none" w:sz="0" w:space="0" w:color="auto"/>
                        <w:left w:val="none" w:sz="0" w:space="0" w:color="auto"/>
                        <w:bottom w:val="none" w:sz="0" w:space="0" w:color="auto"/>
                        <w:right w:val="none" w:sz="0" w:space="0" w:color="auto"/>
                      </w:divBdr>
                      <w:divsChild>
                        <w:div w:id="2106218730">
                          <w:marLeft w:val="0"/>
                          <w:marRight w:val="0"/>
                          <w:marTop w:val="0"/>
                          <w:marBottom w:val="0"/>
                          <w:divBdr>
                            <w:top w:val="none" w:sz="0" w:space="0" w:color="auto"/>
                            <w:left w:val="none" w:sz="0" w:space="0" w:color="auto"/>
                            <w:bottom w:val="none" w:sz="0" w:space="0" w:color="auto"/>
                            <w:right w:val="none" w:sz="0" w:space="0" w:color="auto"/>
                          </w:divBdr>
                          <w:divsChild>
                            <w:div w:id="1774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090595">
      <w:bodyDiv w:val="1"/>
      <w:marLeft w:val="0"/>
      <w:marRight w:val="0"/>
      <w:marTop w:val="0"/>
      <w:marBottom w:val="0"/>
      <w:divBdr>
        <w:top w:val="none" w:sz="0" w:space="0" w:color="auto"/>
        <w:left w:val="none" w:sz="0" w:space="0" w:color="auto"/>
        <w:bottom w:val="none" w:sz="0" w:space="0" w:color="auto"/>
        <w:right w:val="none" w:sz="0" w:space="0" w:color="auto"/>
      </w:divBdr>
    </w:div>
    <w:div w:id="415636007">
      <w:bodyDiv w:val="1"/>
      <w:marLeft w:val="0"/>
      <w:marRight w:val="0"/>
      <w:marTop w:val="0"/>
      <w:marBottom w:val="0"/>
      <w:divBdr>
        <w:top w:val="none" w:sz="0" w:space="0" w:color="auto"/>
        <w:left w:val="none" w:sz="0" w:space="0" w:color="auto"/>
        <w:bottom w:val="none" w:sz="0" w:space="0" w:color="auto"/>
        <w:right w:val="none" w:sz="0" w:space="0" w:color="auto"/>
      </w:divBdr>
    </w:div>
    <w:div w:id="471480894">
      <w:bodyDiv w:val="1"/>
      <w:marLeft w:val="0"/>
      <w:marRight w:val="0"/>
      <w:marTop w:val="0"/>
      <w:marBottom w:val="0"/>
      <w:divBdr>
        <w:top w:val="none" w:sz="0" w:space="0" w:color="auto"/>
        <w:left w:val="none" w:sz="0" w:space="0" w:color="auto"/>
        <w:bottom w:val="none" w:sz="0" w:space="0" w:color="auto"/>
        <w:right w:val="none" w:sz="0" w:space="0" w:color="auto"/>
      </w:divBdr>
    </w:div>
    <w:div w:id="677848184">
      <w:bodyDiv w:val="1"/>
      <w:marLeft w:val="0"/>
      <w:marRight w:val="0"/>
      <w:marTop w:val="0"/>
      <w:marBottom w:val="0"/>
      <w:divBdr>
        <w:top w:val="none" w:sz="0" w:space="0" w:color="auto"/>
        <w:left w:val="none" w:sz="0" w:space="0" w:color="auto"/>
        <w:bottom w:val="none" w:sz="0" w:space="0" w:color="auto"/>
        <w:right w:val="none" w:sz="0" w:space="0" w:color="auto"/>
      </w:divBdr>
      <w:divsChild>
        <w:div w:id="2051301877">
          <w:marLeft w:val="0"/>
          <w:marRight w:val="0"/>
          <w:marTop w:val="0"/>
          <w:marBottom w:val="0"/>
          <w:divBdr>
            <w:top w:val="none" w:sz="0" w:space="0" w:color="auto"/>
            <w:left w:val="none" w:sz="0" w:space="0" w:color="auto"/>
            <w:bottom w:val="none" w:sz="0" w:space="0" w:color="auto"/>
            <w:right w:val="none" w:sz="0" w:space="0" w:color="auto"/>
          </w:divBdr>
          <w:divsChild>
            <w:div w:id="1620184625">
              <w:marLeft w:val="0"/>
              <w:marRight w:val="0"/>
              <w:marTop w:val="0"/>
              <w:marBottom w:val="0"/>
              <w:divBdr>
                <w:top w:val="none" w:sz="0" w:space="0" w:color="auto"/>
                <w:left w:val="none" w:sz="0" w:space="0" w:color="auto"/>
                <w:bottom w:val="none" w:sz="0" w:space="0" w:color="auto"/>
                <w:right w:val="none" w:sz="0" w:space="0" w:color="auto"/>
              </w:divBdr>
              <w:divsChild>
                <w:div w:id="2074891339">
                  <w:marLeft w:val="0"/>
                  <w:marRight w:val="0"/>
                  <w:marTop w:val="0"/>
                  <w:marBottom w:val="0"/>
                  <w:divBdr>
                    <w:top w:val="none" w:sz="0" w:space="0" w:color="auto"/>
                    <w:left w:val="none" w:sz="0" w:space="0" w:color="auto"/>
                    <w:bottom w:val="none" w:sz="0" w:space="0" w:color="auto"/>
                    <w:right w:val="none" w:sz="0" w:space="0" w:color="auto"/>
                  </w:divBdr>
                  <w:divsChild>
                    <w:div w:id="272055480">
                      <w:marLeft w:val="0"/>
                      <w:marRight w:val="0"/>
                      <w:marTop w:val="0"/>
                      <w:marBottom w:val="0"/>
                      <w:divBdr>
                        <w:top w:val="none" w:sz="0" w:space="0" w:color="auto"/>
                        <w:left w:val="none" w:sz="0" w:space="0" w:color="auto"/>
                        <w:bottom w:val="none" w:sz="0" w:space="0" w:color="auto"/>
                        <w:right w:val="none" w:sz="0" w:space="0" w:color="auto"/>
                      </w:divBdr>
                      <w:divsChild>
                        <w:div w:id="24403011">
                          <w:marLeft w:val="0"/>
                          <w:marRight w:val="0"/>
                          <w:marTop w:val="0"/>
                          <w:marBottom w:val="0"/>
                          <w:divBdr>
                            <w:top w:val="none" w:sz="0" w:space="0" w:color="auto"/>
                            <w:left w:val="none" w:sz="0" w:space="0" w:color="auto"/>
                            <w:bottom w:val="none" w:sz="0" w:space="0" w:color="auto"/>
                            <w:right w:val="none" w:sz="0" w:space="0" w:color="auto"/>
                          </w:divBdr>
                          <w:divsChild>
                            <w:div w:id="16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0981">
      <w:bodyDiv w:val="1"/>
      <w:marLeft w:val="0"/>
      <w:marRight w:val="0"/>
      <w:marTop w:val="0"/>
      <w:marBottom w:val="0"/>
      <w:divBdr>
        <w:top w:val="none" w:sz="0" w:space="0" w:color="auto"/>
        <w:left w:val="none" w:sz="0" w:space="0" w:color="auto"/>
        <w:bottom w:val="none" w:sz="0" w:space="0" w:color="auto"/>
        <w:right w:val="none" w:sz="0" w:space="0" w:color="auto"/>
      </w:divBdr>
      <w:divsChild>
        <w:div w:id="1492719479">
          <w:marLeft w:val="0"/>
          <w:marRight w:val="0"/>
          <w:marTop w:val="0"/>
          <w:marBottom w:val="0"/>
          <w:divBdr>
            <w:top w:val="none" w:sz="0" w:space="0" w:color="auto"/>
            <w:left w:val="none" w:sz="0" w:space="0" w:color="auto"/>
            <w:bottom w:val="none" w:sz="0" w:space="0" w:color="auto"/>
            <w:right w:val="none" w:sz="0" w:space="0" w:color="auto"/>
          </w:divBdr>
          <w:divsChild>
            <w:div w:id="1957639344">
              <w:marLeft w:val="0"/>
              <w:marRight w:val="0"/>
              <w:marTop w:val="0"/>
              <w:marBottom w:val="0"/>
              <w:divBdr>
                <w:top w:val="none" w:sz="0" w:space="0" w:color="auto"/>
                <w:left w:val="none" w:sz="0" w:space="0" w:color="auto"/>
                <w:bottom w:val="none" w:sz="0" w:space="0" w:color="auto"/>
                <w:right w:val="none" w:sz="0" w:space="0" w:color="auto"/>
              </w:divBdr>
              <w:divsChild>
                <w:div w:id="283578349">
                  <w:marLeft w:val="0"/>
                  <w:marRight w:val="0"/>
                  <w:marTop w:val="0"/>
                  <w:marBottom w:val="0"/>
                  <w:divBdr>
                    <w:top w:val="none" w:sz="0" w:space="0" w:color="auto"/>
                    <w:left w:val="none" w:sz="0" w:space="0" w:color="auto"/>
                    <w:bottom w:val="none" w:sz="0" w:space="0" w:color="auto"/>
                    <w:right w:val="none" w:sz="0" w:space="0" w:color="auto"/>
                  </w:divBdr>
                  <w:divsChild>
                    <w:div w:id="905383150">
                      <w:marLeft w:val="0"/>
                      <w:marRight w:val="0"/>
                      <w:marTop w:val="0"/>
                      <w:marBottom w:val="0"/>
                      <w:divBdr>
                        <w:top w:val="none" w:sz="0" w:space="0" w:color="auto"/>
                        <w:left w:val="none" w:sz="0" w:space="0" w:color="auto"/>
                        <w:bottom w:val="none" w:sz="0" w:space="0" w:color="auto"/>
                        <w:right w:val="none" w:sz="0" w:space="0" w:color="auto"/>
                      </w:divBdr>
                      <w:divsChild>
                        <w:div w:id="401879979">
                          <w:marLeft w:val="0"/>
                          <w:marRight w:val="0"/>
                          <w:marTop w:val="0"/>
                          <w:marBottom w:val="0"/>
                          <w:divBdr>
                            <w:top w:val="none" w:sz="0" w:space="0" w:color="auto"/>
                            <w:left w:val="none" w:sz="0" w:space="0" w:color="auto"/>
                            <w:bottom w:val="none" w:sz="0" w:space="0" w:color="auto"/>
                            <w:right w:val="none" w:sz="0" w:space="0" w:color="auto"/>
                          </w:divBdr>
                          <w:divsChild>
                            <w:div w:id="8230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64925">
      <w:bodyDiv w:val="1"/>
      <w:marLeft w:val="0"/>
      <w:marRight w:val="0"/>
      <w:marTop w:val="0"/>
      <w:marBottom w:val="0"/>
      <w:divBdr>
        <w:top w:val="none" w:sz="0" w:space="0" w:color="auto"/>
        <w:left w:val="none" w:sz="0" w:space="0" w:color="auto"/>
        <w:bottom w:val="none" w:sz="0" w:space="0" w:color="auto"/>
        <w:right w:val="none" w:sz="0" w:space="0" w:color="auto"/>
      </w:divBdr>
    </w:div>
    <w:div w:id="1284536249">
      <w:bodyDiv w:val="1"/>
      <w:marLeft w:val="0"/>
      <w:marRight w:val="0"/>
      <w:marTop w:val="0"/>
      <w:marBottom w:val="0"/>
      <w:divBdr>
        <w:top w:val="none" w:sz="0" w:space="0" w:color="auto"/>
        <w:left w:val="none" w:sz="0" w:space="0" w:color="auto"/>
        <w:bottom w:val="none" w:sz="0" w:space="0" w:color="auto"/>
        <w:right w:val="none" w:sz="0" w:space="0" w:color="auto"/>
      </w:divBdr>
    </w:div>
    <w:div w:id="1324744916">
      <w:bodyDiv w:val="1"/>
      <w:marLeft w:val="0"/>
      <w:marRight w:val="0"/>
      <w:marTop w:val="0"/>
      <w:marBottom w:val="0"/>
      <w:divBdr>
        <w:top w:val="none" w:sz="0" w:space="0" w:color="auto"/>
        <w:left w:val="none" w:sz="0" w:space="0" w:color="auto"/>
        <w:bottom w:val="none" w:sz="0" w:space="0" w:color="auto"/>
        <w:right w:val="none" w:sz="0" w:space="0" w:color="auto"/>
      </w:divBdr>
    </w:div>
    <w:div w:id="1569417853">
      <w:bodyDiv w:val="1"/>
      <w:marLeft w:val="0"/>
      <w:marRight w:val="0"/>
      <w:marTop w:val="0"/>
      <w:marBottom w:val="0"/>
      <w:divBdr>
        <w:top w:val="none" w:sz="0" w:space="0" w:color="auto"/>
        <w:left w:val="none" w:sz="0" w:space="0" w:color="auto"/>
        <w:bottom w:val="none" w:sz="0" w:space="0" w:color="auto"/>
        <w:right w:val="none" w:sz="0" w:space="0" w:color="auto"/>
      </w:divBdr>
    </w:div>
    <w:div w:id="1636712429">
      <w:bodyDiv w:val="1"/>
      <w:marLeft w:val="0"/>
      <w:marRight w:val="0"/>
      <w:marTop w:val="0"/>
      <w:marBottom w:val="0"/>
      <w:divBdr>
        <w:top w:val="none" w:sz="0" w:space="0" w:color="auto"/>
        <w:left w:val="none" w:sz="0" w:space="0" w:color="auto"/>
        <w:bottom w:val="none" w:sz="0" w:space="0" w:color="auto"/>
        <w:right w:val="none" w:sz="0" w:space="0" w:color="auto"/>
      </w:divBdr>
    </w:div>
    <w:div w:id="1651061479">
      <w:bodyDiv w:val="1"/>
      <w:marLeft w:val="0"/>
      <w:marRight w:val="0"/>
      <w:marTop w:val="0"/>
      <w:marBottom w:val="0"/>
      <w:divBdr>
        <w:top w:val="none" w:sz="0" w:space="0" w:color="auto"/>
        <w:left w:val="none" w:sz="0" w:space="0" w:color="auto"/>
        <w:bottom w:val="none" w:sz="0" w:space="0" w:color="auto"/>
        <w:right w:val="none" w:sz="0" w:space="0" w:color="auto"/>
      </w:divBdr>
    </w:div>
    <w:div w:id="1763839328">
      <w:bodyDiv w:val="1"/>
      <w:marLeft w:val="0"/>
      <w:marRight w:val="0"/>
      <w:marTop w:val="0"/>
      <w:marBottom w:val="0"/>
      <w:divBdr>
        <w:top w:val="none" w:sz="0" w:space="0" w:color="auto"/>
        <w:left w:val="none" w:sz="0" w:space="0" w:color="auto"/>
        <w:bottom w:val="none" w:sz="0" w:space="0" w:color="auto"/>
        <w:right w:val="none" w:sz="0" w:space="0" w:color="auto"/>
      </w:divBdr>
    </w:div>
    <w:div w:id="1916236790">
      <w:bodyDiv w:val="1"/>
      <w:marLeft w:val="0"/>
      <w:marRight w:val="0"/>
      <w:marTop w:val="0"/>
      <w:marBottom w:val="0"/>
      <w:divBdr>
        <w:top w:val="none" w:sz="0" w:space="0" w:color="auto"/>
        <w:left w:val="none" w:sz="0" w:space="0" w:color="auto"/>
        <w:bottom w:val="none" w:sz="0" w:space="0" w:color="auto"/>
        <w:right w:val="none" w:sz="0" w:space="0" w:color="auto"/>
      </w:divBdr>
      <w:divsChild>
        <w:div w:id="528954938">
          <w:marLeft w:val="0"/>
          <w:marRight w:val="0"/>
          <w:marTop w:val="0"/>
          <w:marBottom w:val="0"/>
          <w:divBdr>
            <w:top w:val="none" w:sz="0" w:space="0" w:color="auto"/>
            <w:left w:val="none" w:sz="0" w:space="0" w:color="auto"/>
            <w:bottom w:val="none" w:sz="0" w:space="0" w:color="auto"/>
            <w:right w:val="none" w:sz="0" w:space="0" w:color="auto"/>
          </w:divBdr>
          <w:divsChild>
            <w:div w:id="600531662">
              <w:marLeft w:val="0"/>
              <w:marRight w:val="0"/>
              <w:marTop w:val="0"/>
              <w:marBottom w:val="0"/>
              <w:divBdr>
                <w:top w:val="none" w:sz="0" w:space="0" w:color="auto"/>
                <w:left w:val="none" w:sz="0" w:space="0" w:color="auto"/>
                <w:bottom w:val="none" w:sz="0" w:space="0" w:color="auto"/>
                <w:right w:val="none" w:sz="0" w:space="0" w:color="auto"/>
              </w:divBdr>
              <w:divsChild>
                <w:div w:id="1769278125">
                  <w:marLeft w:val="0"/>
                  <w:marRight w:val="0"/>
                  <w:marTop w:val="0"/>
                  <w:marBottom w:val="0"/>
                  <w:divBdr>
                    <w:top w:val="none" w:sz="0" w:space="0" w:color="auto"/>
                    <w:left w:val="none" w:sz="0" w:space="0" w:color="auto"/>
                    <w:bottom w:val="none" w:sz="0" w:space="0" w:color="auto"/>
                    <w:right w:val="none" w:sz="0" w:space="0" w:color="auto"/>
                  </w:divBdr>
                  <w:divsChild>
                    <w:div w:id="1028142120">
                      <w:marLeft w:val="0"/>
                      <w:marRight w:val="0"/>
                      <w:marTop w:val="0"/>
                      <w:marBottom w:val="0"/>
                      <w:divBdr>
                        <w:top w:val="none" w:sz="0" w:space="0" w:color="auto"/>
                        <w:left w:val="none" w:sz="0" w:space="0" w:color="auto"/>
                        <w:bottom w:val="none" w:sz="0" w:space="0" w:color="auto"/>
                        <w:right w:val="none" w:sz="0" w:space="0" w:color="auto"/>
                      </w:divBdr>
                      <w:divsChild>
                        <w:div w:id="922185110">
                          <w:marLeft w:val="0"/>
                          <w:marRight w:val="0"/>
                          <w:marTop w:val="0"/>
                          <w:marBottom w:val="0"/>
                          <w:divBdr>
                            <w:top w:val="none" w:sz="0" w:space="0" w:color="auto"/>
                            <w:left w:val="none" w:sz="0" w:space="0" w:color="auto"/>
                            <w:bottom w:val="none" w:sz="0" w:space="0" w:color="auto"/>
                            <w:right w:val="none" w:sz="0" w:space="0" w:color="auto"/>
                          </w:divBdr>
                          <w:divsChild>
                            <w:div w:id="18955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Th&#232;se%203\Essai%201\Classeur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Feuil1!$C$1</c:f>
              <c:strCache>
                <c:ptCount val="1"/>
                <c:pt idx="0">
                  <c:v>TAUX_EFFECTIF_DE_L_IUTS</c:v>
                </c:pt>
              </c:strCache>
            </c:strRef>
          </c:tx>
          <c:spPr>
            <a:ln w="28575" cap="rnd">
              <a:solidFill>
                <a:schemeClr val="accent2"/>
              </a:solidFill>
              <a:round/>
            </a:ln>
            <a:effectLst/>
          </c:spPr>
          <c:marker>
            <c:symbol val="none"/>
          </c:marker>
          <c:cat>
            <c:strRef>
              <c:f>Feuil1!$A$2:$A$71</c:f>
              <c:strCache>
                <c:ptCount val="70"/>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pt idx="67">
                  <c:v>2020Q3</c:v>
                </c:pt>
                <c:pt idx="68">
                  <c:v>2020Q4</c:v>
                </c:pt>
                <c:pt idx="69">
                  <c:v>2021Q1</c:v>
                </c:pt>
              </c:strCache>
            </c:strRef>
          </c:cat>
          <c:val>
            <c:numRef>
              <c:f>Feuil1!$C$2:$C$71</c:f>
              <c:numCache>
                <c:formatCode>General</c:formatCode>
                <c:ptCount val="70"/>
                <c:pt idx="0">
                  <c:v>0.139819044682333</c:v>
                </c:pt>
                <c:pt idx="1">
                  <c:v>0.202673410024995</c:v>
                </c:pt>
                <c:pt idx="2">
                  <c:v>0.202673410024995</c:v>
                </c:pt>
                <c:pt idx="3">
                  <c:v>0.202673410024995</c:v>
                </c:pt>
                <c:pt idx="4">
                  <c:v>0.202673410024995</c:v>
                </c:pt>
                <c:pt idx="5">
                  <c:v>0.27780211221277101</c:v>
                </c:pt>
                <c:pt idx="6">
                  <c:v>0.27780211221277101</c:v>
                </c:pt>
                <c:pt idx="7">
                  <c:v>0.27780211221277101</c:v>
                </c:pt>
                <c:pt idx="8">
                  <c:v>0.27780211221277101</c:v>
                </c:pt>
                <c:pt idx="9">
                  <c:v>0.414450007171559</c:v>
                </c:pt>
                <c:pt idx="10">
                  <c:v>0.414450007171559</c:v>
                </c:pt>
                <c:pt idx="11">
                  <c:v>0.414450007171559</c:v>
                </c:pt>
                <c:pt idx="12">
                  <c:v>0.414450007171559</c:v>
                </c:pt>
                <c:pt idx="13">
                  <c:v>0.68479591922988903</c:v>
                </c:pt>
                <c:pt idx="14">
                  <c:v>0.68479591922988903</c:v>
                </c:pt>
                <c:pt idx="15">
                  <c:v>0.68479591922988903</c:v>
                </c:pt>
                <c:pt idx="16">
                  <c:v>0.68479591922988903</c:v>
                </c:pt>
                <c:pt idx="17">
                  <c:v>0.93921324231119796</c:v>
                </c:pt>
                <c:pt idx="18">
                  <c:v>0.93921324231119796</c:v>
                </c:pt>
                <c:pt idx="19">
                  <c:v>0.93921324231119796</c:v>
                </c:pt>
                <c:pt idx="20">
                  <c:v>0.93921324231119796</c:v>
                </c:pt>
                <c:pt idx="21">
                  <c:v>0.89986616219484294</c:v>
                </c:pt>
                <c:pt idx="22">
                  <c:v>0.89986616219484294</c:v>
                </c:pt>
                <c:pt idx="23">
                  <c:v>0.89986616219484294</c:v>
                </c:pt>
                <c:pt idx="24">
                  <c:v>0.89986616219484294</c:v>
                </c:pt>
                <c:pt idx="25">
                  <c:v>1.5070152394555401</c:v>
                </c:pt>
                <c:pt idx="26">
                  <c:v>1.5070152394555401</c:v>
                </c:pt>
                <c:pt idx="27">
                  <c:v>1.5070152394555401</c:v>
                </c:pt>
                <c:pt idx="28">
                  <c:v>1.5070152394555401</c:v>
                </c:pt>
                <c:pt idx="29">
                  <c:v>1.7051088141952599</c:v>
                </c:pt>
                <c:pt idx="30">
                  <c:v>1.7051088141952599</c:v>
                </c:pt>
                <c:pt idx="31">
                  <c:v>1.7051088141952599</c:v>
                </c:pt>
                <c:pt idx="32">
                  <c:v>1.7051088141952599</c:v>
                </c:pt>
                <c:pt idx="33">
                  <c:v>1.5195098121317101</c:v>
                </c:pt>
                <c:pt idx="34">
                  <c:v>1.5195098121317101</c:v>
                </c:pt>
                <c:pt idx="35">
                  <c:v>1.5195098121317101</c:v>
                </c:pt>
                <c:pt idx="36">
                  <c:v>1.5195098121317101</c:v>
                </c:pt>
                <c:pt idx="37">
                  <c:v>1.3551631081525399</c:v>
                </c:pt>
                <c:pt idx="38">
                  <c:v>1.3551631081525399</c:v>
                </c:pt>
                <c:pt idx="39">
                  <c:v>1.3551631081525399</c:v>
                </c:pt>
                <c:pt idx="40">
                  <c:v>1.3551631081525399</c:v>
                </c:pt>
                <c:pt idx="41">
                  <c:v>1.5542344616244601</c:v>
                </c:pt>
                <c:pt idx="42">
                  <c:v>1.5542344616244601</c:v>
                </c:pt>
                <c:pt idx="43">
                  <c:v>1.5542344616244601</c:v>
                </c:pt>
                <c:pt idx="44">
                  <c:v>1.5542344616244601</c:v>
                </c:pt>
                <c:pt idx="45">
                  <c:v>1.3427444231933701</c:v>
                </c:pt>
                <c:pt idx="46">
                  <c:v>1.3427444231933701</c:v>
                </c:pt>
                <c:pt idx="47">
                  <c:v>1.3427444231933701</c:v>
                </c:pt>
                <c:pt idx="48">
                  <c:v>1.3427444231933701</c:v>
                </c:pt>
                <c:pt idx="49">
                  <c:v>1.50317831523168</c:v>
                </c:pt>
                <c:pt idx="50">
                  <c:v>1.50317831523168</c:v>
                </c:pt>
                <c:pt idx="51">
                  <c:v>1.50317831523168</c:v>
                </c:pt>
                <c:pt idx="52">
                  <c:v>1.50317831523168</c:v>
                </c:pt>
                <c:pt idx="53">
                  <c:v>1.69247001167438</c:v>
                </c:pt>
                <c:pt idx="54">
                  <c:v>1.69247001167438</c:v>
                </c:pt>
                <c:pt idx="55">
                  <c:v>1.69247001167438</c:v>
                </c:pt>
                <c:pt idx="56">
                  <c:v>1.69247001167438</c:v>
                </c:pt>
                <c:pt idx="57">
                  <c:v>1.98664938002108</c:v>
                </c:pt>
                <c:pt idx="58">
                  <c:v>1.98664938002108</c:v>
                </c:pt>
                <c:pt idx="59">
                  <c:v>1.98664938002108</c:v>
                </c:pt>
                <c:pt idx="60">
                  <c:v>1.98664938002108</c:v>
                </c:pt>
                <c:pt idx="61">
                  <c:v>2.0672076794532699</c:v>
                </c:pt>
                <c:pt idx="62">
                  <c:v>2.0672076794532699</c:v>
                </c:pt>
                <c:pt idx="63">
                  <c:v>2.0672076794532699</c:v>
                </c:pt>
                <c:pt idx="64">
                  <c:v>2.0672076794532699</c:v>
                </c:pt>
                <c:pt idx="65">
                  <c:v>2.50686104150684</c:v>
                </c:pt>
                <c:pt idx="66">
                  <c:v>2.50686104150684</c:v>
                </c:pt>
                <c:pt idx="67">
                  <c:v>2.50686104150684</c:v>
                </c:pt>
                <c:pt idx="68">
                  <c:v>2.50686104150684</c:v>
                </c:pt>
                <c:pt idx="69">
                  <c:v>2.7779080332823298</c:v>
                </c:pt>
              </c:numCache>
            </c:numRef>
          </c:val>
          <c:smooth val="0"/>
          <c:extLst>
            <c:ext xmlns:c16="http://schemas.microsoft.com/office/drawing/2014/chart" uri="{C3380CC4-5D6E-409C-BE32-E72D297353CC}">
              <c16:uniqueId val="{00000000-2479-44A1-A5AE-C1E71C28E205}"/>
            </c:ext>
          </c:extLst>
        </c:ser>
        <c:ser>
          <c:idx val="2"/>
          <c:order val="2"/>
          <c:tx>
            <c:strRef>
              <c:f>Feuil1!$D$1</c:f>
              <c:strCache>
                <c:ptCount val="1"/>
                <c:pt idx="0">
                  <c:v>TAUX_EFFECTIF_DE_LA_TVA</c:v>
                </c:pt>
              </c:strCache>
            </c:strRef>
          </c:tx>
          <c:spPr>
            <a:ln w="28575" cap="rnd">
              <a:solidFill>
                <a:schemeClr val="accent3"/>
              </a:solidFill>
              <a:round/>
            </a:ln>
            <a:effectLst/>
          </c:spPr>
          <c:marker>
            <c:symbol val="none"/>
          </c:marker>
          <c:cat>
            <c:strRef>
              <c:f>Feuil1!$A$2:$A$71</c:f>
              <c:strCache>
                <c:ptCount val="70"/>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pt idx="67">
                  <c:v>2020Q3</c:v>
                </c:pt>
                <c:pt idx="68">
                  <c:v>2020Q4</c:v>
                </c:pt>
                <c:pt idx="69">
                  <c:v>2021Q1</c:v>
                </c:pt>
              </c:strCache>
            </c:strRef>
          </c:cat>
          <c:val>
            <c:numRef>
              <c:f>Feuil1!$D$2:$D$71</c:f>
              <c:numCache>
                <c:formatCode>General</c:formatCode>
                <c:ptCount val="70"/>
                <c:pt idx="0">
                  <c:v>0.18263500097068899</c:v>
                </c:pt>
                <c:pt idx="1">
                  <c:v>0.26775093884769402</c:v>
                </c:pt>
                <c:pt idx="2">
                  <c:v>0.26775093884769402</c:v>
                </c:pt>
                <c:pt idx="3">
                  <c:v>0.26775093884769402</c:v>
                </c:pt>
                <c:pt idx="4">
                  <c:v>0.26775093884769402</c:v>
                </c:pt>
                <c:pt idx="5">
                  <c:v>0.117327349398021</c:v>
                </c:pt>
                <c:pt idx="6">
                  <c:v>0.117327349398021</c:v>
                </c:pt>
                <c:pt idx="7">
                  <c:v>0.117327349398021</c:v>
                </c:pt>
                <c:pt idx="8">
                  <c:v>0.117327349398021</c:v>
                </c:pt>
                <c:pt idx="9">
                  <c:v>1.97081948911656</c:v>
                </c:pt>
                <c:pt idx="10">
                  <c:v>1.97081948911656</c:v>
                </c:pt>
                <c:pt idx="11">
                  <c:v>1.97081948911656</c:v>
                </c:pt>
                <c:pt idx="12">
                  <c:v>1.97081948911656</c:v>
                </c:pt>
                <c:pt idx="13">
                  <c:v>2.9689368299363599</c:v>
                </c:pt>
                <c:pt idx="14">
                  <c:v>2.9689368299363599</c:v>
                </c:pt>
                <c:pt idx="15">
                  <c:v>2.9689368299363599</c:v>
                </c:pt>
                <c:pt idx="16">
                  <c:v>2.9689368299363599</c:v>
                </c:pt>
                <c:pt idx="17">
                  <c:v>3.26100502868786</c:v>
                </c:pt>
                <c:pt idx="18">
                  <c:v>3.26100502868786</c:v>
                </c:pt>
                <c:pt idx="19">
                  <c:v>3.26100502868786</c:v>
                </c:pt>
                <c:pt idx="20">
                  <c:v>3.26100502868786</c:v>
                </c:pt>
                <c:pt idx="21">
                  <c:v>2.6532631552495398</c:v>
                </c:pt>
                <c:pt idx="22">
                  <c:v>2.6532631552495398</c:v>
                </c:pt>
                <c:pt idx="23">
                  <c:v>2.6532631552495398</c:v>
                </c:pt>
                <c:pt idx="24">
                  <c:v>2.6532631552495398</c:v>
                </c:pt>
                <c:pt idx="25">
                  <c:v>4.5142920473541297</c:v>
                </c:pt>
                <c:pt idx="26">
                  <c:v>4.5142920473541297</c:v>
                </c:pt>
                <c:pt idx="27">
                  <c:v>4.5142920473541297</c:v>
                </c:pt>
                <c:pt idx="28">
                  <c:v>4.5142920473541297</c:v>
                </c:pt>
                <c:pt idx="29">
                  <c:v>4.9303408974530099</c:v>
                </c:pt>
                <c:pt idx="30">
                  <c:v>4.9303408974530099</c:v>
                </c:pt>
                <c:pt idx="31">
                  <c:v>4.9303408974530099</c:v>
                </c:pt>
                <c:pt idx="32">
                  <c:v>4.9303408974530099</c:v>
                </c:pt>
                <c:pt idx="33">
                  <c:v>4.2676149136461001</c:v>
                </c:pt>
                <c:pt idx="34">
                  <c:v>4.2676149136461001</c:v>
                </c:pt>
                <c:pt idx="35">
                  <c:v>4.2676149136461001</c:v>
                </c:pt>
                <c:pt idx="36">
                  <c:v>4.2676149136461001</c:v>
                </c:pt>
                <c:pt idx="37">
                  <c:v>3.22544974697399</c:v>
                </c:pt>
                <c:pt idx="38">
                  <c:v>3.22544974697399</c:v>
                </c:pt>
                <c:pt idx="39">
                  <c:v>3.22544974697399</c:v>
                </c:pt>
                <c:pt idx="40">
                  <c:v>3.22544974697399</c:v>
                </c:pt>
                <c:pt idx="41">
                  <c:v>4.3313078941701804</c:v>
                </c:pt>
                <c:pt idx="42">
                  <c:v>4.3313078941701804</c:v>
                </c:pt>
                <c:pt idx="43">
                  <c:v>4.3313078941701804</c:v>
                </c:pt>
                <c:pt idx="44">
                  <c:v>4.3313078941701804</c:v>
                </c:pt>
                <c:pt idx="45">
                  <c:v>3.87335235249531</c:v>
                </c:pt>
                <c:pt idx="46">
                  <c:v>3.87335235249531</c:v>
                </c:pt>
                <c:pt idx="47">
                  <c:v>3.87335235249531</c:v>
                </c:pt>
                <c:pt idx="48">
                  <c:v>3.87335235249531</c:v>
                </c:pt>
                <c:pt idx="49">
                  <c:v>4.42659941926083</c:v>
                </c:pt>
                <c:pt idx="50">
                  <c:v>4.42659941926083</c:v>
                </c:pt>
                <c:pt idx="51">
                  <c:v>4.42659941926083</c:v>
                </c:pt>
                <c:pt idx="52">
                  <c:v>4.42659941926083</c:v>
                </c:pt>
                <c:pt idx="53">
                  <c:v>4.9583944318850399</c:v>
                </c:pt>
                <c:pt idx="54">
                  <c:v>4.9583944318850399</c:v>
                </c:pt>
                <c:pt idx="55">
                  <c:v>4.9583944318850399</c:v>
                </c:pt>
                <c:pt idx="56">
                  <c:v>4.9583944318850399</c:v>
                </c:pt>
                <c:pt idx="57">
                  <c:v>4.7307749006176296</c:v>
                </c:pt>
                <c:pt idx="58">
                  <c:v>4.7307749006176296</c:v>
                </c:pt>
                <c:pt idx="59">
                  <c:v>4.7307749006176296</c:v>
                </c:pt>
                <c:pt idx="60">
                  <c:v>4.7307749006176296</c:v>
                </c:pt>
                <c:pt idx="61">
                  <c:v>4.7044493389517799</c:v>
                </c:pt>
                <c:pt idx="62">
                  <c:v>4.7044493389517799</c:v>
                </c:pt>
                <c:pt idx="63">
                  <c:v>4.7044493389517799</c:v>
                </c:pt>
                <c:pt idx="64">
                  <c:v>4.7044493389517799</c:v>
                </c:pt>
                <c:pt idx="65">
                  <c:v>5.0319464520597199</c:v>
                </c:pt>
                <c:pt idx="66">
                  <c:v>5.0319464520597199</c:v>
                </c:pt>
                <c:pt idx="67">
                  <c:v>5.0319464520597199</c:v>
                </c:pt>
                <c:pt idx="68">
                  <c:v>5.0319464520597199</c:v>
                </c:pt>
                <c:pt idx="69">
                  <c:v>5.4195668436471403</c:v>
                </c:pt>
              </c:numCache>
            </c:numRef>
          </c:val>
          <c:smooth val="0"/>
          <c:extLst>
            <c:ext xmlns:c16="http://schemas.microsoft.com/office/drawing/2014/chart" uri="{C3380CC4-5D6E-409C-BE32-E72D297353CC}">
              <c16:uniqueId val="{00000001-2479-44A1-A5AE-C1E71C28E205}"/>
            </c:ext>
          </c:extLst>
        </c:ser>
        <c:dLbls>
          <c:showLegendKey val="0"/>
          <c:showVal val="0"/>
          <c:showCatName val="0"/>
          <c:showSerName val="0"/>
          <c:showPercent val="0"/>
          <c:showBubbleSize val="0"/>
        </c:dLbls>
        <c:marker val="1"/>
        <c:smooth val="0"/>
        <c:axId val="899554832"/>
        <c:axId val="899553872"/>
      </c:lineChart>
      <c:lineChart>
        <c:grouping val="standard"/>
        <c:varyColors val="0"/>
        <c:ser>
          <c:idx val="0"/>
          <c:order val="0"/>
          <c:tx>
            <c:strRef>
              <c:f>Feuil1!$B$1</c:f>
              <c:strCache>
                <c:ptCount val="1"/>
                <c:pt idx="0">
                  <c:v>LOGCONSOMMATION_FINALE</c:v>
                </c:pt>
              </c:strCache>
            </c:strRef>
          </c:tx>
          <c:spPr>
            <a:ln w="28575" cap="rnd">
              <a:solidFill>
                <a:schemeClr val="accent1"/>
              </a:solidFill>
              <a:round/>
            </a:ln>
            <a:effectLst/>
          </c:spPr>
          <c:marker>
            <c:symbol val="none"/>
          </c:marker>
          <c:cat>
            <c:strRef>
              <c:f>Feuil1!$A$2:$A$71</c:f>
              <c:strCache>
                <c:ptCount val="70"/>
                <c:pt idx="0">
                  <c:v>2003Q4</c:v>
                </c:pt>
                <c:pt idx="1">
                  <c:v>2004Q1</c:v>
                </c:pt>
                <c:pt idx="2">
                  <c:v>2004Q2</c:v>
                </c:pt>
                <c:pt idx="3">
                  <c:v>2004Q3</c:v>
                </c:pt>
                <c:pt idx="4">
                  <c:v>2004Q4</c:v>
                </c:pt>
                <c:pt idx="5">
                  <c:v>2005Q1</c:v>
                </c:pt>
                <c:pt idx="6">
                  <c:v>2005Q2</c:v>
                </c:pt>
                <c:pt idx="7">
                  <c:v>2005Q3</c:v>
                </c:pt>
                <c:pt idx="8">
                  <c:v>2005Q4</c:v>
                </c:pt>
                <c:pt idx="9">
                  <c:v>2006Q1</c:v>
                </c:pt>
                <c:pt idx="10">
                  <c:v>2006Q2</c:v>
                </c:pt>
                <c:pt idx="11">
                  <c:v>2006Q3</c:v>
                </c:pt>
                <c:pt idx="12">
                  <c:v>2006Q4</c:v>
                </c:pt>
                <c:pt idx="13">
                  <c:v>2007Q1</c:v>
                </c:pt>
                <c:pt idx="14">
                  <c:v>2007Q2</c:v>
                </c:pt>
                <c:pt idx="15">
                  <c:v>2007Q3</c:v>
                </c:pt>
                <c:pt idx="16">
                  <c:v>2007Q4</c:v>
                </c:pt>
                <c:pt idx="17">
                  <c:v>2008Q1</c:v>
                </c:pt>
                <c:pt idx="18">
                  <c:v>2008Q2</c:v>
                </c:pt>
                <c:pt idx="19">
                  <c:v>2008Q3</c:v>
                </c:pt>
                <c:pt idx="20">
                  <c:v>2008Q4</c:v>
                </c:pt>
                <c:pt idx="21">
                  <c:v>2009Q1</c:v>
                </c:pt>
                <c:pt idx="22">
                  <c:v>2009Q2</c:v>
                </c:pt>
                <c:pt idx="23">
                  <c:v>2009Q3</c:v>
                </c:pt>
                <c:pt idx="24">
                  <c:v>2009Q4</c:v>
                </c:pt>
                <c:pt idx="25">
                  <c:v>2010Q1</c:v>
                </c:pt>
                <c:pt idx="26">
                  <c:v>2010Q2</c:v>
                </c:pt>
                <c:pt idx="27">
                  <c:v>2010Q3</c:v>
                </c:pt>
                <c:pt idx="28">
                  <c:v>2010Q4</c:v>
                </c:pt>
                <c:pt idx="29">
                  <c:v>2011Q1</c:v>
                </c:pt>
                <c:pt idx="30">
                  <c:v>2011Q2</c:v>
                </c:pt>
                <c:pt idx="31">
                  <c:v>2011Q3</c:v>
                </c:pt>
                <c:pt idx="32">
                  <c:v>2011Q4</c:v>
                </c:pt>
                <c:pt idx="33">
                  <c:v>2012Q1</c:v>
                </c:pt>
                <c:pt idx="34">
                  <c:v>2012Q2</c:v>
                </c:pt>
                <c:pt idx="35">
                  <c:v>2012Q3</c:v>
                </c:pt>
                <c:pt idx="36">
                  <c:v>2012Q4</c:v>
                </c:pt>
                <c:pt idx="37">
                  <c:v>2013Q1</c:v>
                </c:pt>
                <c:pt idx="38">
                  <c:v>2013Q2</c:v>
                </c:pt>
                <c:pt idx="39">
                  <c:v>2013Q3</c:v>
                </c:pt>
                <c:pt idx="40">
                  <c:v>2013Q4</c:v>
                </c:pt>
                <c:pt idx="41">
                  <c:v>2014Q1</c:v>
                </c:pt>
                <c:pt idx="42">
                  <c:v>2014Q2</c:v>
                </c:pt>
                <c:pt idx="43">
                  <c:v>2014Q3</c:v>
                </c:pt>
                <c:pt idx="44">
                  <c:v>2014Q4</c:v>
                </c:pt>
                <c:pt idx="45">
                  <c:v>2015Q1</c:v>
                </c:pt>
                <c:pt idx="46">
                  <c:v>2015Q2</c:v>
                </c:pt>
                <c:pt idx="47">
                  <c:v>2015Q3</c:v>
                </c:pt>
                <c:pt idx="48">
                  <c:v>2015Q4</c:v>
                </c:pt>
                <c:pt idx="49">
                  <c:v>2016Q1</c:v>
                </c:pt>
                <c:pt idx="50">
                  <c:v>2016Q2</c:v>
                </c:pt>
                <c:pt idx="51">
                  <c:v>2016Q3</c:v>
                </c:pt>
                <c:pt idx="52">
                  <c:v>2016Q4</c:v>
                </c:pt>
                <c:pt idx="53">
                  <c:v>2017Q1</c:v>
                </c:pt>
                <c:pt idx="54">
                  <c:v>2017Q2</c:v>
                </c:pt>
                <c:pt idx="55">
                  <c:v>2017Q3</c:v>
                </c:pt>
                <c:pt idx="56">
                  <c:v>2017Q4</c:v>
                </c:pt>
                <c:pt idx="57">
                  <c:v>2018Q1</c:v>
                </c:pt>
                <c:pt idx="58">
                  <c:v>2018Q2</c:v>
                </c:pt>
                <c:pt idx="59">
                  <c:v>2018Q3</c:v>
                </c:pt>
                <c:pt idx="60">
                  <c:v>2018Q4</c:v>
                </c:pt>
                <c:pt idx="61">
                  <c:v>2019Q1</c:v>
                </c:pt>
                <c:pt idx="62">
                  <c:v>2019Q2</c:v>
                </c:pt>
                <c:pt idx="63">
                  <c:v>2019Q3</c:v>
                </c:pt>
                <c:pt idx="64">
                  <c:v>2019Q4</c:v>
                </c:pt>
                <c:pt idx="65">
                  <c:v>2020Q1</c:v>
                </c:pt>
                <c:pt idx="66">
                  <c:v>2020Q2</c:v>
                </c:pt>
                <c:pt idx="67">
                  <c:v>2020Q3</c:v>
                </c:pt>
                <c:pt idx="68">
                  <c:v>2020Q4</c:v>
                </c:pt>
                <c:pt idx="69">
                  <c:v>2021Q1</c:v>
                </c:pt>
              </c:strCache>
            </c:strRef>
          </c:cat>
          <c:val>
            <c:numRef>
              <c:f>Feuil1!$B$2:$B$71</c:f>
              <c:numCache>
                <c:formatCode>General</c:formatCode>
                <c:ptCount val="70"/>
                <c:pt idx="0">
                  <c:v>5.9113871376200704</c:v>
                </c:pt>
                <c:pt idx="1">
                  <c:v>5.9195895475742502</c:v>
                </c:pt>
                <c:pt idx="2">
                  <c:v>5.9277252249958599</c:v>
                </c:pt>
                <c:pt idx="3">
                  <c:v>5.9357952469627397</c:v>
                </c:pt>
                <c:pt idx="4">
                  <c:v>5.9438006646849404</c:v>
                </c:pt>
                <c:pt idx="5">
                  <c:v>5.9492739063920599</c:v>
                </c:pt>
                <c:pt idx="6">
                  <c:v>5.9547173547168102</c:v>
                </c:pt>
                <c:pt idx="7">
                  <c:v>5.9601313322621801</c:v>
                </c:pt>
                <c:pt idx="8">
                  <c:v>5.9655161564196497</c:v>
                </c:pt>
                <c:pt idx="9">
                  <c:v>5.9681721817304902</c:v>
                </c:pt>
                <c:pt idx="10">
                  <c:v>5.9708211712539896</c:v>
                </c:pt>
                <c:pt idx="11">
                  <c:v>5.9734631621671497</c:v>
                </c:pt>
                <c:pt idx="12">
                  <c:v>5.9760981913531097</c:v>
                </c:pt>
                <c:pt idx="13">
                  <c:v>5.9726363262685496</c:v>
                </c:pt>
                <c:pt idx="14">
                  <c:v>5.9691624350291397</c:v>
                </c:pt>
                <c:pt idx="15">
                  <c:v>5.9656764337883397</c:v>
                </c:pt>
                <c:pt idx="16">
                  <c:v>5.9621782378196597</c:v>
                </c:pt>
                <c:pt idx="17">
                  <c:v>5.97246277104116</c:v>
                </c:pt>
                <c:pt idx="18">
                  <c:v>5.9826426084729798</c:v>
                </c:pt>
                <c:pt idx="19">
                  <c:v>5.9927198602430396</c:v>
                </c:pt>
                <c:pt idx="20">
                  <c:v>6.0026965733212601</c:v>
                </c:pt>
                <c:pt idx="21">
                  <c:v>5.99797849425737</c:v>
                </c:pt>
                <c:pt idx="22">
                  <c:v>5.9932380493579602</c:v>
                </c:pt>
                <c:pt idx="23">
                  <c:v>5.9884750255642203</c:v>
                </c:pt>
                <c:pt idx="24">
                  <c:v>5.9836892067583296</c:v>
                </c:pt>
                <c:pt idx="25">
                  <c:v>5.9896118753199099</c:v>
                </c:pt>
                <c:pt idx="26">
                  <c:v>5.9954996723100198</c:v>
                </c:pt>
                <c:pt idx="27">
                  <c:v>6.0013530059609099</c:v>
                </c:pt>
                <c:pt idx="28">
                  <c:v>6.0071722773778999</c:v>
                </c:pt>
                <c:pt idx="29">
                  <c:v>6.0135622826593904</c:v>
                </c:pt>
                <c:pt idx="30">
                  <c:v>6.0199117148981598</c:v>
                </c:pt>
                <c:pt idx="31">
                  <c:v>6.0262210860784204</c:v>
                </c:pt>
                <c:pt idx="32">
                  <c:v>6.0324908985541201</c:v>
                </c:pt>
                <c:pt idx="33">
                  <c:v>6.0478765689474496</c:v>
                </c:pt>
                <c:pt idx="34">
                  <c:v>6.0630291029182297</c:v>
                </c:pt>
                <c:pt idx="35">
                  <c:v>6.0779554604860602</c:v>
                </c:pt>
                <c:pt idx="36">
                  <c:v>6.0926622945738398</c:v>
                </c:pt>
                <c:pt idx="37">
                  <c:v>6.1005919381259002</c:v>
                </c:pt>
                <c:pt idx="38">
                  <c:v>6.1084591967966499</c:v>
                </c:pt>
                <c:pt idx="39">
                  <c:v>6.1162650445298699</c:v>
                </c:pt>
                <c:pt idx="40">
                  <c:v>6.1240104326382596</c:v>
                </c:pt>
                <c:pt idx="41">
                  <c:v>6.1198791299290001</c:v>
                </c:pt>
                <c:pt idx="42">
                  <c:v>6.11573068872889</c:v>
                </c:pt>
                <c:pt idx="43">
                  <c:v>6.11156496624913</c:v>
                </c:pt>
                <c:pt idx="44">
                  <c:v>6.1073818179089896</c:v>
                </c:pt>
                <c:pt idx="45">
                  <c:v>6.10902546489576</c:v>
                </c:pt>
                <c:pt idx="46">
                  <c:v>6.1106664147396499</c:v>
                </c:pt>
                <c:pt idx="47">
                  <c:v>6.1123046762779296</c:v>
                </c:pt>
                <c:pt idx="48">
                  <c:v>6.1139402583044804</c:v>
                </c:pt>
                <c:pt idx="49">
                  <c:v>6.1170306017018996</c:v>
                </c:pt>
                <c:pt idx="50">
                  <c:v>6.12011142429201</c:v>
                </c:pt>
                <c:pt idx="51">
                  <c:v>6.12318278455857</c:v>
                </c:pt>
                <c:pt idx="52">
                  <c:v>6.1262447404481</c:v>
                </c:pt>
                <c:pt idx="53">
                  <c:v>6.1277241501328996</c:v>
                </c:pt>
                <c:pt idx="54">
                  <c:v>6.1292013743974101</c:v>
                </c:pt>
                <c:pt idx="55">
                  <c:v>6.1306764196888404</c:v>
                </c:pt>
                <c:pt idx="56">
                  <c:v>6.13214929242588</c:v>
                </c:pt>
                <c:pt idx="57">
                  <c:v>6.1311491837922603</c:v>
                </c:pt>
                <c:pt idx="58">
                  <c:v>6.1301480739399601</c:v>
                </c:pt>
                <c:pt idx="59">
                  <c:v>6.1291459608623002</c:v>
                </c:pt>
                <c:pt idx="60">
                  <c:v>6.1281428425465698</c:v>
                </c:pt>
                <c:pt idx="61">
                  <c:v>6.1283265884822198</c:v>
                </c:pt>
                <c:pt idx="62">
                  <c:v>6.1285103006615103</c:v>
                </c:pt>
                <c:pt idx="63">
                  <c:v>6.1286939790968198</c:v>
                </c:pt>
                <c:pt idx="64">
                  <c:v>6.1288776238005704</c:v>
                </c:pt>
                <c:pt idx="65">
                  <c:v>6.1281035131500499</c:v>
                </c:pt>
                <c:pt idx="66">
                  <c:v>6.1273288027879502</c:v>
                </c:pt>
                <c:pt idx="67">
                  <c:v>6.1265534917843603</c:v>
                </c:pt>
                <c:pt idx="68">
                  <c:v>6.1257775792071802</c:v>
                </c:pt>
                <c:pt idx="69">
                  <c:v>6.1271565005473096</c:v>
                </c:pt>
              </c:numCache>
            </c:numRef>
          </c:val>
          <c:smooth val="0"/>
          <c:extLst>
            <c:ext xmlns:c16="http://schemas.microsoft.com/office/drawing/2014/chart" uri="{C3380CC4-5D6E-409C-BE32-E72D297353CC}">
              <c16:uniqueId val="{00000002-2479-44A1-A5AE-C1E71C28E205}"/>
            </c:ext>
          </c:extLst>
        </c:ser>
        <c:dLbls>
          <c:showLegendKey val="0"/>
          <c:showVal val="0"/>
          <c:showCatName val="0"/>
          <c:showSerName val="0"/>
          <c:showPercent val="0"/>
          <c:showBubbleSize val="0"/>
        </c:dLbls>
        <c:marker val="1"/>
        <c:smooth val="0"/>
        <c:axId val="899539472"/>
        <c:axId val="899521232"/>
      </c:lineChart>
      <c:catAx>
        <c:axId val="89955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899553872"/>
        <c:crosses val="autoZero"/>
        <c:auto val="1"/>
        <c:lblAlgn val="ctr"/>
        <c:lblOffset val="100"/>
        <c:noMultiLvlLbl val="0"/>
      </c:catAx>
      <c:valAx>
        <c:axId val="89955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899554832"/>
        <c:crosses val="autoZero"/>
        <c:crossBetween val="between"/>
      </c:valAx>
      <c:valAx>
        <c:axId val="89952123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899539472"/>
        <c:crosses val="max"/>
        <c:crossBetween val="between"/>
      </c:valAx>
      <c:catAx>
        <c:axId val="899539472"/>
        <c:scaling>
          <c:orientation val="minMax"/>
        </c:scaling>
        <c:delete val="1"/>
        <c:axPos val="b"/>
        <c:numFmt formatCode="General" sourceLinked="1"/>
        <c:majorTickMark val="none"/>
        <c:minorTickMark val="none"/>
        <c:tickLblPos val="nextTo"/>
        <c:crossAx val="8995212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Feuil3!$C$1</c:f>
              <c:strCache>
                <c:ptCount val="1"/>
                <c:pt idx="0">
                  <c:v>Produits alimentaires et boissons non alcoolisées</c:v>
                </c:pt>
              </c:strCache>
            </c:strRef>
          </c:tx>
          <c:spPr>
            <a:solidFill>
              <a:schemeClr val="accent1"/>
            </a:solidFill>
            <a:ln>
              <a:noFill/>
            </a:ln>
            <a:effectLst/>
          </c:spPr>
          <c:invertIfNegative val="0"/>
          <c:cat>
            <c:numRef>
              <c:f>Feuil3!$B$2:$B$8</c:f>
              <c:numCache>
                <c:formatCode>General</c:formatCode>
                <c:ptCount val="7"/>
                <c:pt idx="0">
                  <c:v>2015</c:v>
                </c:pt>
                <c:pt idx="1">
                  <c:v>2016</c:v>
                </c:pt>
                <c:pt idx="2">
                  <c:v>2017</c:v>
                </c:pt>
                <c:pt idx="3">
                  <c:v>2018</c:v>
                </c:pt>
                <c:pt idx="4">
                  <c:v>2019</c:v>
                </c:pt>
                <c:pt idx="5">
                  <c:v>2020</c:v>
                </c:pt>
                <c:pt idx="6">
                  <c:v>2021</c:v>
                </c:pt>
              </c:numCache>
            </c:numRef>
          </c:cat>
          <c:val>
            <c:numRef>
              <c:f>Feuil3!$C$2:$C$8</c:f>
              <c:numCache>
                <c:formatCode>#,##0</c:formatCode>
                <c:ptCount val="7"/>
                <c:pt idx="0">
                  <c:v>2222945</c:v>
                </c:pt>
                <c:pt idx="1">
                  <c:v>2311667</c:v>
                </c:pt>
                <c:pt idx="2">
                  <c:v>2447632</c:v>
                </c:pt>
                <c:pt idx="3">
                  <c:v>2561803</c:v>
                </c:pt>
                <c:pt idx="4">
                  <c:v>2542126</c:v>
                </c:pt>
                <c:pt idx="5">
                  <c:v>2796108</c:v>
                </c:pt>
                <c:pt idx="6">
                  <c:v>3096659.8937737411</c:v>
                </c:pt>
              </c:numCache>
            </c:numRef>
          </c:val>
          <c:extLst>
            <c:ext xmlns:c16="http://schemas.microsoft.com/office/drawing/2014/chart" uri="{C3380CC4-5D6E-409C-BE32-E72D297353CC}">
              <c16:uniqueId val="{00000000-F7CE-434A-A5A7-B4DA1F279682}"/>
            </c:ext>
          </c:extLst>
        </c:ser>
        <c:ser>
          <c:idx val="1"/>
          <c:order val="1"/>
          <c:tx>
            <c:strRef>
              <c:f>Feuil3!$D$1</c:f>
              <c:strCache>
                <c:ptCount val="1"/>
                <c:pt idx="0">
                  <c:v>Boissons alcoolisées, tabacs et stupéfiants</c:v>
                </c:pt>
              </c:strCache>
            </c:strRef>
          </c:tx>
          <c:spPr>
            <a:solidFill>
              <a:schemeClr val="accent2"/>
            </a:solidFill>
            <a:ln>
              <a:noFill/>
            </a:ln>
            <a:effectLst/>
          </c:spPr>
          <c:invertIfNegative val="0"/>
          <c:cat>
            <c:numRef>
              <c:f>Feuil3!$B$2:$B$8</c:f>
              <c:numCache>
                <c:formatCode>General</c:formatCode>
                <c:ptCount val="7"/>
                <c:pt idx="0">
                  <c:v>2015</c:v>
                </c:pt>
                <c:pt idx="1">
                  <c:v>2016</c:v>
                </c:pt>
                <c:pt idx="2">
                  <c:v>2017</c:v>
                </c:pt>
                <c:pt idx="3">
                  <c:v>2018</c:v>
                </c:pt>
                <c:pt idx="4">
                  <c:v>2019</c:v>
                </c:pt>
                <c:pt idx="5">
                  <c:v>2020</c:v>
                </c:pt>
                <c:pt idx="6">
                  <c:v>2021</c:v>
                </c:pt>
              </c:numCache>
            </c:numRef>
          </c:cat>
          <c:val>
            <c:numRef>
              <c:f>Feuil3!$D$2:$D$8</c:f>
              <c:numCache>
                <c:formatCode>#,##0</c:formatCode>
                <c:ptCount val="7"/>
                <c:pt idx="0">
                  <c:v>136661</c:v>
                </c:pt>
                <c:pt idx="1">
                  <c:v>143481</c:v>
                </c:pt>
                <c:pt idx="2">
                  <c:v>142899</c:v>
                </c:pt>
                <c:pt idx="3">
                  <c:v>143633</c:v>
                </c:pt>
                <c:pt idx="4">
                  <c:v>144488</c:v>
                </c:pt>
                <c:pt idx="5">
                  <c:v>159134</c:v>
                </c:pt>
                <c:pt idx="6">
                  <c:v>173643.91227214999</c:v>
                </c:pt>
              </c:numCache>
            </c:numRef>
          </c:val>
          <c:extLst>
            <c:ext xmlns:c16="http://schemas.microsoft.com/office/drawing/2014/chart" uri="{C3380CC4-5D6E-409C-BE32-E72D297353CC}">
              <c16:uniqueId val="{00000001-F7CE-434A-A5A7-B4DA1F279682}"/>
            </c:ext>
          </c:extLst>
        </c:ser>
        <c:ser>
          <c:idx val="2"/>
          <c:order val="2"/>
          <c:tx>
            <c:strRef>
              <c:f>Feuil3!$E$1</c:f>
              <c:strCache>
                <c:ptCount val="1"/>
                <c:pt idx="0">
                  <c:v>Logement, eau, électricité, gaz et autres combustibles</c:v>
                </c:pt>
              </c:strCache>
            </c:strRef>
          </c:tx>
          <c:spPr>
            <a:solidFill>
              <a:schemeClr val="accent3"/>
            </a:solidFill>
            <a:ln>
              <a:noFill/>
            </a:ln>
            <a:effectLst/>
          </c:spPr>
          <c:invertIfNegative val="0"/>
          <c:cat>
            <c:numRef>
              <c:f>Feuil3!$B$2:$B$8</c:f>
              <c:numCache>
                <c:formatCode>General</c:formatCode>
                <c:ptCount val="7"/>
                <c:pt idx="0">
                  <c:v>2015</c:v>
                </c:pt>
                <c:pt idx="1">
                  <c:v>2016</c:v>
                </c:pt>
                <c:pt idx="2">
                  <c:v>2017</c:v>
                </c:pt>
                <c:pt idx="3">
                  <c:v>2018</c:v>
                </c:pt>
                <c:pt idx="4">
                  <c:v>2019</c:v>
                </c:pt>
                <c:pt idx="5">
                  <c:v>2020</c:v>
                </c:pt>
                <c:pt idx="6">
                  <c:v>2021</c:v>
                </c:pt>
              </c:numCache>
            </c:numRef>
          </c:cat>
          <c:val>
            <c:numRef>
              <c:f>Feuil3!$E$2:$E$8</c:f>
              <c:numCache>
                <c:formatCode>#,##0</c:formatCode>
                <c:ptCount val="7"/>
                <c:pt idx="0">
                  <c:v>762110</c:v>
                </c:pt>
                <c:pt idx="1">
                  <c:v>772391</c:v>
                </c:pt>
                <c:pt idx="2">
                  <c:v>797837</c:v>
                </c:pt>
                <c:pt idx="3">
                  <c:v>831219</c:v>
                </c:pt>
                <c:pt idx="4">
                  <c:v>906108</c:v>
                </c:pt>
                <c:pt idx="5">
                  <c:v>921216</c:v>
                </c:pt>
                <c:pt idx="6">
                  <c:v>927353.62815130758</c:v>
                </c:pt>
              </c:numCache>
            </c:numRef>
          </c:val>
          <c:extLst>
            <c:ext xmlns:c16="http://schemas.microsoft.com/office/drawing/2014/chart" uri="{C3380CC4-5D6E-409C-BE32-E72D297353CC}">
              <c16:uniqueId val="{00000002-F7CE-434A-A5A7-B4DA1F279682}"/>
            </c:ext>
          </c:extLst>
        </c:ser>
        <c:ser>
          <c:idx val="3"/>
          <c:order val="3"/>
          <c:tx>
            <c:strRef>
              <c:f>Feuil3!$F$1</c:f>
              <c:strCache>
                <c:ptCount val="1"/>
                <c:pt idx="0">
                  <c:v>Service d'éduction et santé</c:v>
                </c:pt>
              </c:strCache>
            </c:strRef>
          </c:tx>
          <c:spPr>
            <a:solidFill>
              <a:schemeClr val="accent4"/>
            </a:solidFill>
            <a:ln>
              <a:noFill/>
            </a:ln>
            <a:effectLst/>
          </c:spPr>
          <c:invertIfNegative val="0"/>
          <c:cat>
            <c:numRef>
              <c:f>Feuil3!$B$2:$B$8</c:f>
              <c:numCache>
                <c:formatCode>General</c:formatCode>
                <c:ptCount val="7"/>
                <c:pt idx="0">
                  <c:v>2015</c:v>
                </c:pt>
                <c:pt idx="1">
                  <c:v>2016</c:v>
                </c:pt>
                <c:pt idx="2">
                  <c:v>2017</c:v>
                </c:pt>
                <c:pt idx="3">
                  <c:v>2018</c:v>
                </c:pt>
                <c:pt idx="4">
                  <c:v>2019</c:v>
                </c:pt>
                <c:pt idx="5">
                  <c:v>2020</c:v>
                </c:pt>
                <c:pt idx="6">
                  <c:v>2021</c:v>
                </c:pt>
              </c:numCache>
            </c:numRef>
          </c:cat>
          <c:val>
            <c:numRef>
              <c:f>Feuil3!$F$2:$F$8</c:f>
              <c:numCache>
                <c:formatCode>General</c:formatCode>
                <c:ptCount val="7"/>
                <c:pt idx="0">
                  <c:v>196422</c:v>
                </c:pt>
                <c:pt idx="1">
                  <c:v>229809</c:v>
                </c:pt>
                <c:pt idx="2">
                  <c:v>208648</c:v>
                </c:pt>
                <c:pt idx="3">
                  <c:v>212477</c:v>
                </c:pt>
                <c:pt idx="4">
                  <c:v>231335</c:v>
                </c:pt>
                <c:pt idx="5">
                  <c:v>281640</c:v>
                </c:pt>
                <c:pt idx="6">
                  <c:v>296212</c:v>
                </c:pt>
              </c:numCache>
            </c:numRef>
          </c:val>
          <c:extLst>
            <c:ext xmlns:c16="http://schemas.microsoft.com/office/drawing/2014/chart" uri="{C3380CC4-5D6E-409C-BE32-E72D297353CC}">
              <c16:uniqueId val="{00000003-F7CE-434A-A5A7-B4DA1F279682}"/>
            </c:ext>
          </c:extLst>
        </c:ser>
        <c:ser>
          <c:idx val="5"/>
          <c:order val="5"/>
          <c:tx>
            <c:strRef>
              <c:f>Feuil3!$H$1</c:f>
              <c:strCache>
                <c:ptCount val="1"/>
                <c:pt idx="0">
                  <c:v>Transport , information et communication</c:v>
                </c:pt>
              </c:strCache>
            </c:strRef>
          </c:tx>
          <c:spPr>
            <a:solidFill>
              <a:schemeClr val="accent6"/>
            </a:solidFill>
            <a:ln>
              <a:noFill/>
            </a:ln>
            <a:effectLst/>
          </c:spPr>
          <c:invertIfNegative val="0"/>
          <c:cat>
            <c:numRef>
              <c:f>Feuil3!$B$2:$B$8</c:f>
              <c:numCache>
                <c:formatCode>General</c:formatCode>
                <c:ptCount val="7"/>
                <c:pt idx="0">
                  <c:v>2015</c:v>
                </c:pt>
                <c:pt idx="1">
                  <c:v>2016</c:v>
                </c:pt>
                <c:pt idx="2">
                  <c:v>2017</c:v>
                </c:pt>
                <c:pt idx="3">
                  <c:v>2018</c:v>
                </c:pt>
                <c:pt idx="4">
                  <c:v>2019</c:v>
                </c:pt>
                <c:pt idx="5">
                  <c:v>2020</c:v>
                </c:pt>
                <c:pt idx="6">
                  <c:v>2021</c:v>
                </c:pt>
              </c:numCache>
            </c:numRef>
          </c:cat>
          <c:val>
            <c:numRef>
              <c:f>Feuil3!$H$2:$H$8</c:f>
              <c:numCache>
                <c:formatCode>General</c:formatCode>
                <c:ptCount val="7"/>
                <c:pt idx="0">
                  <c:v>367773</c:v>
                </c:pt>
                <c:pt idx="1">
                  <c:v>425626</c:v>
                </c:pt>
                <c:pt idx="2">
                  <c:v>378778</c:v>
                </c:pt>
                <c:pt idx="3">
                  <c:v>376455</c:v>
                </c:pt>
                <c:pt idx="4">
                  <c:v>410195</c:v>
                </c:pt>
                <c:pt idx="5">
                  <c:v>515837</c:v>
                </c:pt>
                <c:pt idx="6">
                  <c:v>541577</c:v>
                </c:pt>
              </c:numCache>
            </c:numRef>
          </c:val>
          <c:extLst>
            <c:ext xmlns:c16="http://schemas.microsoft.com/office/drawing/2014/chart" uri="{C3380CC4-5D6E-409C-BE32-E72D297353CC}">
              <c16:uniqueId val="{00000004-F7CE-434A-A5A7-B4DA1F279682}"/>
            </c:ext>
          </c:extLst>
        </c:ser>
        <c:dLbls>
          <c:showLegendKey val="0"/>
          <c:showVal val="0"/>
          <c:showCatName val="0"/>
          <c:showSerName val="0"/>
          <c:showPercent val="0"/>
          <c:showBubbleSize val="0"/>
        </c:dLbls>
        <c:gapWidth val="219"/>
        <c:overlap val="-27"/>
        <c:axId val="74020576"/>
        <c:axId val="74020992"/>
        <c:extLst>
          <c:ext xmlns:c15="http://schemas.microsoft.com/office/drawing/2012/chart" uri="{02D57815-91ED-43cb-92C2-25804820EDAC}">
            <c15:filteredBarSeries>
              <c15:ser>
                <c:idx val="4"/>
                <c:order val="4"/>
                <c:tx>
                  <c:strRef>
                    <c:extLst>
                      <c:ext uri="{02D57815-91ED-43cb-92C2-25804820EDAC}">
                        <c15:formulaRef>
                          <c15:sqref>Feuil3!$G$1</c15:sqref>
                        </c15:formulaRef>
                      </c:ext>
                    </c:extLst>
                    <c:strCache>
                      <c:ptCount val="1"/>
                    </c:strCache>
                  </c:strRef>
                </c:tx>
                <c:spPr>
                  <a:solidFill>
                    <a:schemeClr val="accent5"/>
                  </a:solidFill>
                  <a:ln>
                    <a:noFill/>
                  </a:ln>
                  <a:effectLst/>
                </c:spPr>
                <c:invertIfNegative val="0"/>
                <c:cat>
                  <c:numRef>
                    <c:extLst>
                      <c:ext uri="{02D57815-91ED-43cb-92C2-25804820EDAC}">
                        <c15:formulaRef>
                          <c15:sqref>Feuil3!$B$2:$B$8</c15:sqref>
                        </c15:formulaRef>
                      </c:ext>
                    </c:extLst>
                    <c:numCache>
                      <c:formatCode>General</c:formatCode>
                      <c:ptCount val="7"/>
                      <c:pt idx="0">
                        <c:v>2015</c:v>
                      </c:pt>
                      <c:pt idx="1">
                        <c:v>2016</c:v>
                      </c:pt>
                      <c:pt idx="2">
                        <c:v>2017</c:v>
                      </c:pt>
                      <c:pt idx="3">
                        <c:v>2018</c:v>
                      </c:pt>
                      <c:pt idx="4">
                        <c:v>2019</c:v>
                      </c:pt>
                      <c:pt idx="5">
                        <c:v>2020</c:v>
                      </c:pt>
                      <c:pt idx="6">
                        <c:v>2021</c:v>
                      </c:pt>
                    </c:numCache>
                  </c:numRef>
                </c:cat>
                <c:val>
                  <c:numRef>
                    <c:extLst>
                      <c:ext uri="{02D57815-91ED-43cb-92C2-25804820EDAC}">
                        <c15:formulaRef>
                          <c15:sqref>Feuil3!$G$2:$G$8</c15:sqref>
                        </c15:formulaRef>
                      </c:ext>
                    </c:extLst>
                    <c:numCache>
                      <c:formatCode>General</c:formatCode>
                      <c:ptCount val="7"/>
                    </c:numCache>
                  </c:numRef>
                </c:val>
                <c:extLst>
                  <c:ext xmlns:c16="http://schemas.microsoft.com/office/drawing/2014/chart" uri="{C3380CC4-5D6E-409C-BE32-E72D297353CC}">
                    <c16:uniqueId val="{00000005-F7CE-434A-A5A7-B4DA1F279682}"/>
                  </c:ext>
                </c:extLst>
              </c15:ser>
            </c15:filteredBarSeries>
          </c:ext>
        </c:extLst>
      </c:barChart>
      <c:catAx>
        <c:axId val="740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4020992"/>
        <c:crosses val="autoZero"/>
        <c:auto val="1"/>
        <c:lblAlgn val="ctr"/>
        <c:lblOffset val="100"/>
        <c:noMultiLvlLbl val="0"/>
      </c:catAx>
      <c:valAx>
        <c:axId val="74020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40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trWAgrdzcK9QpAnkqtstpRYCA==">CgMxLjAyCGguZ2pkZ3hzOAByITF5SFI1WGZuMHRJbm9nVnBuSkNiYThRVEdvWXZyem9EUw==</go:docsCustomData>
</go:gDocsCustomXmlDataStorage>
</file>

<file path=customXml/itemProps1.xml><?xml version="1.0" encoding="utf-8"?>
<ds:datastoreItem xmlns:ds="http://schemas.openxmlformats.org/officeDocument/2006/customXml" ds:itemID="{44ABDE15-D275-438F-B462-46EAEC37B9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16440</Words>
  <Characters>93711</Characters>
  <Application>Microsoft Office Word</Application>
  <DocSecurity>0</DocSecurity>
  <Lines>780</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OUEDRAOGO M</dc:creator>
  <cp:keywords/>
  <dc:description/>
  <cp:lastModifiedBy>Amandine OUEDRAOGO</cp:lastModifiedBy>
  <cp:revision>23</cp:revision>
  <dcterms:created xsi:type="dcterms:W3CDTF">2025-06-15T15:48:00Z</dcterms:created>
  <dcterms:modified xsi:type="dcterms:W3CDTF">2025-06-15T16:50:00Z</dcterms:modified>
</cp:coreProperties>
</file>