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1BA8" w14:textId="4A0ED044" w:rsidR="003052BB" w:rsidRPr="0024124C" w:rsidRDefault="00DA2057" w:rsidP="00916F6A">
      <w:pPr>
        <w:spacing w:line="360" w:lineRule="auto"/>
        <w:jc w:val="center"/>
        <w:rPr>
          <w:rFonts w:ascii="Times New Roman" w:hAnsi="Times New Roman" w:cs="Times New Roman"/>
          <w:b/>
          <w:bCs/>
          <w:sz w:val="24"/>
          <w:szCs w:val="24"/>
        </w:rPr>
      </w:pPr>
      <w:bookmarkStart w:id="0" w:name="_Hlk188360480"/>
      <w:r w:rsidRPr="0024124C">
        <w:rPr>
          <w:rFonts w:ascii="Times New Roman" w:hAnsi="Times New Roman" w:cs="Times New Roman"/>
          <w:b/>
          <w:bCs/>
          <w:sz w:val="24"/>
          <w:szCs w:val="24"/>
        </w:rPr>
        <w:t xml:space="preserve">Assessing the Influence of Foreign Direct Investment on Renewable Energy </w:t>
      </w:r>
      <w:r w:rsidR="006D56BA">
        <w:rPr>
          <w:rFonts w:ascii="Times New Roman" w:hAnsi="Times New Roman" w:cs="Times New Roman"/>
          <w:b/>
          <w:bCs/>
          <w:sz w:val="24"/>
          <w:szCs w:val="24"/>
        </w:rPr>
        <w:t>Adoption</w:t>
      </w:r>
      <w:r w:rsidRPr="0024124C">
        <w:rPr>
          <w:rFonts w:ascii="Times New Roman" w:hAnsi="Times New Roman" w:cs="Times New Roman"/>
          <w:b/>
          <w:bCs/>
          <w:sz w:val="24"/>
          <w:szCs w:val="24"/>
        </w:rPr>
        <w:t xml:space="preserve"> in</w:t>
      </w:r>
      <w:r w:rsidR="006D56BA">
        <w:rPr>
          <w:rFonts w:ascii="Times New Roman" w:hAnsi="Times New Roman" w:cs="Times New Roman"/>
          <w:b/>
          <w:bCs/>
          <w:sz w:val="24"/>
          <w:szCs w:val="24"/>
        </w:rPr>
        <w:t xml:space="preserve"> </w:t>
      </w:r>
      <w:r w:rsidRPr="0024124C">
        <w:rPr>
          <w:rFonts w:ascii="Times New Roman" w:hAnsi="Times New Roman" w:cs="Times New Roman"/>
          <w:b/>
          <w:bCs/>
          <w:sz w:val="24"/>
          <w:szCs w:val="24"/>
        </w:rPr>
        <w:t>Africa</w:t>
      </w:r>
    </w:p>
    <w:p w14:paraId="70FD5BBC" w14:textId="5708543E" w:rsidR="00DA2057" w:rsidRPr="0024124C" w:rsidRDefault="00DA2057" w:rsidP="00916F6A">
      <w:pPr>
        <w:spacing w:after="0" w:line="360" w:lineRule="auto"/>
        <w:jc w:val="center"/>
        <w:rPr>
          <w:rFonts w:ascii="Times New Roman" w:hAnsi="Times New Roman" w:cs="Times New Roman"/>
          <w:b/>
          <w:i/>
          <w:iCs/>
          <w:sz w:val="24"/>
          <w:szCs w:val="24"/>
          <w:lang w:val="en-MY"/>
        </w:rPr>
      </w:pPr>
      <w:r w:rsidRPr="0024124C">
        <w:rPr>
          <w:rFonts w:ascii="Times New Roman" w:hAnsi="Times New Roman" w:cs="Times New Roman"/>
          <w:b/>
          <w:i/>
          <w:iCs/>
          <w:sz w:val="24"/>
          <w:szCs w:val="24"/>
          <w:lang w:val="en-MY"/>
        </w:rPr>
        <w:t>Afolabi Quadri Balogun</w:t>
      </w:r>
    </w:p>
    <w:p w14:paraId="7B5B22DB" w14:textId="77777777" w:rsidR="00764714" w:rsidRDefault="00764714" w:rsidP="00764714">
      <w:pPr>
        <w:spacing w:after="0" w:line="360" w:lineRule="auto"/>
        <w:jc w:val="center"/>
        <w:rPr>
          <w:rFonts w:ascii="Times New Roman" w:hAnsi="Times New Roman" w:cs="Times New Roman"/>
          <w:sz w:val="24"/>
          <w:szCs w:val="24"/>
        </w:rPr>
      </w:pPr>
      <w:r w:rsidRPr="0024124C">
        <w:rPr>
          <w:rFonts w:ascii="Times New Roman" w:hAnsi="Times New Roman" w:cs="Times New Roman"/>
          <w:sz w:val="24"/>
          <w:szCs w:val="24"/>
        </w:rPr>
        <w:t>Department of Economics, Nigerian Army University, Biu, Borno State, Nigeria.</w:t>
      </w:r>
    </w:p>
    <w:p w14:paraId="72553007" w14:textId="77777777" w:rsidR="00764714" w:rsidRDefault="00764714" w:rsidP="00764714">
      <w:pPr>
        <w:spacing w:after="0" w:line="360" w:lineRule="auto"/>
        <w:jc w:val="center"/>
        <w:rPr>
          <w:rFonts w:ascii="Times New Roman" w:hAnsi="Times New Roman" w:cs="Times New Roman"/>
          <w:sz w:val="24"/>
          <w:szCs w:val="24"/>
        </w:rPr>
      </w:pPr>
      <w:r w:rsidRPr="0024124C">
        <w:rPr>
          <w:rFonts w:ascii="Times New Roman" w:hAnsi="Times New Roman" w:cs="Times New Roman"/>
          <w:sz w:val="24"/>
          <w:szCs w:val="24"/>
        </w:rPr>
        <w:t xml:space="preserve">Department of Economics, </w:t>
      </w:r>
      <w:r>
        <w:rPr>
          <w:rFonts w:ascii="Times New Roman" w:hAnsi="Times New Roman" w:cs="Times New Roman"/>
          <w:sz w:val="24"/>
          <w:szCs w:val="24"/>
        </w:rPr>
        <w:t>Bauchi State</w:t>
      </w:r>
      <w:r w:rsidRPr="0024124C">
        <w:rPr>
          <w:rFonts w:ascii="Times New Roman" w:hAnsi="Times New Roman" w:cs="Times New Roman"/>
          <w:sz w:val="24"/>
          <w:szCs w:val="24"/>
        </w:rPr>
        <w:t xml:space="preserve"> University, </w:t>
      </w:r>
      <w:r>
        <w:rPr>
          <w:rFonts w:ascii="Times New Roman" w:hAnsi="Times New Roman" w:cs="Times New Roman"/>
          <w:sz w:val="24"/>
          <w:szCs w:val="24"/>
        </w:rPr>
        <w:t>Gadau</w:t>
      </w:r>
      <w:r w:rsidRPr="0024124C">
        <w:rPr>
          <w:rFonts w:ascii="Times New Roman" w:hAnsi="Times New Roman" w:cs="Times New Roman"/>
          <w:sz w:val="24"/>
          <w:szCs w:val="24"/>
        </w:rPr>
        <w:t>, B</w:t>
      </w:r>
      <w:r>
        <w:rPr>
          <w:rFonts w:ascii="Times New Roman" w:hAnsi="Times New Roman" w:cs="Times New Roman"/>
          <w:sz w:val="24"/>
          <w:szCs w:val="24"/>
        </w:rPr>
        <w:t>auchi</w:t>
      </w:r>
      <w:r w:rsidRPr="0024124C">
        <w:rPr>
          <w:rFonts w:ascii="Times New Roman" w:hAnsi="Times New Roman" w:cs="Times New Roman"/>
          <w:sz w:val="24"/>
          <w:szCs w:val="24"/>
        </w:rPr>
        <w:t xml:space="preserve"> State, Nigeria.</w:t>
      </w:r>
    </w:p>
    <w:p w14:paraId="3CB6A61E" w14:textId="460F9547" w:rsidR="00263F01" w:rsidRPr="00275C0E" w:rsidRDefault="00263F01" w:rsidP="00916F6A">
      <w:pPr>
        <w:spacing w:after="0" w:line="360" w:lineRule="auto"/>
        <w:jc w:val="center"/>
        <w:rPr>
          <w:rFonts w:ascii="Times New Roman" w:hAnsi="Times New Roman" w:cs="Times New Roman"/>
          <w:sz w:val="24"/>
          <w:szCs w:val="24"/>
          <w:lang w:val="fr-SN"/>
        </w:rPr>
      </w:pPr>
      <w:proofErr w:type="gramStart"/>
      <w:r w:rsidRPr="00275C0E">
        <w:rPr>
          <w:rFonts w:ascii="Times New Roman" w:hAnsi="Times New Roman" w:cs="Times New Roman"/>
          <w:sz w:val="24"/>
          <w:szCs w:val="24"/>
          <w:lang w:val="fr-SN"/>
        </w:rPr>
        <w:t>E-mail:</w:t>
      </w:r>
      <w:proofErr w:type="gramEnd"/>
      <w:r w:rsidRPr="00275C0E">
        <w:rPr>
          <w:rFonts w:ascii="Times New Roman" w:hAnsi="Times New Roman" w:cs="Times New Roman"/>
          <w:sz w:val="24"/>
          <w:szCs w:val="24"/>
          <w:lang w:val="fr-SN"/>
        </w:rPr>
        <w:t xml:space="preserve"> </w:t>
      </w:r>
      <w:hyperlink r:id="rId6" w:history="1">
        <w:r w:rsidRPr="00275C0E">
          <w:rPr>
            <w:rStyle w:val="Hyperlink"/>
            <w:rFonts w:ascii="Times New Roman" w:hAnsi="Times New Roman" w:cs="Times New Roman"/>
            <w:sz w:val="24"/>
            <w:szCs w:val="24"/>
            <w:lang w:val="fr-SN"/>
          </w:rPr>
          <w:t>afoobalogun@gmail.com</w:t>
        </w:r>
      </w:hyperlink>
      <w:r w:rsidRPr="00275C0E">
        <w:rPr>
          <w:rFonts w:ascii="Times New Roman" w:hAnsi="Times New Roman" w:cs="Times New Roman"/>
          <w:sz w:val="24"/>
          <w:szCs w:val="24"/>
          <w:lang w:val="fr-SN"/>
        </w:rPr>
        <w:t xml:space="preserve">  </w:t>
      </w:r>
    </w:p>
    <w:p w14:paraId="5705D9B8" w14:textId="77777777" w:rsidR="00DA2057" w:rsidRPr="00275C0E" w:rsidRDefault="00DA2057" w:rsidP="00916F6A">
      <w:pPr>
        <w:spacing w:line="360" w:lineRule="auto"/>
        <w:rPr>
          <w:rFonts w:ascii="Times New Roman" w:hAnsi="Times New Roman" w:cs="Times New Roman"/>
          <w:b/>
          <w:sz w:val="24"/>
          <w:szCs w:val="24"/>
          <w:lang w:val="fr-SN"/>
        </w:rPr>
      </w:pPr>
      <w:r w:rsidRPr="00275C0E">
        <w:rPr>
          <w:rFonts w:ascii="Times New Roman" w:hAnsi="Times New Roman" w:cs="Times New Roman"/>
          <w:b/>
          <w:sz w:val="24"/>
          <w:szCs w:val="24"/>
          <w:lang w:val="fr-SN"/>
        </w:rPr>
        <w:t>Abstract</w:t>
      </w:r>
    </w:p>
    <w:p w14:paraId="167E570A" w14:textId="3ADD7D3A" w:rsidR="00DA2057" w:rsidRPr="00291B06" w:rsidRDefault="00333F34" w:rsidP="00916F6A">
      <w:pPr>
        <w:tabs>
          <w:tab w:val="left" w:pos="2260"/>
        </w:tabs>
        <w:spacing w:line="360" w:lineRule="auto"/>
        <w:jc w:val="both"/>
        <w:rPr>
          <w:rFonts w:ascii="Times New Roman" w:hAnsi="Times New Roman" w:cs="Times New Roman"/>
          <w:i/>
          <w:sz w:val="24"/>
          <w:szCs w:val="24"/>
        </w:rPr>
      </w:pPr>
      <w:r w:rsidRPr="00333F34">
        <w:rPr>
          <w:rFonts w:ascii="Times New Roman" w:hAnsi="Times New Roman" w:cs="Times New Roman"/>
          <w:i/>
          <w:iCs/>
          <w:sz w:val="24"/>
          <w:szCs w:val="24"/>
        </w:rPr>
        <w:t>This study examines the relationship between foreign direct investment (FDI) and renewable energy consumption (REC) in Sub-Saharan African (SSA) countries, with a focus on the moderating role of environmental policies. Utilizing a dataset spanning 48 SSA countries from 2016 to 2022, the analysis employs the system generalized method of moments (GMM) technique to account for dynamic panel data challenges. The findings reveal that FDI inflows alone do not directly influence REC. However, the interaction between FDI and robust environmental policies significantly enhances REC adoption in the region. Additionally, industrialization and trade openness are identified as critical drivers of increased REC. The study underscores the importance of implementing targeted environmental sustainability policies, including clear regulatory frameworks, incentives such as subsidies, tax breaks, and feed-in tariffs for renewable energy projects, alongside measures to cap or tax carbon emissions. These recommendations aim to foster a conducive environment for integrating renewable energy solutions in SSA economies, promoting sustainable development and reducing dependence on fossil fuels.</w:t>
      </w:r>
    </w:p>
    <w:p w14:paraId="507FEF22" w14:textId="72FDC2C3" w:rsidR="00DA2057" w:rsidRDefault="00DA2057" w:rsidP="00916F6A">
      <w:pPr>
        <w:spacing w:line="360" w:lineRule="auto"/>
        <w:rPr>
          <w:rFonts w:ascii="Times New Roman" w:hAnsi="Times New Roman" w:cs="Times New Roman"/>
          <w:bCs/>
          <w:sz w:val="24"/>
          <w:szCs w:val="24"/>
        </w:rPr>
      </w:pPr>
      <w:r w:rsidRPr="00291B06">
        <w:rPr>
          <w:rFonts w:ascii="Times New Roman" w:hAnsi="Times New Roman" w:cs="Times New Roman"/>
          <w:b/>
          <w:bCs/>
          <w:sz w:val="24"/>
          <w:szCs w:val="24"/>
        </w:rPr>
        <w:t xml:space="preserve">Keywords: </w:t>
      </w:r>
      <w:r w:rsidRPr="00291B06">
        <w:rPr>
          <w:rFonts w:ascii="Times New Roman" w:hAnsi="Times New Roman" w:cs="Times New Roman"/>
          <w:bCs/>
          <w:sz w:val="24"/>
          <w:szCs w:val="24"/>
        </w:rPr>
        <w:t xml:space="preserve">FDI Inflows, Renewable Energy Consumption, </w:t>
      </w:r>
      <w:r w:rsidR="007270E1">
        <w:rPr>
          <w:rFonts w:ascii="Times New Roman" w:hAnsi="Times New Roman" w:cs="Times New Roman"/>
          <w:bCs/>
          <w:sz w:val="24"/>
          <w:szCs w:val="24"/>
        </w:rPr>
        <w:t>Envi</w:t>
      </w:r>
      <w:r w:rsidR="006B6630">
        <w:rPr>
          <w:rFonts w:ascii="Times New Roman" w:hAnsi="Times New Roman" w:cs="Times New Roman"/>
          <w:bCs/>
          <w:sz w:val="24"/>
          <w:szCs w:val="24"/>
        </w:rPr>
        <w:t>ronmental Sustainability, System-GMM</w:t>
      </w:r>
    </w:p>
    <w:p w14:paraId="63847CEB" w14:textId="77777777" w:rsidR="00DD6852" w:rsidRDefault="00DD6852" w:rsidP="00916F6A">
      <w:pPr>
        <w:spacing w:line="360" w:lineRule="auto"/>
        <w:rPr>
          <w:rFonts w:ascii="Times New Roman" w:hAnsi="Times New Roman" w:cs="Times New Roman"/>
          <w:bCs/>
          <w:sz w:val="24"/>
          <w:szCs w:val="24"/>
        </w:rPr>
      </w:pPr>
      <w:r>
        <w:rPr>
          <w:rFonts w:ascii="Times New Roman" w:hAnsi="Times New Roman" w:cs="Times New Roman"/>
          <w:b/>
          <w:bCs/>
          <w:sz w:val="24"/>
          <w:szCs w:val="24"/>
        </w:rPr>
        <w:t>JEL</w:t>
      </w:r>
      <w:r w:rsidRPr="00291B06">
        <w:rPr>
          <w:rFonts w:ascii="Times New Roman" w:hAnsi="Times New Roman" w:cs="Times New Roman"/>
          <w:b/>
          <w:bCs/>
          <w:sz w:val="24"/>
          <w:szCs w:val="24"/>
        </w:rPr>
        <w:t xml:space="preserve">: </w:t>
      </w:r>
      <w:r>
        <w:rPr>
          <w:rFonts w:ascii="Times New Roman" w:hAnsi="Times New Roman" w:cs="Times New Roman"/>
          <w:bCs/>
          <w:sz w:val="24"/>
          <w:szCs w:val="24"/>
        </w:rPr>
        <w:t>F21, Q42, Q56, O55.</w:t>
      </w:r>
      <w:bookmarkEnd w:id="0"/>
    </w:p>
    <w:p w14:paraId="178414D9" w14:textId="7F51C291" w:rsidR="00DA2057" w:rsidRPr="0024124C" w:rsidRDefault="00275C0E" w:rsidP="00916F6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DA2057" w:rsidRPr="0024124C">
        <w:rPr>
          <w:rFonts w:ascii="Times New Roman" w:hAnsi="Times New Roman" w:cs="Times New Roman"/>
          <w:b/>
          <w:bCs/>
          <w:sz w:val="24"/>
          <w:szCs w:val="24"/>
        </w:rPr>
        <w:t>Introduction</w:t>
      </w:r>
    </w:p>
    <w:p w14:paraId="53F90048" w14:textId="2A5FBCE1" w:rsidR="0024124C" w:rsidRPr="0024124C" w:rsidRDefault="0024124C" w:rsidP="00916F6A">
      <w:pPr>
        <w:spacing w:line="360" w:lineRule="auto"/>
        <w:jc w:val="both"/>
        <w:rPr>
          <w:rFonts w:ascii="Times New Roman" w:hAnsi="Times New Roman" w:cs="Times New Roman"/>
          <w:sz w:val="24"/>
          <w:szCs w:val="24"/>
        </w:rPr>
      </w:pPr>
      <w:bookmarkStart w:id="1" w:name="_Hlk162106586"/>
      <w:r w:rsidRPr="0024124C">
        <w:rPr>
          <w:rFonts w:ascii="Times New Roman" w:hAnsi="Times New Roman" w:cs="Times New Roman"/>
          <w:sz w:val="24"/>
          <w:szCs w:val="24"/>
        </w:rPr>
        <w:t xml:space="preserve">Following the independence of most African countries in early 1970’s, the development of the countries’ economy has been an important part of their policies. The development of Africa region has necessitated increasing productive activities through intensive investment and industrialization. </w:t>
      </w:r>
      <w:bookmarkEnd w:id="1"/>
      <w:r w:rsidRPr="0024124C">
        <w:rPr>
          <w:rFonts w:ascii="Times New Roman" w:hAnsi="Times New Roman" w:cs="Times New Roman"/>
          <w:sz w:val="24"/>
          <w:szCs w:val="24"/>
        </w:rPr>
        <w:t xml:space="preserve">The Sub-Saharan Africa (SSA) region, comprising of 48 independent nations </w:t>
      </w:r>
      <w:r w:rsidRPr="0024124C">
        <w:rPr>
          <w:rFonts w:ascii="Times New Roman" w:hAnsi="Times New Roman" w:cs="Times New Roman"/>
          <w:sz w:val="24"/>
          <w:szCs w:val="24"/>
        </w:rPr>
        <w:lastRenderedPageBreak/>
        <w:t xml:space="preserve">have been yearning for the development of the individual countries and has experienced increasing Gross Domestic Product (GDP) over the years as depicted in figure 1. The aggregate GDP of SSA was USD </w:t>
      </w:r>
      <w:r w:rsidR="0068437F">
        <w:rPr>
          <w:rFonts w:ascii="Times New Roman" w:hAnsi="Times New Roman" w:cs="Times New Roman"/>
          <w:sz w:val="24"/>
          <w:szCs w:val="24"/>
        </w:rPr>
        <w:t>2</w:t>
      </w:r>
      <w:r w:rsidRPr="0024124C">
        <w:rPr>
          <w:rFonts w:ascii="Times New Roman" w:hAnsi="Times New Roman" w:cs="Times New Roman"/>
          <w:sz w:val="24"/>
          <w:szCs w:val="24"/>
        </w:rPr>
        <w:t>,</w:t>
      </w:r>
      <w:r w:rsidR="0068437F">
        <w:rPr>
          <w:rFonts w:ascii="Times New Roman" w:hAnsi="Times New Roman" w:cs="Times New Roman"/>
          <w:sz w:val="24"/>
          <w:szCs w:val="24"/>
        </w:rPr>
        <w:t>011</w:t>
      </w:r>
      <w:r w:rsidRPr="0024124C">
        <w:rPr>
          <w:rFonts w:ascii="Times New Roman" w:hAnsi="Times New Roman" w:cs="Times New Roman"/>
          <w:sz w:val="24"/>
          <w:szCs w:val="24"/>
        </w:rPr>
        <w:t>.4 billion in 202</w:t>
      </w:r>
      <w:r w:rsidR="0068437F">
        <w:rPr>
          <w:rFonts w:ascii="Times New Roman" w:hAnsi="Times New Roman" w:cs="Times New Roman"/>
          <w:sz w:val="24"/>
          <w:szCs w:val="24"/>
        </w:rPr>
        <w:t>2</w:t>
      </w:r>
      <w:r w:rsidRPr="0024124C">
        <w:rPr>
          <w:rFonts w:ascii="Times New Roman" w:hAnsi="Times New Roman" w:cs="Times New Roman"/>
          <w:sz w:val="24"/>
          <w:szCs w:val="24"/>
        </w:rPr>
        <w:t xml:space="preserve"> and estimated to report a yearly growth rate averaging 3.7% (International Monetary Fund [IMF], 202</w:t>
      </w:r>
      <w:r w:rsidR="0068437F">
        <w:rPr>
          <w:rFonts w:ascii="Times New Roman" w:hAnsi="Times New Roman" w:cs="Times New Roman"/>
          <w:sz w:val="24"/>
          <w:szCs w:val="24"/>
        </w:rPr>
        <w:t>3</w:t>
      </w:r>
      <w:r w:rsidRPr="0024124C">
        <w:rPr>
          <w:rFonts w:ascii="Times New Roman" w:hAnsi="Times New Roman" w:cs="Times New Roman"/>
          <w:sz w:val="24"/>
          <w:szCs w:val="24"/>
        </w:rPr>
        <w:t xml:space="preserve">). The increasing GDP can be attributed to increase in population, urbanization and industrialization. </w:t>
      </w:r>
    </w:p>
    <w:p w14:paraId="128CAD4A" w14:textId="17D5B31E" w:rsidR="0024124C" w:rsidRPr="0024124C" w:rsidRDefault="0024124C" w:rsidP="00916F6A">
      <w:pPr>
        <w:pStyle w:val="Caption"/>
        <w:spacing w:line="360" w:lineRule="auto"/>
        <w:jc w:val="both"/>
        <w:rPr>
          <w:rFonts w:ascii="Times New Roman" w:hAnsi="Times New Roman" w:cs="Times New Roman"/>
          <w:i w:val="0"/>
          <w:iCs w:val="0"/>
          <w:color w:val="auto"/>
          <w:sz w:val="24"/>
          <w:szCs w:val="24"/>
        </w:rPr>
      </w:pPr>
      <w:bookmarkStart w:id="2" w:name="_Toc150921607"/>
      <w:r w:rsidRPr="0024124C">
        <w:rPr>
          <w:rFonts w:ascii="Times New Roman" w:hAnsi="Times New Roman" w:cs="Times New Roman"/>
          <w:b/>
          <w:bCs/>
          <w:i w:val="0"/>
          <w:iCs w:val="0"/>
          <w:color w:val="auto"/>
          <w:sz w:val="24"/>
          <w:szCs w:val="24"/>
        </w:rPr>
        <w:t>Figure 1. Trend of Economic Growth in SSA</w:t>
      </w:r>
      <w:bookmarkEnd w:id="2"/>
      <w:r w:rsidRPr="0024124C">
        <w:rPr>
          <w:rFonts w:ascii="Times New Roman" w:hAnsi="Times New Roman" w:cs="Times New Roman"/>
          <w:b/>
          <w:bCs/>
          <w:i w:val="0"/>
          <w:iCs w:val="0"/>
          <w:color w:val="auto"/>
          <w:sz w:val="24"/>
          <w:szCs w:val="24"/>
        </w:rPr>
        <w:t xml:space="preserve"> </w:t>
      </w:r>
    </w:p>
    <w:p w14:paraId="39E0AF46" w14:textId="77777777" w:rsidR="0024124C" w:rsidRPr="0024124C" w:rsidRDefault="0024124C" w:rsidP="00916F6A">
      <w:pPr>
        <w:keepNext/>
        <w:spacing w:after="0" w:line="360" w:lineRule="auto"/>
        <w:jc w:val="both"/>
        <w:rPr>
          <w:rFonts w:ascii="Times New Roman" w:hAnsi="Times New Roman" w:cs="Times New Roman"/>
          <w:sz w:val="24"/>
          <w:szCs w:val="24"/>
        </w:rPr>
      </w:pPr>
      <w:r w:rsidRPr="0024124C">
        <w:rPr>
          <w:rFonts w:ascii="Times New Roman" w:hAnsi="Times New Roman" w:cs="Times New Roman"/>
          <w:noProof/>
          <w:sz w:val="24"/>
          <w:szCs w:val="24"/>
        </w:rPr>
        <w:drawing>
          <wp:inline distT="0" distB="0" distL="0" distR="0" wp14:anchorId="19D9747B" wp14:editId="63AE1D81">
            <wp:extent cx="5471795" cy="1974079"/>
            <wp:effectExtent l="0" t="0" r="14605"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B2F80B9" w14:textId="57D24CB1" w:rsidR="0024124C" w:rsidRPr="0068437F" w:rsidRDefault="0024124C" w:rsidP="00916F6A">
      <w:pPr>
        <w:pStyle w:val="Caption"/>
        <w:spacing w:line="360" w:lineRule="auto"/>
        <w:jc w:val="both"/>
        <w:rPr>
          <w:rFonts w:ascii="Times New Roman" w:hAnsi="Times New Roman" w:cs="Times New Roman"/>
          <w:b/>
          <w:bCs/>
          <w:color w:val="auto"/>
          <w:sz w:val="24"/>
          <w:szCs w:val="24"/>
        </w:rPr>
      </w:pPr>
      <w:bookmarkStart w:id="3" w:name="_Toc156031477"/>
      <w:r w:rsidRPr="0024124C">
        <w:rPr>
          <w:rFonts w:ascii="Times New Roman" w:hAnsi="Times New Roman" w:cs="Times New Roman"/>
          <w:b/>
          <w:bCs/>
          <w:color w:val="auto"/>
          <w:sz w:val="24"/>
          <w:szCs w:val="24"/>
        </w:rPr>
        <w:t xml:space="preserve">Source: World Bank </w:t>
      </w:r>
      <w:r w:rsidR="0068437F">
        <w:rPr>
          <w:rFonts w:ascii="Times New Roman" w:hAnsi="Times New Roman" w:cs="Times New Roman"/>
          <w:b/>
          <w:bCs/>
          <w:color w:val="auto"/>
          <w:sz w:val="24"/>
          <w:szCs w:val="24"/>
        </w:rPr>
        <w:t>(</w:t>
      </w:r>
      <w:r w:rsidRPr="0024124C">
        <w:rPr>
          <w:rFonts w:ascii="Times New Roman" w:hAnsi="Times New Roman" w:cs="Times New Roman"/>
          <w:b/>
          <w:bCs/>
          <w:color w:val="auto"/>
          <w:sz w:val="24"/>
          <w:szCs w:val="24"/>
        </w:rPr>
        <w:t>2023)</w:t>
      </w:r>
      <w:bookmarkEnd w:id="3"/>
    </w:p>
    <w:p w14:paraId="786A1CA2" w14:textId="39D506C8"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It has also been argued that energy is a vital element for production and is subsequently important for economic growth and development (Alaali et al., 2015). Energy consumption is expected to increase with growing population and industrialization especially in certain continents and growing income per capita (economic growth) (Apergis &amp; Payne, 2010a). Moreso, the United Nations (UN) projects that the global population will grow from 7.9billion in 2022 to 10.9 billion by 2100, which is an indication of the potential increase in energy consumption in years to come.</w:t>
      </w:r>
    </w:p>
    <w:p w14:paraId="5D810DDC" w14:textId="03888F05"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 xml:space="preserve">Renewable energy consumption has been found to be an important contributor to economic growth (Apergis &amp; Payne, 2010b) but not as much as conventional energy which generates emission of greenhouse gas when burnt (Adu &amp; Denkyiray, 2019; Radmehr et al., 2021) and increases temperature. The world depends heavily on fossil fuels (oil, gas and coal) as a major energy source because they are energy-rich, that is, they have high energy intensity in size and weight, and relatively cheap to process. Figure </w:t>
      </w:r>
      <w:r w:rsidR="0068437F">
        <w:rPr>
          <w:rFonts w:ascii="Times New Roman" w:hAnsi="Times New Roman" w:cs="Times New Roman"/>
          <w:sz w:val="24"/>
          <w:szCs w:val="24"/>
        </w:rPr>
        <w:t>2</w:t>
      </w:r>
      <w:r w:rsidRPr="0024124C">
        <w:rPr>
          <w:rFonts w:ascii="Times New Roman" w:hAnsi="Times New Roman" w:cs="Times New Roman"/>
          <w:sz w:val="24"/>
          <w:szCs w:val="24"/>
        </w:rPr>
        <w:t xml:space="preserve"> shows the relationship between energy consumption and carbon dioxide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in SSA between 1965 and 2021. </w:t>
      </w:r>
    </w:p>
    <w:p w14:paraId="2B1A7404" w14:textId="7F4F65FE" w:rsidR="0024124C" w:rsidRPr="0024124C" w:rsidRDefault="0024124C" w:rsidP="00916F6A">
      <w:pPr>
        <w:pStyle w:val="Caption"/>
        <w:keepNext/>
        <w:spacing w:line="360" w:lineRule="auto"/>
        <w:jc w:val="both"/>
        <w:rPr>
          <w:rFonts w:ascii="Times New Roman" w:hAnsi="Times New Roman" w:cs="Times New Roman"/>
          <w:b/>
          <w:bCs/>
          <w:color w:val="auto"/>
          <w:sz w:val="24"/>
          <w:szCs w:val="24"/>
        </w:rPr>
      </w:pPr>
      <w:bookmarkStart w:id="4" w:name="_Toc150921611"/>
      <w:r w:rsidRPr="0024124C">
        <w:rPr>
          <w:rFonts w:ascii="Times New Roman" w:hAnsi="Times New Roman" w:cs="Times New Roman"/>
          <w:b/>
          <w:bCs/>
          <w:color w:val="auto"/>
          <w:sz w:val="24"/>
          <w:szCs w:val="24"/>
        </w:rPr>
        <w:lastRenderedPageBreak/>
        <w:t xml:space="preserve">Figure </w:t>
      </w:r>
      <w:r w:rsidR="0068437F">
        <w:rPr>
          <w:rFonts w:ascii="Times New Roman" w:hAnsi="Times New Roman" w:cs="Times New Roman"/>
          <w:b/>
          <w:bCs/>
          <w:color w:val="auto"/>
          <w:sz w:val="24"/>
          <w:szCs w:val="24"/>
        </w:rPr>
        <w:t>2</w:t>
      </w:r>
      <w:r w:rsidRPr="0024124C">
        <w:rPr>
          <w:rFonts w:ascii="Times New Roman" w:hAnsi="Times New Roman" w:cs="Times New Roman"/>
          <w:b/>
          <w:bCs/>
          <w:color w:val="auto"/>
          <w:sz w:val="24"/>
          <w:szCs w:val="24"/>
        </w:rPr>
        <w:t>. Relationship between Energy Consumption and Carbon Emissions (CO2) in SSA</w:t>
      </w:r>
      <w:bookmarkEnd w:id="4"/>
    </w:p>
    <w:p w14:paraId="30E17952" w14:textId="77777777" w:rsidR="0024124C" w:rsidRPr="0024124C" w:rsidRDefault="0024124C" w:rsidP="00916F6A">
      <w:pPr>
        <w:spacing w:line="360" w:lineRule="auto"/>
        <w:jc w:val="both"/>
        <w:rPr>
          <w:rFonts w:ascii="Times New Roman" w:hAnsi="Times New Roman" w:cs="Times New Roman"/>
          <w:b/>
          <w:i/>
          <w:sz w:val="24"/>
          <w:szCs w:val="24"/>
        </w:rPr>
      </w:pPr>
      <w:r w:rsidRPr="0024124C">
        <w:rPr>
          <w:rFonts w:ascii="Times New Roman" w:hAnsi="Times New Roman" w:cs="Times New Roman"/>
          <w:noProof/>
          <w:sz w:val="24"/>
          <w:szCs w:val="24"/>
        </w:rPr>
        <w:drawing>
          <wp:inline distT="0" distB="0" distL="0" distR="0" wp14:anchorId="615C8DC0" wp14:editId="36B6F2BD">
            <wp:extent cx="5986145" cy="2423795"/>
            <wp:effectExtent l="0" t="0" r="1460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DE2E6D" w14:textId="77777777" w:rsidR="0068437F" w:rsidRPr="0068437F" w:rsidRDefault="0068437F" w:rsidP="00916F6A">
      <w:pPr>
        <w:pStyle w:val="Caption"/>
        <w:spacing w:line="360" w:lineRule="auto"/>
        <w:jc w:val="both"/>
        <w:rPr>
          <w:rFonts w:ascii="Times New Roman" w:hAnsi="Times New Roman" w:cs="Times New Roman"/>
          <w:b/>
          <w:bCs/>
          <w:color w:val="auto"/>
          <w:sz w:val="24"/>
          <w:szCs w:val="24"/>
        </w:rPr>
      </w:pPr>
      <w:r w:rsidRPr="0024124C">
        <w:rPr>
          <w:rFonts w:ascii="Times New Roman" w:hAnsi="Times New Roman" w:cs="Times New Roman"/>
          <w:b/>
          <w:bCs/>
          <w:color w:val="auto"/>
          <w:sz w:val="24"/>
          <w:szCs w:val="24"/>
        </w:rPr>
        <w:t xml:space="preserve">Source: World Bank </w:t>
      </w:r>
      <w:r>
        <w:rPr>
          <w:rFonts w:ascii="Times New Roman" w:hAnsi="Times New Roman" w:cs="Times New Roman"/>
          <w:b/>
          <w:bCs/>
          <w:color w:val="auto"/>
          <w:sz w:val="24"/>
          <w:szCs w:val="24"/>
        </w:rPr>
        <w:t>(</w:t>
      </w:r>
      <w:r w:rsidRPr="0024124C">
        <w:rPr>
          <w:rFonts w:ascii="Times New Roman" w:hAnsi="Times New Roman" w:cs="Times New Roman"/>
          <w:b/>
          <w:bCs/>
          <w:color w:val="auto"/>
          <w:sz w:val="24"/>
          <w:szCs w:val="24"/>
        </w:rPr>
        <w:t>2023)</w:t>
      </w:r>
    </w:p>
    <w:p w14:paraId="4D96417F" w14:textId="66CF5F37"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 xml:space="preserve">From figure </w:t>
      </w:r>
      <w:r w:rsidR="0068437F">
        <w:rPr>
          <w:rFonts w:ascii="Times New Roman" w:hAnsi="Times New Roman" w:cs="Times New Roman"/>
          <w:sz w:val="24"/>
          <w:szCs w:val="24"/>
        </w:rPr>
        <w:t>2</w:t>
      </w:r>
      <w:r w:rsidRPr="0024124C">
        <w:rPr>
          <w:rFonts w:ascii="Times New Roman" w:hAnsi="Times New Roman" w:cs="Times New Roman"/>
          <w:sz w:val="24"/>
          <w:szCs w:val="24"/>
        </w:rPr>
        <w:t>,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has increased from 399,713.177kt in 1990 to 823786.7kt in 2019. More importantly,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increased by 0.98% from 2016 to 2017, 1.2% from 2017 to 2018, and by 2.75% from 2018 to 2019. The increasing growth rate of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in SSA is alarming, and projected to be 5.8 gigatons per year by 2060 (</w:t>
      </w:r>
      <w:r w:rsidR="00027ECD">
        <w:rPr>
          <w:rFonts w:ascii="Times New Roman" w:hAnsi="Times New Roman" w:cs="Times New Roman"/>
          <w:sz w:val="24"/>
          <w:szCs w:val="24"/>
        </w:rPr>
        <w:t>International Energy Agency [</w:t>
      </w:r>
      <w:r w:rsidRPr="0024124C">
        <w:rPr>
          <w:rFonts w:ascii="Times New Roman" w:hAnsi="Times New Roman" w:cs="Times New Roman"/>
          <w:sz w:val="24"/>
          <w:szCs w:val="24"/>
        </w:rPr>
        <w:t>IEA</w:t>
      </w:r>
      <w:r w:rsidR="00027ECD">
        <w:rPr>
          <w:rFonts w:ascii="Times New Roman" w:hAnsi="Times New Roman" w:cs="Times New Roman"/>
          <w:sz w:val="24"/>
          <w:szCs w:val="24"/>
        </w:rPr>
        <w:t>]</w:t>
      </w:r>
      <w:r w:rsidRPr="0024124C">
        <w:rPr>
          <w:rFonts w:ascii="Times New Roman" w:hAnsi="Times New Roman" w:cs="Times New Roman"/>
          <w:sz w:val="24"/>
          <w:szCs w:val="24"/>
        </w:rPr>
        <w:t>, 202</w:t>
      </w:r>
      <w:r w:rsidR="00027ECD">
        <w:rPr>
          <w:rFonts w:ascii="Times New Roman" w:hAnsi="Times New Roman" w:cs="Times New Roman"/>
          <w:sz w:val="24"/>
          <w:szCs w:val="24"/>
        </w:rPr>
        <w:t>2</w:t>
      </w:r>
      <w:r w:rsidRPr="0024124C">
        <w:rPr>
          <w:rFonts w:ascii="Times New Roman" w:hAnsi="Times New Roman" w:cs="Times New Roman"/>
          <w:sz w:val="24"/>
          <w:szCs w:val="24"/>
        </w:rPr>
        <w:t>) which is about the same in USA currently.</w:t>
      </w:r>
    </w:p>
    <w:p w14:paraId="185B76F6" w14:textId="7FCE7908"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 xml:space="preserve">Moreover, as Africa countries yearn for economic growth and development, the continent has been seeking intensive investment and been promoting policies aimed at trade integration. One of the attempts is the establishment of regional organizations like the Africa Union (AU) and the Economic Community of West African State (ECOWS). More recently, is the establishment of the African Continental Free Trade Area (AfCFTA) in 2018 to enhance trade openness among African countries. The growth in FDI to the continent could be attributed to the oil and gas sector of the economy, food processing and investment in real estate. Since inception of AfCFTA, the SSA region has experienced increased foreign direct investment (FDI) inflows from $29.08billion in 2018 to $73.89billion in 2021, as depicted in figure </w:t>
      </w:r>
      <w:r w:rsidR="0068437F">
        <w:rPr>
          <w:rFonts w:ascii="Times New Roman" w:hAnsi="Times New Roman" w:cs="Times New Roman"/>
          <w:sz w:val="24"/>
          <w:szCs w:val="24"/>
        </w:rPr>
        <w:t>3</w:t>
      </w:r>
      <w:r w:rsidRPr="0024124C">
        <w:rPr>
          <w:rFonts w:ascii="Times New Roman" w:hAnsi="Times New Roman" w:cs="Times New Roman"/>
          <w:sz w:val="24"/>
          <w:szCs w:val="24"/>
        </w:rPr>
        <w:t xml:space="preserve"> below.</w:t>
      </w:r>
    </w:p>
    <w:p w14:paraId="07EF7C55" w14:textId="534BECDB" w:rsidR="0024124C" w:rsidRPr="0024124C" w:rsidRDefault="0024124C" w:rsidP="00916F6A">
      <w:pPr>
        <w:pStyle w:val="Caption"/>
        <w:keepNext/>
        <w:spacing w:line="360" w:lineRule="auto"/>
        <w:jc w:val="both"/>
        <w:rPr>
          <w:rFonts w:ascii="Times New Roman" w:hAnsi="Times New Roman" w:cs="Times New Roman"/>
          <w:b/>
          <w:bCs/>
          <w:color w:val="auto"/>
          <w:sz w:val="24"/>
          <w:szCs w:val="24"/>
        </w:rPr>
      </w:pPr>
      <w:bookmarkStart w:id="5" w:name="_Toc150921612"/>
      <w:r w:rsidRPr="0024124C">
        <w:rPr>
          <w:rFonts w:ascii="Times New Roman" w:hAnsi="Times New Roman" w:cs="Times New Roman"/>
          <w:b/>
          <w:bCs/>
          <w:color w:val="auto"/>
          <w:sz w:val="24"/>
          <w:szCs w:val="24"/>
        </w:rPr>
        <w:lastRenderedPageBreak/>
        <w:t xml:space="preserve">Figure </w:t>
      </w:r>
      <w:r w:rsidR="0068437F">
        <w:rPr>
          <w:rFonts w:ascii="Times New Roman" w:hAnsi="Times New Roman" w:cs="Times New Roman"/>
          <w:b/>
          <w:bCs/>
          <w:color w:val="auto"/>
          <w:sz w:val="24"/>
          <w:szCs w:val="24"/>
        </w:rPr>
        <w:t>3</w:t>
      </w:r>
      <w:r w:rsidRPr="0024124C">
        <w:rPr>
          <w:rFonts w:ascii="Times New Roman" w:hAnsi="Times New Roman" w:cs="Times New Roman"/>
          <w:b/>
          <w:bCs/>
          <w:color w:val="auto"/>
          <w:sz w:val="24"/>
          <w:szCs w:val="24"/>
        </w:rPr>
        <w:t>. Trend of Foreign Direct Investment inflows in SSA</w:t>
      </w:r>
      <w:bookmarkEnd w:id="5"/>
    </w:p>
    <w:p w14:paraId="09818EDE" w14:textId="77777777"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noProof/>
          <w:sz w:val="24"/>
          <w:szCs w:val="24"/>
        </w:rPr>
        <w:drawing>
          <wp:inline distT="0" distB="0" distL="0" distR="0" wp14:anchorId="238B1D65" wp14:editId="517F2886">
            <wp:extent cx="5815965" cy="2059537"/>
            <wp:effectExtent l="0" t="0" r="13335"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CA81D9" w14:textId="77777777" w:rsidR="0068437F" w:rsidRPr="0068437F" w:rsidRDefault="0068437F" w:rsidP="00916F6A">
      <w:pPr>
        <w:pStyle w:val="Caption"/>
        <w:spacing w:line="360" w:lineRule="auto"/>
        <w:jc w:val="both"/>
        <w:rPr>
          <w:rFonts w:ascii="Times New Roman" w:hAnsi="Times New Roman" w:cs="Times New Roman"/>
          <w:b/>
          <w:bCs/>
          <w:color w:val="auto"/>
          <w:sz w:val="24"/>
          <w:szCs w:val="24"/>
        </w:rPr>
      </w:pPr>
      <w:r w:rsidRPr="0024124C">
        <w:rPr>
          <w:rFonts w:ascii="Times New Roman" w:hAnsi="Times New Roman" w:cs="Times New Roman"/>
          <w:b/>
          <w:bCs/>
          <w:color w:val="auto"/>
          <w:sz w:val="24"/>
          <w:szCs w:val="24"/>
        </w:rPr>
        <w:t xml:space="preserve">Source: World Bank </w:t>
      </w:r>
      <w:r>
        <w:rPr>
          <w:rFonts w:ascii="Times New Roman" w:hAnsi="Times New Roman" w:cs="Times New Roman"/>
          <w:b/>
          <w:bCs/>
          <w:color w:val="auto"/>
          <w:sz w:val="24"/>
          <w:szCs w:val="24"/>
        </w:rPr>
        <w:t>(</w:t>
      </w:r>
      <w:r w:rsidRPr="0024124C">
        <w:rPr>
          <w:rFonts w:ascii="Times New Roman" w:hAnsi="Times New Roman" w:cs="Times New Roman"/>
          <w:b/>
          <w:bCs/>
          <w:color w:val="auto"/>
          <w:sz w:val="24"/>
          <w:szCs w:val="24"/>
        </w:rPr>
        <w:t>2023)</w:t>
      </w:r>
    </w:p>
    <w:p w14:paraId="5A238A51" w14:textId="28E36D90"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There is a view that FDI promotes growth not only directly by augmenting capital formation in the recipient economy, but also indirectly by inducing human capital growth, helping technology transfers, and strengthening competition (Kneller &amp; Pisu, 2007). FDI allows businesses cheaper and/or easier access to financial capital, which can be used to expand their existing operations or construct new plants and factories, all of which can impact the production process and the adoption of modern energy sources. Since energy related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is expected to have increased by 40-110% by 2030 (IPCC, 2007), technological transfers through FDI inflows can aid in renewable energy adoption and, in the reduction of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in the region.</w:t>
      </w:r>
    </w:p>
    <w:p w14:paraId="22233E23" w14:textId="788B380F" w:rsidR="0024124C" w:rsidRPr="0024124C" w:rsidRDefault="0068437F" w:rsidP="00916F6A">
      <w:pPr>
        <w:spacing w:line="360" w:lineRule="auto"/>
        <w:jc w:val="both"/>
        <w:rPr>
          <w:rFonts w:ascii="Times New Roman" w:hAnsi="Times New Roman" w:cs="Times New Roman"/>
          <w:sz w:val="24"/>
          <w:szCs w:val="24"/>
        </w:rPr>
      </w:pPr>
      <w:r>
        <w:rPr>
          <w:rFonts w:ascii="Times New Roman" w:hAnsi="Times New Roman" w:cs="Times New Roman"/>
          <w:sz w:val="24"/>
          <w:szCs w:val="24"/>
        </w:rPr>
        <w:t>Nevertheless</w:t>
      </w:r>
      <w:r w:rsidR="0024124C" w:rsidRPr="0024124C">
        <w:rPr>
          <w:rFonts w:ascii="Times New Roman" w:hAnsi="Times New Roman" w:cs="Times New Roman"/>
          <w:sz w:val="24"/>
          <w:szCs w:val="24"/>
        </w:rPr>
        <w:t xml:space="preserve">, there are concerns that FDI inflows can have significant negative impact on the recipient economy.  For example, Zhang (2011) has shown that FDI plays a pivotal role in the increase of </w:t>
      </w:r>
      <w:r w:rsidR="0024124C" w:rsidRPr="0024124C">
        <w:rPr>
          <w:rStyle w:val="A1"/>
          <w:rFonts w:ascii="Times New Roman" w:hAnsi="Times New Roman" w:cs="Times New Roman"/>
          <w:sz w:val="24"/>
          <w:szCs w:val="24"/>
        </w:rPr>
        <w:t>CO</w:t>
      </w:r>
      <w:r w:rsidR="0024124C" w:rsidRPr="0024124C">
        <w:rPr>
          <w:rStyle w:val="A2"/>
          <w:rFonts w:ascii="Times New Roman" w:hAnsi="Times New Roman" w:cs="Times New Roman"/>
          <w:sz w:val="24"/>
          <w:szCs w:val="24"/>
          <w:vertAlign w:val="subscript"/>
        </w:rPr>
        <w:t>2</w:t>
      </w:r>
      <w:r w:rsidR="0024124C" w:rsidRPr="0024124C">
        <w:rPr>
          <w:rFonts w:ascii="Times New Roman" w:hAnsi="Times New Roman" w:cs="Times New Roman"/>
          <w:sz w:val="24"/>
          <w:szCs w:val="24"/>
        </w:rPr>
        <w:t xml:space="preserve"> emissions in China. Xing and Kolstad (2002) reported that a positive relationship exists between FDI and pollutant emissions in the host countries. This premise on the notion that, when governments attract FDI to accelerate their economic growth this may instigate foreign investors to relocate their manufacturing plants from home countries with stringent environmental policies on environmental quality, to less developed countries with lax environmental policies. Relocating manufacturing plants that are largely powered by fossil fuels (because they are cheaper) to less developed countries including SSA countries would increase the consumption of fossil fuel in the region and further increase CO</w:t>
      </w:r>
      <w:r w:rsidR="0024124C" w:rsidRPr="0024124C">
        <w:rPr>
          <w:rFonts w:ascii="Times New Roman" w:hAnsi="Times New Roman" w:cs="Times New Roman"/>
          <w:sz w:val="24"/>
          <w:szCs w:val="24"/>
          <w:vertAlign w:val="subscript"/>
        </w:rPr>
        <w:t>2</w:t>
      </w:r>
      <w:r w:rsidR="0024124C" w:rsidRPr="0024124C">
        <w:rPr>
          <w:rFonts w:ascii="Times New Roman" w:hAnsi="Times New Roman" w:cs="Times New Roman"/>
          <w:sz w:val="24"/>
          <w:szCs w:val="24"/>
        </w:rPr>
        <w:t xml:space="preserve"> emissions. Moreover, several studies have shown negative </w:t>
      </w:r>
      <w:r w:rsidR="0024124C" w:rsidRPr="0024124C">
        <w:rPr>
          <w:rFonts w:ascii="Times New Roman" w:hAnsi="Times New Roman" w:cs="Times New Roman"/>
          <w:sz w:val="24"/>
          <w:szCs w:val="24"/>
        </w:rPr>
        <w:lastRenderedPageBreak/>
        <w:t xml:space="preserve">impact of fossil fuels on </w:t>
      </w:r>
      <w:r w:rsidR="0024124C" w:rsidRPr="0024124C">
        <w:rPr>
          <w:rStyle w:val="A1"/>
          <w:rFonts w:ascii="Times New Roman" w:hAnsi="Times New Roman" w:cs="Times New Roman"/>
          <w:sz w:val="24"/>
          <w:szCs w:val="24"/>
        </w:rPr>
        <w:t>CO</w:t>
      </w:r>
      <w:r w:rsidR="0024124C" w:rsidRPr="0024124C">
        <w:rPr>
          <w:rStyle w:val="A2"/>
          <w:rFonts w:ascii="Times New Roman" w:hAnsi="Times New Roman" w:cs="Times New Roman"/>
          <w:sz w:val="24"/>
          <w:szCs w:val="24"/>
          <w:vertAlign w:val="subscript"/>
        </w:rPr>
        <w:t>2</w:t>
      </w:r>
      <w:r w:rsidR="0024124C" w:rsidRPr="0024124C">
        <w:rPr>
          <w:rFonts w:ascii="Times New Roman" w:hAnsi="Times New Roman" w:cs="Times New Roman"/>
          <w:sz w:val="24"/>
          <w:szCs w:val="24"/>
        </w:rPr>
        <w:t xml:space="preserve"> emissions (Boontome et al., 2017; Liu et al., 2017; Lotz &amp; Dogan, 2018; Adu &amp; Denkyirah, 2019). </w:t>
      </w:r>
    </w:p>
    <w:p w14:paraId="2ECE8349" w14:textId="13F7596F"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 xml:space="preserve">None-the-less, Foreign Direct Investment has emerged as a catalytic force, which could propel the growth of renewable energy infrastructure across the globe. As international investors increasingly recognize the potential returns in the renewable sector, host countries could experience an influx of capital, leading to the development of state-of-the-art wind, solar, and hydroelectric projects. This surge in FDI </w:t>
      </w:r>
      <w:r w:rsidR="00490F97">
        <w:rPr>
          <w:rFonts w:ascii="Times New Roman" w:hAnsi="Times New Roman" w:cs="Times New Roman"/>
          <w:sz w:val="24"/>
          <w:szCs w:val="24"/>
        </w:rPr>
        <w:t>would</w:t>
      </w:r>
      <w:r w:rsidRPr="0024124C">
        <w:rPr>
          <w:rFonts w:ascii="Times New Roman" w:hAnsi="Times New Roman" w:cs="Times New Roman"/>
          <w:sz w:val="24"/>
          <w:szCs w:val="24"/>
        </w:rPr>
        <w:t xml:space="preserve"> not only bolster the financial viability of these initiatives but </w:t>
      </w:r>
      <w:r w:rsidR="003B2826">
        <w:rPr>
          <w:rFonts w:ascii="Times New Roman" w:hAnsi="Times New Roman" w:cs="Times New Roman"/>
          <w:sz w:val="24"/>
          <w:szCs w:val="24"/>
        </w:rPr>
        <w:t>could</w:t>
      </w:r>
      <w:r w:rsidRPr="0024124C">
        <w:rPr>
          <w:rFonts w:ascii="Times New Roman" w:hAnsi="Times New Roman" w:cs="Times New Roman"/>
          <w:sz w:val="24"/>
          <w:szCs w:val="24"/>
        </w:rPr>
        <w:t xml:space="preserve"> accelerate the deployment of cutting-edge technologies, making renewable energy more competitive and accessible.</w:t>
      </w:r>
      <w:r w:rsidR="00490F97">
        <w:rPr>
          <w:rFonts w:ascii="Times New Roman" w:hAnsi="Times New Roman" w:cs="Times New Roman"/>
          <w:sz w:val="24"/>
          <w:szCs w:val="24"/>
        </w:rPr>
        <w:t xml:space="preserve"> </w:t>
      </w:r>
      <w:r w:rsidRPr="0024124C">
        <w:rPr>
          <w:rFonts w:ascii="Times New Roman" w:hAnsi="Times New Roman" w:cs="Times New Roman"/>
          <w:sz w:val="24"/>
          <w:szCs w:val="24"/>
        </w:rPr>
        <w:t>Perhaps, FDI in renewable energy projects could be a potent driver of economic diversification.</w:t>
      </w:r>
    </w:p>
    <w:p w14:paraId="6BAB79B7" w14:textId="77777777"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 xml:space="preserve">Whereas, FDI has become increasingly important, few details have been discussed on its environmental impact to the recipient country, especially in the Sub-Saharan African (SSA) context. Indeed, the rising FDI inflow in developing countries raises an important question regarding whether it has any environmental consequence, on renewable energy consumption, especially as FDI inflows to African countries hit a record of $83 billion in 2021 and $73.89 billion in SSA countries (United Nations Conference on Trade and Development [UNCTAD], 2022). </w:t>
      </w:r>
    </w:p>
    <w:p w14:paraId="1AD749EE" w14:textId="1156CCCB" w:rsidR="00D2117F" w:rsidRDefault="00D2117F"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Despite Sub-Saharan Africa possessing abundant renewable energy sources, the region still faces challenges in providing universal energy access. Renewable energy projects, especially off-grid solutions, can offer opportunities to bridge the gap and reach remote areas. Perhaps, adequate financing and investment could be crucial for scaling up renewable energy projects. Intensive renewable energy use can be a panacea to sustainable development in SSA countries by enhancing economic growth without increasing environmental degradation caused by productive activities in the economy. Moreover, many international environmental and energy organization such as the International Energy Agency (IEA) and the International Renewable Energy Agency (IRENA) among many others have claimed that renewable energy resources can offer a significant opportunity for the economic development and environmental quality improvement for many countries around the word (Kahia et al., 2017a). Lee (2019) considered renewable energy development as an effective approach to decrease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and achieve sustainable development goals (SDGs).</w:t>
      </w:r>
    </w:p>
    <w:p w14:paraId="41EBEBF8" w14:textId="5C5F4075" w:rsidR="005123E0" w:rsidRDefault="005123E0" w:rsidP="00916F6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Over time, </w:t>
      </w:r>
      <w:r w:rsidRPr="005123E0">
        <w:rPr>
          <w:rFonts w:ascii="Times New Roman" w:hAnsi="Times New Roman" w:cs="Times New Roman"/>
          <w:sz w:val="24"/>
          <w:szCs w:val="24"/>
        </w:rPr>
        <w:t>Sub-Saharan African countries have implemented various policies to address carbon emissions, often as part of broader climate change strategies.</w:t>
      </w:r>
      <w:r>
        <w:rPr>
          <w:rFonts w:ascii="Times New Roman" w:hAnsi="Times New Roman" w:cs="Times New Roman"/>
          <w:sz w:val="24"/>
          <w:szCs w:val="24"/>
        </w:rPr>
        <w:t xml:space="preserve"> </w:t>
      </w:r>
      <w:r w:rsidRPr="005123E0">
        <w:rPr>
          <w:rFonts w:ascii="Times New Roman" w:hAnsi="Times New Roman" w:cs="Times New Roman"/>
          <w:sz w:val="24"/>
          <w:szCs w:val="24"/>
        </w:rPr>
        <w:t>Under the Paris Agreement, countries in SSA have submitted NDCs, outlining their commitments to reducing emissions and adapting to climate change. However, these commitments vary significantly in ambition and feasibility. For instance, South Africa, the region's largest emitter, pledged to peak its emissions between 2020 and 2025 and to reduce them thereafter. Other countries like Kenya and Nigeria have set more modest targets, often conditional on international support. A key challenge is the implementation of these NDCs, given the region's limited financial and technical resources</w:t>
      </w:r>
      <w:r>
        <w:rPr>
          <w:rFonts w:ascii="Times New Roman" w:hAnsi="Times New Roman" w:cs="Times New Roman"/>
          <w:sz w:val="24"/>
          <w:szCs w:val="24"/>
        </w:rPr>
        <w:t xml:space="preserve">. </w:t>
      </w:r>
      <w:r w:rsidRPr="005123E0">
        <w:rPr>
          <w:rFonts w:ascii="Times New Roman" w:hAnsi="Times New Roman" w:cs="Times New Roman"/>
          <w:sz w:val="24"/>
          <w:szCs w:val="24"/>
        </w:rPr>
        <w:t>Several SSA countries are promoting renewable energy as a way to reduce carbon emissions. South Africa, Kenya, and Ethiopia have made significant investments in solar, wind, and geothermal energy. For example, South Africa's Renewable Energy Independent Power Producer Procurement Programme (REIPPPP) has added over 6,000 MW of renewable energy capacity since its inception in 2011. However, the region's overall energy mix remains heavily reliant on fossil fuels, particularly coal and oil.</w:t>
      </w:r>
    </w:p>
    <w:p w14:paraId="4D38B78C" w14:textId="4334D280" w:rsidR="007E3F91" w:rsidRDefault="007E3F91" w:rsidP="00916F6A">
      <w:pPr>
        <w:spacing w:line="360" w:lineRule="auto"/>
        <w:jc w:val="both"/>
        <w:rPr>
          <w:rFonts w:ascii="Times New Roman" w:hAnsi="Times New Roman" w:cs="Times New Roman"/>
          <w:sz w:val="24"/>
          <w:szCs w:val="24"/>
        </w:rPr>
      </w:pPr>
      <w:r w:rsidRPr="007E3F91">
        <w:rPr>
          <w:rFonts w:ascii="Times New Roman" w:hAnsi="Times New Roman" w:cs="Times New Roman"/>
          <w:sz w:val="24"/>
          <w:szCs w:val="24"/>
        </w:rPr>
        <w:t xml:space="preserve">Policies on climate change causes by carbon emissions in Sub-Saharan Africa are evolving, but they face significant challenges. The region's low contribution to global emissions is overshadowed by its high vulnerability to climate impacts. While there are promising initiatives in renewable energy </w:t>
      </w:r>
      <w:r>
        <w:rPr>
          <w:rFonts w:ascii="Times New Roman" w:hAnsi="Times New Roman" w:cs="Times New Roman"/>
          <w:sz w:val="24"/>
          <w:szCs w:val="24"/>
        </w:rPr>
        <w:t>utilization</w:t>
      </w:r>
      <w:r w:rsidRPr="007E3F91">
        <w:rPr>
          <w:rFonts w:ascii="Times New Roman" w:hAnsi="Times New Roman" w:cs="Times New Roman"/>
          <w:sz w:val="24"/>
          <w:szCs w:val="24"/>
        </w:rPr>
        <w:t>, these are often undermined by limited resources, institutional weaknesses, and competing development priorities. For SSA to effectively address carbon emissions, there needs to be a greater alignment between climate goals and economic development, supported by increased international financial and technical assistance.</w:t>
      </w:r>
    </w:p>
    <w:p w14:paraId="7E59BEC8" w14:textId="314512B8" w:rsidR="0024124C" w:rsidRPr="0024124C" w:rsidRDefault="00D2117F" w:rsidP="00916F6A">
      <w:pPr>
        <w:spacing w:line="360" w:lineRule="auto"/>
        <w:jc w:val="both"/>
        <w:rPr>
          <w:rFonts w:ascii="Times New Roman" w:hAnsi="Times New Roman" w:cs="Times New Roman"/>
          <w:b/>
          <w:bCs/>
          <w:sz w:val="24"/>
          <w:szCs w:val="24"/>
        </w:rPr>
      </w:pPr>
      <w:r w:rsidRPr="0024124C">
        <w:rPr>
          <w:rFonts w:ascii="Times New Roman" w:hAnsi="Times New Roman" w:cs="Times New Roman"/>
          <w:sz w:val="24"/>
          <w:szCs w:val="24"/>
        </w:rPr>
        <w:t xml:space="preserve">Although previous researchers have investigated the linkage between </w:t>
      </w:r>
      <w:r>
        <w:rPr>
          <w:rFonts w:ascii="Times New Roman" w:hAnsi="Times New Roman" w:cs="Times New Roman"/>
          <w:sz w:val="24"/>
          <w:szCs w:val="24"/>
        </w:rPr>
        <w:t xml:space="preserve">FDI inflows and macroeconomic variables like </w:t>
      </w:r>
      <w:r w:rsidRPr="0024124C">
        <w:rPr>
          <w:rFonts w:ascii="Times New Roman" w:hAnsi="Times New Roman" w:cs="Times New Roman"/>
          <w:sz w:val="24"/>
          <w:szCs w:val="24"/>
        </w:rPr>
        <w:t>energy consumption, economic growth and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they did not include the effect of FDI inflows in the nexus focusing on SSA countries. It therefore becomes imperative to evaluate the impact of FDI inflows on </w:t>
      </w:r>
      <w:r>
        <w:rPr>
          <w:rFonts w:ascii="Times New Roman" w:hAnsi="Times New Roman" w:cs="Times New Roman"/>
          <w:sz w:val="24"/>
          <w:szCs w:val="24"/>
        </w:rPr>
        <w:t>renewable energy consumption</w:t>
      </w:r>
      <w:r w:rsidRPr="0024124C">
        <w:rPr>
          <w:rFonts w:ascii="Times New Roman" w:hAnsi="Times New Roman" w:cs="Times New Roman"/>
          <w:sz w:val="24"/>
          <w:szCs w:val="24"/>
        </w:rPr>
        <w:t xml:space="preserve"> in Sub-</w:t>
      </w:r>
      <w:r>
        <w:rPr>
          <w:rFonts w:ascii="Times New Roman" w:hAnsi="Times New Roman" w:cs="Times New Roman"/>
          <w:sz w:val="24"/>
          <w:szCs w:val="24"/>
        </w:rPr>
        <w:t xml:space="preserve">Saharan Africa, considering the role of environmental policies. </w:t>
      </w:r>
      <w:r w:rsidRPr="0024124C">
        <w:rPr>
          <w:rFonts w:ascii="Times New Roman" w:hAnsi="Times New Roman" w:cs="Times New Roman"/>
          <w:sz w:val="24"/>
          <w:szCs w:val="24"/>
        </w:rPr>
        <w:t xml:space="preserve"> </w:t>
      </w:r>
      <w:r w:rsidR="0024124C" w:rsidRPr="0024124C">
        <w:rPr>
          <w:rFonts w:ascii="Times New Roman" w:hAnsi="Times New Roman" w:cs="Times New Roman"/>
          <w:sz w:val="24"/>
          <w:szCs w:val="24"/>
        </w:rPr>
        <w:t xml:space="preserve">This study aims at evaluating the impact of foreign direct investment (FDI) inflow on </w:t>
      </w:r>
      <w:r w:rsidR="0024124C" w:rsidRPr="0024124C">
        <w:rPr>
          <w:rStyle w:val="A1"/>
          <w:rFonts w:ascii="Times New Roman" w:hAnsi="Times New Roman" w:cs="Times New Roman"/>
          <w:sz w:val="24"/>
          <w:szCs w:val="24"/>
        </w:rPr>
        <w:t>renewable energy consumption</w:t>
      </w:r>
      <w:r w:rsidR="0024124C" w:rsidRPr="0024124C">
        <w:rPr>
          <w:rFonts w:ascii="Times New Roman" w:hAnsi="Times New Roman" w:cs="Times New Roman"/>
          <w:sz w:val="24"/>
          <w:szCs w:val="24"/>
        </w:rPr>
        <w:t xml:space="preserve"> in Sub-Saharan African (SSA) countries. </w:t>
      </w:r>
    </w:p>
    <w:p w14:paraId="1B4F4D53" w14:textId="77777777" w:rsidR="00916F6A" w:rsidRDefault="00916F6A" w:rsidP="00916F6A">
      <w:pPr>
        <w:spacing w:line="360" w:lineRule="auto"/>
        <w:rPr>
          <w:rFonts w:ascii="Times New Roman" w:hAnsi="Times New Roman" w:cs="Times New Roman"/>
          <w:b/>
          <w:bCs/>
          <w:sz w:val="24"/>
          <w:szCs w:val="24"/>
        </w:rPr>
      </w:pPr>
    </w:p>
    <w:p w14:paraId="2C794125" w14:textId="103E6B9A" w:rsidR="00DA2057" w:rsidRPr="0024124C" w:rsidRDefault="007C0CAC" w:rsidP="00916F6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DA2057" w:rsidRPr="0024124C">
        <w:rPr>
          <w:rFonts w:ascii="Times New Roman" w:hAnsi="Times New Roman" w:cs="Times New Roman"/>
          <w:b/>
          <w:bCs/>
          <w:sz w:val="24"/>
          <w:szCs w:val="24"/>
        </w:rPr>
        <w:t>Literature Review</w:t>
      </w:r>
    </w:p>
    <w:p w14:paraId="50D60CEB" w14:textId="589C1BA1" w:rsidR="0024124C" w:rsidRPr="0024124C" w:rsidRDefault="0024124C" w:rsidP="00916F6A">
      <w:pPr>
        <w:spacing w:line="360" w:lineRule="auto"/>
        <w:jc w:val="both"/>
        <w:rPr>
          <w:rFonts w:ascii="Times New Roman" w:hAnsi="Times New Roman" w:cs="Times New Roman"/>
          <w:sz w:val="24"/>
          <w:szCs w:val="24"/>
        </w:rPr>
      </w:pPr>
      <w:r w:rsidRPr="0024124C">
        <w:rPr>
          <w:rFonts w:ascii="Times New Roman" w:hAnsi="Times New Roman" w:cs="Times New Roman"/>
          <w:sz w:val="24"/>
          <w:szCs w:val="24"/>
        </w:rPr>
        <w:t>The relationship between Foreign Direct Investment (FDI) and renewable energy consumption can be analyzed through various economic theories.</w:t>
      </w:r>
      <w:r w:rsidR="00D2117F">
        <w:rPr>
          <w:rFonts w:ascii="Times New Roman" w:hAnsi="Times New Roman" w:cs="Times New Roman"/>
          <w:sz w:val="24"/>
          <w:szCs w:val="24"/>
        </w:rPr>
        <w:t xml:space="preserve"> The pollution havens and pollution halo hypothesis are considered in this study.</w:t>
      </w:r>
      <w:r w:rsidR="00421E1F">
        <w:rPr>
          <w:rFonts w:ascii="Times New Roman" w:hAnsi="Times New Roman" w:cs="Times New Roman"/>
          <w:sz w:val="24"/>
          <w:szCs w:val="24"/>
        </w:rPr>
        <w:t xml:space="preserve"> </w:t>
      </w:r>
      <w:r w:rsidRPr="0024124C">
        <w:rPr>
          <w:rFonts w:ascii="Times New Roman" w:hAnsi="Times New Roman" w:cs="Times New Roman"/>
          <w:sz w:val="24"/>
          <w:szCs w:val="24"/>
        </w:rPr>
        <w:t xml:space="preserve">The Pollution Halo Hypothesis and the Pollution Haven Hypothesis are two contrasting perspectives on the relationship between environmental regulations, foreign direct investment (FDI), and pollution. </w:t>
      </w:r>
    </w:p>
    <w:p w14:paraId="38CC7D6F" w14:textId="329C4C7E" w:rsidR="0024124C" w:rsidRPr="0024124C" w:rsidRDefault="0024124C" w:rsidP="00916F6A">
      <w:pPr>
        <w:spacing w:after="0" w:line="360" w:lineRule="auto"/>
        <w:jc w:val="both"/>
        <w:rPr>
          <w:rFonts w:ascii="Times New Roman" w:hAnsi="Times New Roman" w:cs="Times New Roman"/>
          <w:sz w:val="24"/>
          <w:szCs w:val="24"/>
        </w:rPr>
      </w:pPr>
      <w:r w:rsidRPr="0024124C">
        <w:rPr>
          <w:rFonts w:ascii="Times New Roman" w:hAnsi="Times New Roman" w:cs="Times New Roman"/>
          <w:sz w:val="24"/>
          <w:szCs w:val="24"/>
        </w:rPr>
        <w:t>The term "pollution haven hypothesis" was popularized in academic literature, and scholars like J. Peter Neary and Gene Grossman have contributed to discussions on this topic. The Pollution Haven Hypothesis argues that firms will seek to avoid the cost of stringent environmental regulations (and high energy prices) by locating production in countries where environmental norms are flexible. Higher energy prices are indeed associated with higher outward FDI stock at the firm-level. However, the effects are small with respect to other drivers of FDI. The pollution haven hypothesis posits that jurisdiction with weak environmental regulations – ‘pollution havens’ – will attract polluting industries relocating from more stringent locales, thereby increasing nonrenewable energy consumption and increasing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in the recipient countries.</w:t>
      </w:r>
      <w:r w:rsidR="00421E1F">
        <w:rPr>
          <w:rFonts w:ascii="Times New Roman" w:hAnsi="Times New Roman" w:cs="Times New Roman"/>
          <w:sz w:val="24"/>
          <w:szCs w:val="24"/>
        </w:rPr>
        <w:t xml:space="preserve"> </w:t>
      </w:r>
      <w:r w:rsidRPr="0024124C">
        <w:rPr>
          <w:rFonts w:ascii="Times New Roman" w:hAnsi="Times New Roman" w:cs="Times New Roman"/>
          <w:sz w:val="24"/>
          <w:szCs w:val="24"/>
        </w:rPr>
        <w:t>In contrast, the Pollution Halo Hypothesis posits that the FDI inflows instigates innovative production process and technological advancement thereby promoting efficiency and improved productivity which can enhance the adoption of energy efficient production process and can lead to decline in CO</w:t>
      </w:r>
      <w:r w:rsidRPr="0024124C">
        <w:rPr>
          <w:rFonts w:ascii="Times New Roman" w:hAnsi="Times New Roman" w:cs="Times New Roman"/>
          <w:sz w:val="24"/>
          <w:szCs w:val="24"/>
          <w:vertAlign w:val="subscript"/>
        </w:rPr>
        <w:t>2</w:t>
      </w:r>
      <w:r w:rsidRPr="0024124C">
        <w:rPr>
          <w:rFonts w:ascii="Times New Roman" w:hAnsi="Times New Roman" w:cs="Times New Roman"/>
          <w:sz w:val="24"/>
          <w:szCs w:val="24"/>
        </w:rPr>
        <w:t xml:space="preserve"> emissions.  This hypothesis suggests that FDI can lead to the diffusion of advanced technologies from foreign investors to domestic entities. In the renewable energy sector, this could manifest as the transfer of knowledge, skills, and best practices, enhancing the capabilities of local industries and encouraging wider adoption of renewable technologies.</w:t>
      </w:r>
      <w:r w:rsidR="001D5955">
        <w:rPr>
          <w:rFonts w:ascii="Times New Roman" w:hAnsi="Times New Roman" w:cs="Times New Roman"/>
          <w:sz w:val="24"/>
          <w:szCs w:val="24"/>
        </w:rPr>
        <w:t xml:space="preserve"> </w:t>
      </w:r>
      <w:r w:rsidRPr="0024124C">
        <w:rPr>
          <w:rFonts w:ascii="Times New Roman" w:hAnsi="Times New Roman" w:cs="Times New Roman"/>
          <w:sz w:val="24"/>
          <w:szCs w:val="24"/>
        </w:rPr>
        <w:t>Advocates of the Pollution Halo Hypothesis argue that strong environmental policies can enhance a country's reputation, potentially attracting FDI from industries that prioritize sustainability. This hypothesis aligns with the idea that businesses, in order to maintain a positive public image, may prefer to operate in countries with robust environmental regulations.</w:t>
      </w:r>
    </w:p>
    <w:p w14:paraId="17F4E444" w14:textId="2928A352" w:rsidR="0024124C" w:rsidRPr="0024124C" w:rsidRDefault="0024124C" w:rsidP="00916F6A">
      <w:pPr>
        <w:spacing w:after="0" w:line="360" w:lineRule="auto"/>
        <w:jc w:val="both"/>
        <w:rPr>
          <w:rFonts w:ascii="Times New Roman" w:hAnsi="Times New Roman" w:cs="Times New Roman"/>
          <w:sz w:val="24"/>
          <w:szCs w:val="24"/>
        </w:rPr>
      </w:pPr>
      <w:r w:rsidRPr="0024124C">
        <w:rPr>
          <w:rFonts w:ascii="Times New Roman" w:hAnsi="Times New Roman" w:cs="Times New Roman"/>
          <w:sz w:val="24"/>
          <w:szCs w:val="24"/>
        </w:rPr>
        <w:t xml:space="preserve">Both the Pollution Halo and Pollution Haven hypothesis have been investigated extensively in the existing literature due to global environmental issues such as global warming and climate change (Aliyu, 2005; Ayadi, 2014; Lundh, 2017; Guzel &amp; Okumus, 2020). The establishment of regional and sub-regional economic groups in SSA countries have necessitated intensive FDI inflows </w:t>
      </w:r>
      <w:r w:rsidRPr="0024124C">
        <w:rPr>
          <w:rFonts w:ascii="Times New Roman" w:hAnsi="Times New Roman" w:cs="Times New Roman"/>
          <w:sz w:val="24"/>
          <w:szCs w:val="24"/>
        </w:rPr>
        <w:lastRenderedPageBreak/>
        <w:t>accompanied by intensive energy use. The above theor</w:t>
      </w:r>
      <w:r w:rsidR="0025675F">
        <w:rPr>
          <w:rFonts w:ascii="Times New Roman" w:hAnsi="Times New Roman" w:cs="Times New Roman"/>
          <w:sz w:val="24"/>
          <w:szCs w:val="24"/>
        </w:rPr>
        <w:t>ies</w:t>
      </w:r>
      <w:r w:rsidRPr="0024124C">
        <w:rPr>
          <w:rFonts w:ascii="Times New Roman" w:hAnsi="Times New Roman" w:cs="Times New Roman"/>
          <w:sz w:val="24"/>
          <w:szCs w:val="24"/>
        </w:rPr>
        <w:t xml:space="preserve"> therefore </w:t>
      </w:r>
      <w:r w:rsidR="008665C2" w:rsidRPr="0024124C">
        <w:rPr>
          <w:rFonts w:ascii="Times New Roman" w:hAnsi="Times New Roman" w:cs="Times New Roman"/>
          <w:sz w:val="24"/>
          <w:szCs w:val="24"/>
        </w:rPr>
        <w:t>suit</w:t>
      </w:r>
      <w:r w:rsidRPr="0024124C">
        <w:rPr>
          <w:rFonts w:ascii="Times New Roman" w:hAnsi="Times New Roman" w:cs="Times New Roman"/>
          <w:sz w:val="24"/>
          <w:szCs w:val="24"/>
        </w:rPr>
        <w:t xml:space="preserve"> the objective to uncover the extent to which FDI inflows impact renewable energy usage in SSA countries either positively (Pollution Halo) or negatively (Pollution Havens). </w:t>
      </w:r>
    </w:p>
    <w:p w14:paraId="122D3390" w14:textId="4AC8CF69" w:rsidR="0024124C" w:rsidRPr="0024124C" w:rsidRDefault="0025675F" w:rsidP="00916F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Another theory worth noting is</w:t>
      </w:r>
      <w:r w:rsidR="0024124C" w:rsidRPr="0024124C">
        <w:rPr>
          <w:rFonts w:ascii="Times New Roman" w:hAnsi="Times New Roman" w:cs="Times New Roman"/>
          <w:sz w:val="24"/>
          <w:szCs w:val="24"/>
        </w:rPr>
        <w:t xml:space="preserve"> the Institutional theory</w:t>
      </w:r>
      <w:r>
        <w:rPr>
          <w:rFonts w:ascii="Times New Roman" w:hAnsi="Times New Roman" w:cs="Times New Roman"/>
          <w:sz w:val="24"/>
          <w:szCs w:val="24"/>
        </w:rPr>
        <w:t>, which e</w:t>
      </w:r>
      <w:r w:rsidR="0024124C" w:rsidRPr="0024124C">
        <w:rPr>
          <w:rFonts w:ascii="Times New Roman" w:hAnsi="Times New Roman" w:cs="Times New Roman"/>
          <w:sz w:val="24"/>
          <w:szCs w:val="24"/>
        </w:rPr>
        <w:t>mphasizes the importance of regulatory frameworks and institutions in shaping economic outcomes. FDI in renewable energy can be influenced by the host country's policies, incentives, and regulatory environment. Countries with clear and supportive regulations may attract more FDI, leading to increased renewable energy consumption.</w:t>
      </w:r>
    </w:p>
    <w:p w14:paraId="1EC541CB" w14:textId="77777777"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There have been numerous studies on the relationship between FDI and other economic variables, most especially economic growth, with most witnessing a positive effect of FDI inflow on the economic growth of the host country (Ngonadi et al., 2020; Mujtaba &amp; Jena, 2021; Chen et al., 2023). There have been increasing studies on FDI and renewable energy consumption in both developed and developing countries, due to the increase in carbon emissions from nonrenewable energy usage in most countries arising from rise in FDI. Various research has been conducted on the effects of FDI on carbon emission but not much on the relationship between FDI and renewable energy consumption. Their results still need to be clarified due to contradictions in their findings (Amuakwa-Mensah &amp; Adom, 2017; Hishan et al., 2019; Agyeman et al., 2022; Amoah et al., 2023).</w:t>
      </w:r>
    </w:p>
    <w:p w14:paraId="1079DDDE" w14:textId="77777777"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Moreso, a couple of empirical studies have explored the relationship between FDI and renewable energy consumption in Sub-Saharan Africa. This region has attracted FDI as it offers various investment opportunities, including natural resources, infrastructure development, and emerging markets. The relationship between FDI and renewable energy consumption in Sub-Saharan Africa is complex, and findings vary across studies.</w:t>
      </w:r>
    </w:p>
    <w:p w14:paraId="2E414E50" w14:textId="77777777"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Some studies suggest a negative correlation between FDI and renewable energy consumption. This relationship can be attributed to the fact that FDI often leads to increased industrial activity, which, in turn, can result in expatriate and multinational companies relocating their production plants from countries with stringent environmental policies to countries with weak environmental policies, usually underdeveloped countries, leading to higher use on nonrenewable energy sources and increasing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For example, Omri et al. (2014) investigated the causality between renewable energy consumption, FDI and economic growth using dynamic simultaneous-equation panel data for a global 54 countries over the period 1990-2011. They did analysis for 3 regional </w:t>
      </w:r>
      <w:r w:rsidRPr="0025675F">
        <w:rPr>
          <w:rFonts w:ascii="Times New Roman" w:hAnsi="Times New Roman" w:cs="Times New Roman"/>
          <w:sz w:val="24"/>
          <w:szCs w:val="24"/>
        </w:rPr>
        <w:lastRenderedPageBreak/>
        <w:t>sub-panels (Europe and Central Asia, Latin America and the Caribbean, and the Middle East, North Africa, and Sub-Saharan Africa). They discovered bidirectional causality between FDI and economic growth for all panels, and bidirectional causality between FDI and renewable energy consumption for all the panels except Europe and North Asia. Their findings also show bidirectional causality between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and economic growth for the Middle East, North Africa, and Sub-Saharan Africa panel. Whereas, unidirectional causality was found to run from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to economic growth for Europe and Central Asia, and Latin America and the Caribbean panels. In like manner, Chen et al. (2023) argued that FDI inflows had an unfavourable effect on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This was supported by Nhuong and Quang (2022) who discovered that FDI inflows is positively associated with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Vietnam. </w:t>
      </w:r>
    </w:p>
    <w:p w14:paraId="1A66238A" w14:textId="1F06D4E2"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In another stud</w:t>
      </w:r>
      <w:r w:rsidR="0025675F">
        <w:rPr>
          <w:rFonts w:ascii="Times New Roman" w:hAnsi="Times New Roman" w:cs="Times New Roman"/>
          <w:sz w:val="24"/>
          <w:szCs w:val="24"/>
        </w:rPr>
        <w:t>ies</w:t>
      </w:r>
      <w:r w:rsidRPr="0025675F">
        <w:rPr>
          <w:rFonts w:ascii="Times New Roman" w:hAnsi="Times New Roman" w:cs="Times New Roman"/>
          <w:sz w:val="24"/>
          <w:szCs w:val="24"/>
        </w:rPr>
        <w:t>, Mahmood et al. (2019a, 2019b), using spatial econometrics, found that FDI increases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East Asia countries through nonrenewable energy usage. With the use of GMM and panel Granger causality test, Shahbaz et al. (2019) discovered that the inflows of FDI into Middle East and North Africa reduces environmental quality in the region. Assi (2018) also discovered that FDI increases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Ivory Coast</w:t>
      </w:r>
      <w:r w:rsidR="00327493">
        <w:rPr>
          <w:rFonts w:ascii="Times New Roman" w:hAnsi="Times New Roman" w:cs="Times New Roman"/>
          <w:sz w:val="24"/>
          <w:szCs w:val="24"/>
        </w:rPr>
        <w:t>,</w:t>
      </w:r>
      <w:r w:rsidRPr="0025675F">
        <w:rPr>
          <w:rFonts w:ascii="Times New Roman" w:hAnsi="Times New Roman" w:cs="Times New Roman"/>
          <w:sz w:val="24"/>
          <w:szCs w:val="24"/>
        </w:rPr>
        <w:t xml:space="preserve"> while Bediako et al. (2022) found that FDI significantly increases per capita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w:t>
      </w:r>
      <w:r w:rsidR="00327493">
        <w:rPr>
          <w:rFonts w:ascii="Times New Roman" w:hAnsi="Times New Roman" w:cs="Times New Roman"/>
          <w:sz w:val="24"/>
          <w:szCs w:val="24"/>
        </w:rPr>
        <w:t xml:space="preserve"> in west African countries,</w:t>
      </w:r>
      <w:r w:rsidRPr="0025675F">
        <w:rPr>
          <w:rFonts w:ascii="Times New Roman" w:hAnsi="Times New Roman" w:cs="Times New Roman"/>
          <w:sz w:val="24"/>
          <w:szCs w:val="24"/>
        </w:rPr>
        <w:t xml:space="preserve"> which was attributed to numerous emissions from usage of nonrenewable energy resources by multinational companies in </w:t>
      </w:r>
      <w:r w:rsidR="00327493">
        <w:rPr>
          <w:rFonts w:ascii="Times New Roman" w:hAnsi="Times New Roman" w:cs="Times New Roman"/>
          <w:sz w:val="24"/>
          <w:szCs w:val="24"/>
        </w:rPr>
        <w:t>the region</w:t>
      </w:r>
      <w:r w:rsidRPr="0025675F">
        <w:rPr>
          <w:rFonts w:ascii="Times New Roman" w:hAnsi="Times New Roman" w:cs="Times New Roman"/>
          <w:sz w:val="24"/>
          <w:szCs w:val="24"/>
        </w:rPr>
        <w:t>.</w:t>
      </w:r>
    </w:p>
    <w:p w14:paraId="67626AC4" w14:textId="18A7D504"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In supporting the Pollution Halo hypothesis, other studies have found a positive relationship. These studies argue that FDI can lead to the transfer of cleaner technologies and better environmental practices through investment in clean energy and adoption of activities that support environmental cleanliness, and reducing emissions (Paramati et al., 2017). Some of these findings includes the study by Mert and Boluk (2016) who evaluated the impact of FDI and renewable energy consumption on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21 Kyoto countries using panel ARDL method. They discovered that FDI reduces environmental quality. Demena and Afesorgbor (2020) also examined these phenomena by using meta-analysis on 65 primary studies. They equally realized that FDI improves environmental</w:t>
      </w:r>
      <w:r w:rsidR="0025675F">
        <w:rPr>
          <w:rFonts w:ascii="Times New Roman" w:hAnsi="Times New Roman" w:cs="Times New Roman"/>
          <w:sz w:val="24"/>
          <w:szCs w:val="24"/>
        </w:rPr>
        <w:t xml:space="preserve"> </w:t>
      </w:r>
      <w:r w:rsidRPr="0025675F">
        <w:rPr>
          <w:rFonts w:ascii="Times New Roman" w:hAnsi="Times New Roman" w:cs="Times New Roman"/>
          <w:sz w:val="24"/>
          <w:szCs w:val="24"/>
        </w:rPr>
        <w:t>quality thus validating the Pollution Halo Hypothesis. Similarly, Khan and Ahmad (2021) discovered that long-term FDI inflows increases renewable energy consumption and reduces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Moreso, Twum et al. (2022) study showed that FDI inflows in SSA reduces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addition, Nihayah et al. (2022) found a negative relationship between FDI inflows and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Central and Eastern European countries. This can be due to the </w:t>
      </w:r>
      <w:r w:rsidRPr="0025675F">
        <w:rPr>
          <w:rFonts w:ascii="Times New Roman" w:hAnsi="Times New Roman" w:cs="Times New Roman"/>
          <w:sz w:val="24"/>
          <w:szCs w:val="24"/>
        </w:rPr>
        <w:lastRenderedPageBreak/>
        <w:t>strict environmental laws and policies implemented in the respective countries to reduce the unfavourable impacts of FDI inflows on the ecology.</w:t>
      </w:r>
    </w:p>
    <w:p w14:paraId="45A6BF2A" w14:textId="79A3AE13"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 xml:space="preserve">Moreso, some researchers believe that the inflow of FDI will automatically be accompanied with the adoption of very modern and internationally accepted standard of compliance in operations thus leading to the consumption of clean energy since they are already used to such practices (Nyeadi, 2022). Besides, the inflow of FDI in firms make the firms more capitalised to be able to adopt best form of energy in its operations. Some empirical evidences are available to support this view. For example, Paramati et al. (2016) using 20 emerging countries tested this link. With the use of ARDL and causality test, their study established that FDI has significant positive impact on the consumption of clean energy. Again, in their work to establish the factors influencing the consumption of clean energy in 31 sub-Saharan Africa, Kwakwa et al. (2021) noted among other factors is FDI inflows into the region. Their study made use of fixed effect and random effect estimators and FMOLS. </w:t>
      </w:r>
    </w:p>
    <w:p w14:paraId="132A4780" w14:textId="643DB593"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A few studies propose a non-linear relationship. Emmanuel et al. (2023) a</w:t>
      </w:r>
      <w:r w:rsidR="00A05CA3">
        <w:rPr>
          <w:rFonts w:ascii="Times New Roman" w:hAnsi="Times New Roman" w:cs="Times New Roman"/>
          <w:sz w:val="24"/>
          <w:szCs w:val="24"/>
        </w:rPr>
        <w:t>ss</w:t>
      </w:r>
      <w:r w:rsidRPr="0025675F">
        <w:rPr>
          <w:rFonts w:ascii="Times New Roman" w:hAnsi="Times New Roman" w:cs="Times New Roman"/>
          <w:sz w:val="24"/>
          <w:szCs w:val="24"/>
        </w:rPr>
        <w:t>essed the impact of both FDI and financial development on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47 SSA countries from 1999 to 2022 by grouping the countries into different income categories. Employing the pooled mean group autoregressive distributed lags (PMG-ARDL) method, their results present long-run relationship between the variables and supports the Pollution Hallo Hypothesis. However, the heterogeneity analysis shows mixed results. </w:t>
      </w:r>
    </w:p>
    <w:p w14:paraId="5805B5F7" w14:textId="77777777"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In contrast, Boamah et al. (2023) evaluated the relationship between FDI inflows, renewable energy consumption and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41 African countries from 2005 to 2019 utilizing the pooled OLS, fixed effects and random effects models, and GMM estimation techniques. Their results show that the pollution haven and halo hypothesis do no hold. Whereas FDI inflows was found to contribute to rising and falling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This finding shows that FDI inflows have both deleterious and advantageous effects. This implies that FDI has in one hand promoted technological transfers from developed countries to the host country, and on the hand enhanced conventional technologies and use of unclean energy.</w:t>
      </w:r>
    </w:p>
    <w:p w14:paraId="6FC6771C" w14:textId="7BB4DE2B"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Some other studies emphasize the role of moderating factors such as government policies, institutions, trade and the type of FDI in influencing the FDI-Renewable energy consumption -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relationship. Nyeadi (2023) examined the impact of financial development and FDI on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and clean energy in 44 SSA countries from 1998 to 2017 using the PMG-ARDL </w:t>
      </w:r>
      <w:r w:rsidRPr="0025675F">
        <w:rPr>
          <w:rFonts w:ascii="Times New Roman" w:hAnsi="Times New Roman" w:cs="Times New Roman"/>
          <w:sz w:val="24"/>
          <w:szCs w:val="24"/>
        </w:rPr>
        <w:lastRenderedPageBreak/>
        <w:t>approach. They discovered that financial development significantly reduces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while FDI significantly reduces it. Moreso, financial development was discovered to significantly increase clean energy while FDI has no significant relationship with clean energy adoption in the observed countries. Whereas, FDI significantly reduces clean energy and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in middle-income countries. Clean energy in their context is access to clean fuels and technologies for cooking. Further study can include access to clean energy for cooking while assessing the FDI inflows – renewable energy consumption relationship. In another study, Huang et al. (2022) examined the moderating role of economic development and regulatory utilizing a panel of G20 countries from 1996 to 2018, and found that FDI inflows is positively associated with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while both economic development and regulatory quality were found to negatively contribute to the impact of FDI on renewable energy consumption and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The implication of this study is that countries with higher levels of economic development and regulatory quality are more likely to mitigate CO</w:t>
      </w:r>
      <w:r w:rsidRPr="0025675F">
        <w:rPr>
          <w:rFonts w:ascii="Times New Roman" w:hAnsi="Times New Roman" w:cs="Times New Roman"/>
          <w:sz w:val="24"/>
          <w:szCs w:val="24"/>
          <w:vertAlign w:val="subscript"/>
        </w:rPr>
        <w:t>2</w:t>
      </w:r>
      <w:r w:rsidRPr="0025675F">
        <w:rPr>
          <w:rFonts w:ascii="Times New Roman" w:hAnsi="Times New Roman" w:cs="Times New Roman"/>
          <w:sz w:val="24"/>
          <w:szCs w:val="24"/>
        </w:rPr>
        <w:t xml:space="preserve"> emissions through renewable energy promotion.</w:t>
      </w:r>
    </w:p>
    <w:p w14:paraId="2BD46F79" w14:textId="24631418"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These reviewed studies offer valuable insights for policymakers in Sub-Saharan African countries. They highlight the need for a balanced approach to attracting FDI while ensuring environmental sustainability through appropriate regulations and incentives. In addition, some studies introduce innovative methodologies, such as panel data analysis, to better capture the complex relationship between FDI and renewable energy consumption in the region, while some studies focus on specific sectors (e.g., extractive industries, manufacturing) to understand how FDI affects emissions differently in each sector.</w:t>
      </w:r>
      <w:r w:rsidR="00C83DB4">
        <w:rPr>
          <w:rFonts w:ascii="Times New Roman" w:hAnsi="Times New Roman" w:cs="Times New Roman"/>
          <w:sz w:val="24"/>
          <w:szCs w:val="24"/>
        </w:rPr>
        <w:t xml:space="preserve"> </w:t>
      </w:r>
      <w:r w:rsidR="005F60BB">
        <w:rPr>
          <w:rFonts w:ascii="Times New Roman" w:hAnsi="Times New Roman" w:cs="Times New Roman"/>
          <w:sz w:val="24"/>
          <w:szCs w:val="24"/>
        </w:rPr>
        <w:t xml:space="preserve">The current study </w:t>
      </w:r>
      <w:r w:rsidR="001435C2">
        <w:rPr>
          <w:rFonts w:ascii="Times New Roman" w:hAnsi="Times New Roman" w:cs="Times New Roman"/>
          <w:sz w:val="24"/>
          <w:szCs w:val="24"/>
        </w:rPr>
        <w:t>expands</w:t>
      </w:r>
      <w:r w:rsidR="005F60BB">
        <w:rPr>
          <w:rFonts w:ascii="Times New Roman" w:hAnsi="Times New Roman" w:cs="Times New Roman"/>
          <w:sz w:val="24"/>
          <w:szCs w:val="24"/>
        </w:rPr>
        <w:t xml:space="preserve"> the scope of research by assessing the moderating role</w:t>
      </w:r>
      <w:r w:rsidR="001435C2">
        <w:rPr>
          <w:rFonts w:ascii="Times New Roman" w:hAnsi="Times New Roman" w:cs="Times New Roman"/>
          <w:sz w:val="24"/>
          <w:szCs w:val="24"/>
        </w:rPr>
        <w:t xml:space="preserve"> of policies on</w:t>
      </w:r>
      <w:r w:rsidR="005F60BB">
        <w:rPr>
          <w:rFonts w:ascii="Times New Roman" w:hAnsi="Times New Roman" w:cs="Times New Roman"/>
          <w:sz w:val="24"/>
          <w:szCs w:val="24"/>
        </w:rPr>
        <w:t xml:space="preserve"> environmental </w:t>
      </w:r>
      <w:r w:rsidR="001435C2">
        <w:rPr>
          <w:rFonts w:ascii="Times New Roman" w:hAnsi="Times New Roman" w:cs="Times New Roman"/>
          <w:sz w:val="24"/>
          <w:szCs w:val="24"/>
        </w:rPr>
        <w:t>sustainability</w:t>
      </w:r>
      <w:r w:rsidR="005F60BB">
        <w:rPr>
          <w:rFonts w:ascii="Times New Roman" w:hAnsi="Times New Roman" w:cs="Times New Roman"/>
          <w:sz w:val="24"/>
          <w:szCs w:val="24"/>
        </w:rPr>
        <w:t xml:space="preserve"> in the relationship between FDI inflows and renewable energy consumption in SSA countries.</w:t>
      </w:r>
    </w:p>
    <w:p w14:paraId="04E71F25" w14:textId="308C0AED" w:rsidR="00DA2057" w:rsidRPr="0025675F" w:rsidRDefault="007C0CAC" w:rsidP="00916F6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DA2057" w:rsidRPr="0025675F">
        <w:rPr>
          <w:rFonts w:ascii="Times New Roman" w:hAnsi="Times New Roman" w:cs="Times New Roman"/>
          <w:b/>
          <w:bCs/>
          <w:sz w:val="24"/>
          <w:szCs w:val="24"/>
        </w:rPr>
        <w:t>Research Method</w:t>
      </w:r>
    </w:p>
    <w:p w14:paraId="7FB0A739" w14:textId="107201F6" w:rsidR="001A61D2" w:rsidRPr="0025675F" w:rsidRDefault="001A61D2" w:rsidP="00916F6A">
      <w:pPr>
        <w:spacing w:line="360" w:lineRule="auto"/>
        <w:jc w:val="both"/>
        <w:rPr>
          <w:rFonts w:ascii="Times New Roman" w:hAnsi="Times New Roman" w:cs="Times New Roman"/>
          <w:sz w:val="24"/>
          <w:szCs w:val="24"/>
        </w:rPr>
      </w:pPr>
      <w:r w:rsidRPr="0025675F">
        <w:rPr>
          <w:rFonts w:ascii="Times New Roman" w:hAnsi="Times New Roman" w:cs="Times New Roman"/>
          <w:sz w:val="24"/>
          <w:szCs w:val="24"/>
        </w:rPr>
        <w:t>Upholding the pollution halo hypothesis argument, FDI inflows c</w:t>
      </w:r>
      <w:r w:rsidR="009231BB">
        <w:rPr>
          <w:rFonts w:ascii="Times New Roman" w:hAnsi="Times New Roman" w:cs="Times New Roman"/>
          <w:sz w:val="24"/>
          <w:szCs w:val="24"/>
        </w:rPr>
        <w:t>ould</w:t>
      </w:r>
      <w:r w:rsidRPr="0025675F">
        <w:rPr>
          <w:rFonts w:ascii="Times New Roman" w:hAnsi="Times New Roman" w:cs="Times New Roman"/>
          <w:sz w:val="24"/>
          <w:szCs w:val="24"/>
        </w:rPr>
        <w:t xml:space="preserve"> instigate investment in clean energy sources and the integration of eco-friendly activities into the operational and business activities of the firm (Paramati et al., 2017). In this light, the Pollution halo hypothesis </w:t>
      </w:r>
      <w:r w:rsidR="009231BB">
        <w:rPr>
          <w:rFonts w:ascii="Times New Roman" w:hAnsi="Times New Roman" w:cs="Times New Roman"/>
          <w:sz w:val="24"/>
          <w:szCs w:val="24"/>
        </w:rPr>
        <w:t>is</w:t>
      </w:r>
      <w:r w:rsidRPr="0025675F">
        <w:rPr>
          <w:rFonts w:ascii="Times New Roman" w:hAnsi="Times New Roman" w:cs="Times New Roman"/>
          <w:sz w:val="24"/>
          <w:szCs w:val="24"/>
        </w:rPr>
        <w:t xml:space="preserve"> adopted to examine the impact of foreign direct investment on renewable energy consumption in Sub Saharan African countries (Emmanuel et al., 2023; Boamah et al., 2023)</w:t>
      </w:r>
    </w:p>
    <w:p w14:paraId="20184330" w14:textId="77777777" w:rsidR="001A61D2" w:rsidRPr="0025675F" w:rsidRDefault="001A61D2" w:rsidP="00916F6A">
      <w:pPr>
        <w:spacing w:after="0" w:line="360" w:lineRule="auto"/>
        <w:jc w:val="both"/>
        <w:rPr>
          <w:rFonts w:ascii="Times New Roman" w:hAnsi="Times New Roman" w:cs="Times New Roman"/>
          <w:sz w:val="24"/>
          <w:szCs w:val="24"/>
        </w:rPr>
      </w:pPr>
      <w:r w:rsidRPr="0025675F">
        <w:rPr>
          <w:rFonts w:ascii="Times New Roman" w:hAnsi="Times New Roman" w:cs="Times New Roman"/>
          <w:sz w:val="24"/>
          <w:szCs w:val="24"/>
        </w:rPr>
        <w:t>The relationship between renewable energy consumption and foreign direct investment can be expressed through a multiple linear regression model (Omri et al., 2014):</w:t>
      </w:r>
    </w:p>
    <w:p w14:paraId="5DD63FBC" w14:textId="6B70DAA2" w:rsidR="001A61D2" w:rsidRPr="00501DB4" w:rsidRDefault="001A61D2" w:rsidP="00916F6A">
      <w:pPr>
        <w:spacing w:after="0" w:line="360" w:lineRule="auto"/>
        <w:jc w:val="center"/>
        <w:rPr>
          <w:rFonts w:ascii="Times New Roman" w:hAnsi="Times New Roman" w:cs="Times New Roman"/>
          <w:sz w:val="24"/>
          <w:szCs w:val="24"/>
        </w:rPr>
      </w:pPr>
      <w:r w:rsidRPr="00501DB4">
        <w:rPr>
          <w:rFonts w:ascii="Times New Roman" w:hAnsi="Times New Roman" w:cs="Times New Roman"/>
          <w:i/>
          <w:iCs/>
          <w:sz w:val="24"/>
          <w:szCs w:val="24"/>
        </w:rPr>
        <w:lastRenderedPageBreak/>
        <w:t>REC</w:t>
      </w:r>
      <w:r w:rsidRPr="00501DB4">
        <w:rPr>
          <w:rFonts w:ascii="Times New Roman" w:hAnsi="Times New Roman" w:cs="Times New Roman"/>
          <w:i/>
          <w:iCs/>
          <w:sz w:val="24"/>
          <w:szCs w:val="24"/>
          <w:vertAlign w:val="subscript"/>
        </w:rPr>
        <w:t xml:space="preserve"> </w:t>
      </w:r>
      <w:r w:rsidRPr="00501DB4">
        <w:rPr>
          <w:rFonts w:ascii="Times New Roman" w:hAnsi="Times New Roman" w:cs="Times New Roman"/>
          <w:i/>
          <w:iCs/>
          <w:sz w:val="24"/>
          <w:szCs w:val="24"/>
        </w:rPr>
        <w:t>= β</w:t>
      </w:r>
      <w:r w:rsidRPr="00501DB4">
        <w:rPr>
          <w:rFonts w:ascii="Times New Roman" w:hAnsi="Times New Roman" w:cs="Times New Roman"/>
          <w:i/>
          <w:iCs/>
          <w:sz w:val="24"/>
          <w:szCs w:val="24"/>
          <w:vertAlign w:val="subscript"/>
        </w:rPr>
        <w:t>0</w:t>
      </w:r>
      <w:r w:rsidRPr="00501DB4">
        <w:rPr>
          <w:rFonts w:ascii="Times New Roman" w:hAnsi="Times New Roman" w:cs="Times New Roman"/>
          <w:i/>
          <w:iCs/>
          <w:sz w:val="24"/>
          <w:szCs w:val="24"/>
        </w:rPr>
        <w:t xml:space="preserve"> + β</w:t>
      </w:r>
      <w:r w:rsidRPr="00501DB4">
        <w:rPr>
          <w:rFonts w:ascii="Times New Roman" w:hAnsi="Times New Roman" w:cs="Times New Roman"/>
          <w:i/>
          <w:iCs/>
          <w:sz w:val="24"/>
          <w:szCs w:val="24"/>
          <w:vertAlign w:val="subscript"/>
        </w:rPr>
        <w:t>1</w:t>
      </w:r>
      <w:r w:rsidRPr="00501DB4">
        <w:rPr>
          <w:rFonts w:ascii="Times New Roman" w:hAnsi="Times New Roman" w:cs="Times New Roman"/>
          <w:i/>
          <w:iCs/>
          <w:sz w:val="24"/>
          <w:szCs w:val="24"/>
        </w:rPr>
        <w:t xml:space="preserve"> FDI + β</w:t>
      </w:r>
      <w:r w:rsidRPr="00501DB4">
        <w:rPr>
          <w:rFonts w:ascii="Times New Roman" w:hAnsi="Times New Roman" w:cs="Times New Roman"/>
          <w:i/>
          <w:iCs/>
          <w:sz w:val="24"/>
          <w:szCs w:val="24"/>
          <w:vertAlign w:val="subscript"/>
        </w:rPr>
        <w:t>2</w:t>
      </w:r>
      <w:r w:rsidRPr="00501DB4">
        <w:rPr>
          <w:rFonts w:ascii="Times New Roman" w:hAnsi="Times New Roman" w:cs="Times New Roman"/>
          <w:i/>
          <w:iCs/>
          <w:sz w:val="24"/>
          <w:szCs w:val="24"/>
        </w:rPr>
        <w:t xml:space="preserve"> PS + ε</w:t>
      </w:r>
      <w:r w:rsidRPr="00501DB4">
        <w:rPr>
          <w:rFonts w:ascii="Times New Roman" w:hAnsi="Times New Roman" w:cs="Times New Roman"/>
          <w:sz w:val="24"/>
          <w:szCs w:val="24"/>
          <w:vertAlign w:val="superscript"/>
        </w:rPr>
        <w:tab/>
      </w:r>
      <w:r w:rsidRPr="00501DB4">
        <w:rPr>
          <w:rFonts w:ascii="Times New Roman" w:hAnsi="Times New Roman" w:cs="Times New Roman"/>
          <w:sz w:val="24"/>
          <w:szCs w:val="24"/>
          <w:vertAlign w:val="superscript"/>
        </w:rPr>
        <w:tab/>
      </w:r>
      <w:r w:rsidRPr="00501DB4">
        <w:rPr>
          <w:rFonts w:ascii="Times New Roman" w:hAnsi="Times New Roman" w:cs="Times New Roman"/>
          <w:sz w:val="24"/>
          <w:szCs w:val="24"/>
        </w:rPr>
        <w:tab/>
      </w:r>
      <w:r w:rsidRPr="00501DB4">
        <w:rPr>
          <w:rFonts w:ascii="Times New Roman" w:hAnsi="Times New Roman" w:cs="Times New Roman"/>
          <w:sz w:val="24"/>
          <w:szCs w:val="24"/>
        </w:rPr>
        <w:tab/>
      </w:r>
      <w:r w:rsidRPr="00501DB4">
        <w:rPr>
          <w:rFonts w:ascii="Times New Roman" w:hAnsi="Times New Roman" w:cs="Times New Roman"/>
          <w:sz w:val="24"/>
          <w:szCs w:val="24"/>
        </w:rPr>
        <w:tab/>
        <w:t>(1)</w:t>
      </w:r>
    </w:p>
    <w:p w14:paraId="7F57EB15" w14:textId="77777777" w:rsidR="001A61D2" w:rsidRPr="009231BB" w:rsidRDefault="001A61D2" w:rsidP="00916F6A">
      <w:pPr>
        <w:spacing w:after="0" w:line="360" w:lineRule="auto"/>
        <w:jc w:val="both"/>
        <w:rPr>
          <w:rFonts w:ascii="Times New Roman" w:hAnsi="Times New Roman" w:cs="Times New Roman"/>
          <w:sz w:val="24"/>
          <w:szCs w:val="24"/>
        </w:rPr>
      </w:pPr>
      <w:r w:rsidRPr="009231BB">
        <w:rPr>
          <w:rFonts w:ascii="Times New Roman" w:hAnsi="Times New Roman" w:cs="Times New Roman"/>
          <w:sz w:val="24"/>
          <w:szCs w:val="24"/>
        </w:rPr>
        <w:t xml:space="preserve">Where </w:t>
      </w:r>
      <w:r w:rsidRPr="009231BB">
        <w:rPr>
          <w:rFonts w:ascii="Times New Roman" w:hAnsi="Times New Roman" w:cs="Times New Roman"/>
          <w:i/>
          <w:iCs/>
          <w:sz w:val="24"/>
          <w:szCs w:val="24"/>
        </w:rPr>
        <w:t>REC</w:t>
      </w:r>
      <w:r w:rsidRPr="009231BB">
        <w:rPr>
          <w:rFonts w:ascii="Times New Roman" w:hAnsi="Times New Roman" w:cs="Times New Roman"/>
          <w:sz w:val="24"/>
          <w:szCs w:val="24"/>
        </w:rPr>
        <w:t xml:space="preserve"> is renewable energy consumption which is the share of energy consumed from renewable sources in the overall energy mix, </w:t>
      </w:r>
      <w:r w:rsidRPr="009231BB">
        <w:rPr>
          <w:rFonts w:ascii="Times New Roman" w:hAnsi="Times New Roman" w:cs="Times New Roman"/>
          <w:i/>
          <w:iCs/>
          <w:sz w:val="24"/>
          <w:szCs w:val="24"/>
        </w:rPr>
        <w:t xml:space="preserve">FDI </w:t>
      </w:r>
      <w:r w:rsidRPr="009231BB">
        <w:rPr>
          <w:rFonts w:ascii="Times New Roman" w:hAnsi="Times New Roman" w:cs="Times New Roman"/>
          <w:sz w:val="24"/>
          <w:szCs w:val="24"/>
        </w:rPr>
        <w:t xml:space="preserve">is foreign direct investment, </w:t>
      </w:r>
      <w:r w:rsidRPr="009231BB">
        <w:rPr>
          <w:rFonts w:ascii="Times New Roman" w:hAnsi="Times New Roman" w:cs="Times New Roman"/>
          <w:i/>
          <w:iCs/>
          <w:sz w:val="24"/>
          <w:szCs w:val="24"/>
        </w:rPr>
        <w:t xml:space="preserve">PS </w:t>
      </w:r>
      <w:r w:rsidRPr="009231BB">
        <w:rPr>
          <w:rFonts w:ascii="Times New Roman" w:hAnsi="Times New Roman" w:cs="Times New Roman"/>
          <w:sz w:val="24"/>
          <w:szCs w:val="24"/>
        </w:rPr>
        <w:t xml:space="preserve">is policy support and </w:t>
      </w:r>
      <w:r w:rsidRPr="009231BB">
        <w:rPr>
          <w:rFonts w:ascii="Times New Roman" w:hAnsi="Times New Roman" w:cs="Times New Roman"/>
          <w:i/>
          <w:iCs/>
          <w:sz w:val="24"/>
          <w:szCs w:val="24"/>
        </w:rPr>
        <w:t>ε</w:t>
      </w:r>
      <w:r w:rsidRPr="009231BB">
        <w:rPr>
          <w:rFonts w:ascii="Times New Roman" w:hAnsi="Times New Roman" w:cs="Times New Roman"/>
          <w:sz w:val="24"/>
          <w:szCs w:val="24"/>
        </w:rPr>
        <w:t xml:space="preserve"> is the error term. </w:t>
      </w:r>
      <w:r w:rsidRPr="009231BB">
        <w:rPr>
          <w:rFonts w:ascii="Times New Roman" w:hAnsi="Times New Roman" w:cs="Times New Roman"/>
          <w:i/>
          <w:iCs/>
          <w:sz w:val="24"/>
          <w:szCs w:val="24"/>
        </w:rPr>
        <w:t>β</w:t>
      </w:r>
      <w:r w:rsidRPr="009231BB">
        <w:rPr>
          <w:rFonts w:ascii="Times New Roman" w:hAnsi="Times New Roman" w:cs="Times New Roman"/>
          <w:i/>
          <w:iCs/>
          <w:sz w:val="24"/>
          <w:szCs w:val="24"/>
          <w:vertAlign w:val="subscript"/>
        </w:rPr>
        <w:t>0</w:t>
      </w:r>
      <w:r w:rsidRPr="009231BB">
        <w:rPr>
          <w:rFonts w:ascii="Times New Roman" w:hAnsi="Times New Roman" w:cs="Times New Roman"/>
          <w:i/>
          <w:iCs/>
          <w:sz w:val="24"/>
          <w:szCs w:val="24"/>
        </w:rPr>
        <w:t xml:space="preserve"> </w:t>
      </w:r>
      <w:r w:rsidRPr="009231BB">
        <w:rPr>
          <w:rFonts w:ascii="Times New Roman" w:hAnsi="Times New Roman" w:cs="Times New Roman"/>
          <w:sz w:val="24"/>
          <w:szCs w:val="24"/>
        </w:rPr>
        <w:t>is intercept,</w:t>
      </w:r>
      <w:r w:rsidRPr="009231BB">
        <w:rPr>
          <w:rFonts w:ascii="Times New Roman" w:hAnsi="Times New Roman" w:cs="Times New Roman"/>
          <w:i/>
          <w:iCs/>
          <w:sz w:val="24"/>
          <w:szCs w:val="24"/>
        </w:rPr>
        <w:t xml:space="preserve"> β</w:t>
      </w:r>
      <w:r w:rsidRPr="009231BB">
        <w:rPr>
          <w:rFonts w:ascii="Times New Roman" w:hAnsi="Times New Roman" w:cs="Times New Roman"/>
          <w:i/>
          <w:iCs/>
          <w:sz w:val="24"/>
          <w:szCs w:val="24"/>
          <w:vertAlign w:val="subscript"/>
        </w:rPr>
        <w:t>1</w:t>
      </w:r>
      <w:r w:rsidRPr="009231BB">
        <w:rPr>
          <w:rFonts w:ascii="Times New Roman" w:hAnsi="Times New Roman" w:cs="Times New Roman"/>
          <w:sz w:val="24"/>
          <w:szCs w:val="24"/>
        </w:rPr>
        <w:t xml:space="preserve"> and</w:t>
      </w:r>
      <w:r w:rsidRPr="009231BB">
        <w:rPr>
          <w:rFonts w:ascii="Times New Roman" w:hAnsi="Times New Roman" w:cs="Times New Roman"/>
          <w:i/>
          <w:iCs/>
          <w:sz w:val="24"/>
          <w:szCs w:val="24"/>
        </w:rPr>
        <w:t xml:space="preserve"> β</w:t>
      </w:r>
      <w:r w:rsidRPr="009231BB">
        <w:rPr>
          <w:rFonts w:ascii="Times New Roman" w:hAnsi="Times New Roman" w:cs="Times New Roman"/>
          <w:i/>
          <w:iCs/>
          <w:sz w:val="24"/>
          <w:szCs w:val="24"/>
          <w:vertAlign w:val="subscript"/>
        </w:rPr>
        <w:t>2</w:t>
      </w:r>
      <w:r w:rsidRPr="009231BB">
        <w:rPr>
          <w:rFonts w:ascii="Times New Roman" w:hAnsi="Times New Roman" w:cs="Times New Roman"/>
          <w:i/>
          <w:iCs/>
          <w:sz w:val="24"/>
          <w:szCs w:val="24"/>
        </w:rPr>
        <w:t xml:space="preserve"> </w:t>
      </w:r>
      <w:r w:rsidRPr="009231BB">
        <w:rPr>
          <w:rFonts w:ascii="Times New Roman" w:hAnsi="Times New Roman" w:cs="Times New Roman"/>
          <w:sz w:val="24"/>
          <w:szCs w:val="24"/>
        </w:rPr>
        <w:t>is the coefficient for FDI and PS.</w:t>
      </w:r>
    </w:p>
    <w:p w14:paraId="6AE27206" w14:textId="09E48E47" w:rsidR="001A61D2" w:rsidRPr="009231BB" w:rsidRDefault="001A61D2" w:rsidP="00916F6A">
      <w:pPr>
        <w:spacing w:after="0" w:line="360" w:lineRule="auto"/>
        <w:jc w:val="both"/>
        <w:rPr>
          <w:rFonts w:ascii="Times New Roman" w:hAnsi="Times New Roman" w:cs="Times New Roman"/>
          <w:sz w:val="24"/>
          <w:szCs w:val="24"/>
        </w:rPr>
      </w:pPr>
      <w:r w:rsidRPr="009231BB">
        <w:rPr>
          <w:rFonts w:ascii="Times New Roman" w:hAnsi="Times New Roman" w:cs="Times New Roman"/>
          <w:sz w:val="24"/>
          <w:szCs w:val="24"/>
        </w:rPr>
        <w:t>In order to examine the impact of FDI inflows on renewable energy consumption in SSA countries, other variables including trade openness, institutional quality and environmental policies are included in the model.</w:t>
      </w:r>
      <w:r w:rsidR="009231BB">
        <w:rPr>
          <w:rFonts w:ascii="Times New Roman" w:hAnsi="Times New Roman" w:cs="Times New Roman"/>
          <w:sz w:val="24"/>
          <w:szCs w:val="24"/>
        </w:rPr>
        <w:t xml:space="preserve"> This study investigates the impact of FDI inflows on renewable energy consumption by observing the 48 SSA countries over the 2016 to 2022 period.</w:t>
      </w:r>
      <w:r w:rsidRPr="009231BB">
        <w:rPr>
          <w:rFonts w:ascii="Times New Roman" w:hAnsi="Times New Roman" w:cs="Times New Roman"/>
          <w:sz w:val="24"/>
          <w:szCs w:val="24"/>
        </w:rPr>
        <w:t xml:space="preserve"> </w:t>
      </w:r>
    </w:p>
    <w:p w14:paraId="0C3D3184" w14:textId="77777777" w:rsidR="001A61D2" w:rsidRPr="009231BB" w:rsidRDefault="001A61D2" w:rsidP="00916F6A">
      <w:pPr>
        <w:spacing w:after="0" w:line="360" w:lineRule="auto"/>
        <w:jc w:val="both"/>
        <w:rPr>
          <w:rFonts w:ascii="Times New Roman" w:hAnsi="Times New Roman" w:cs="Times New Roman"/>
          <w:sz w:val="24"/>
          <w:szCs w:val="24"/>
        </w:rPr>
      </w:pPr>
      <w:r w:rsidRPr="009231BB">
        <w:rPr>
          <w:rFonts w:ascii="Times New Roman" w:hAnsi="Times New Roman" w:cs="Times New Roman"/>
          <w:sz w:val="24"/>
          <w:szCs w:val="24"/>
        </w:rPr>
        <w:t>The modified model is presented below:</w:t>
      </w:r>
    </w:p>
    <w:p w14:paraId="201F78BD" w14:textId="1E8E4BA2" w:rsidR="001A61D2" w:rsidRPr="009231BB" w:rsidRDefault="001A61D2" w:rsidP="00916F6A">
      <w:pPr>
        <w:spacing w:after="0" w:line="360" w:lineRule="auto"/>
        <w:jc w:val="both"/>
        <w:rPr>
          <w:rFonts w:ascii="Times New Roman" w:hAnsi="Times New Roman" w:cs="Times New Roman"/>
          <w:i/>
          <w:sz w:val="24"/>
          <w:szCs w:val="24"/>
        </w:rPr>
      </w:pPr>
      <w:r w:rsidRPr="009231BB">
        <w:rPr>
          <w:rFonts w:ascii="Times New Roman" w:hAnsi="Times New Roman" w:cs="Times New Roman"/>
          <w:i/>
          <w:sz w:val="24"/>
          <w:szCs w:val="24"/>
        </w:rPr>
        <w:t>REC</w:t>
      </w:r>
      <w:r w:rsidRPr="009231BB">
        <w:rPr>
          <w:rFonts w:ascii="Times New Roman" w:hAnsi="Times New Roman" w:cs="Times New Roman"/>
          <w:i/>
          <w:sz w:val="24"/>
          <w:szCs w:val="24"/>
          <w:vertAlign w:val="subscript"/>
        </w:rPr>
        <w:t>it</w:t>
      </w:r>
      <w:r w:rsidRPr="009231BB">
        <w:rPr>
          <w:rFonts w:ascii="Times New Roman" w:hAnsi="Times New Roman" w:cs="Times New Roman"/>
          <w:i/>
          <w:sz w:val="24"/>
          <w:szCs w:val="24"/>
        </w:rPr>
        <w:t>= β</w:t>
      </w:r>
      <w:r w:rsidRPr="009231BB">
        <w:rPr>
          <w:rFonts w:ascii="Times New Roman" w:hAnsi="Times New Roman" w:cs="Times New Roman"/>
          <w:i/>
          <w:sz w:val="24"/>
          <w:szCs w:val="24"/>
          <w:vertAlign w:val="subscript"/>
        </w:rPr>
        <w:t xml:space="preserve">0 </w:t>
      </w:r>
      <w:r w:rsidRPr="009231BB">
        <w:rPr>
          <w:rFonts w:ascii="Times New Roman" w:hAnsi="Times New Roman" w:cs="Times New Roman"/>
          <w:i/>
          <w:sz w:val="24"/>
          <w:szCs w:val="24"/>
        </w:rPr>
        <w:t>+ β</w:t>
      </w:r>
      <w:r w:rsidRPr="009231BB">
        <w:rPr>
          <w:rFonts w:ascii="Times New Roman" w:hAnsi="Times New Roman" w:cs="Times New Roman"/>
          <w:i/>
          <w:sz w:val="24"/>
          <w:szCs w:val="24"/>
          <w:vertAlign w:val="subscript"/>
        </w:rPr>
        <w:t>1i</w:t>
      </w:r>
      <w:r w:rsidRPr="009231BB">
        <w:rPr>
          <w:rFonts w:ascii="Times New Roman" w:hAnsi="Times New Roman" w:cs="Times New Roman"/>
          <w:i/>
          <w:sz w:val="24"/>
          <w:szCs w:val="24"/>
        </w:rPr>
        <w:t>REC</w:t>
      </w:r>
      <w:r w:rsidRPr="009231BB">
        <w:rPr>
          <w:rFonts w:ascii="Times New Roman" w:hAnsi="Times New Roman" w:cs="Times New Roman"/>
          <w:i/>
          <w:sz w:val="24"/>
          <w:szCs w:val="24"/>
          <w:vertAlign w:val="subscript"/>
        </w:rPr>
        <w:t xml:space="preserve">it-1 </w:t>
      </w:r>
      <w:r w:rsidRPr="009231BB">
        <w:rPr>
          <w:rFonts w:ascii="Times New Roman" w:hAnsi="Times New Roman" w:cs="Times New Roman"/>
          <w:i/>
          <w:sz w:val="24"/>
          <w:szCs w:val="24"/>
        </w:rPr>
        <w:t>+ β</w:t>
      </w:r>
      <w:r w:rsidRPr="009231BB">
        <w:rPr>
          <w:rFonts w:ascii="Times New Roman" w:hAnsi="Times New Roman" w:cs="Times New Roman"/>
          <w:i/>
          <w:sz w:val="24"/>
          <w:szCs w:val="24"/>
          <w:vertAlign w:val="subscript"/>
        </w:rPr>
        <w:t>2i</w:t>
      </w:r>
      <w:r w:rsidRPr="009231BB">
        <w:rPr>
          <w:rFonts w:ascii="Times New Roman" w:hAnsi="Times New Roman" w:cs="Times New Roman"/>
          <w:i/>
          <w:sz w:val="24"/>
          <w:szCs w:val="24"/>
        </w:rPr>
        <w:t>FDI</w:t>
      </w:r>
      <w:r w:rsidRPr="009231BB">
        <w:rPr>
          <w:rFonts w:ascii="Times New Roman" w:hAnsi="Times New Roman" w:cs="Times New Roman"/>
          <w:i/>
          <w:sz w:val="24"/>
          <w:szCs w:val="24"/>
          <w:vertAlign w:val="subscript"/>
        </w:rPr>
        <w:t xml:space="preserve">it </w:t>
      </w:r>
      <w:r w:rsidRPr="009231BB">
        <w:rPr>
          <w:rFonts w:ascii="Times New Roman" w:hAnsi="Times New Roman" w:cs="Times New Roman"/>
          <w:i/>
          <w:sz w:val="24"/>
          <w:szCs w:val="24"/>
        </w:rPr>
        <w:t>+ β</w:t>
      </w:r>
      <w:r w:rsidRPr="009231BB">
        <w:rPr>
          <w:rFonts w:ascii="Times New Roman" w:hAnsi="Times New Roman" w:cs="Times New Roman"/>
          <w:i/>
          <w:sz w:val="24"/>
          <w:szCs w:val="24"/>
          <w:vertAlign w:val="subscript"/>
        </w:rPr>
        <w:t>3i</w:t>
      </w:r>
      <w:r w:rsidRPr="009231BB">
        <w:rPr>
          <w:rFonts w:ascii="Times New Roman" w:hAnsi="Times New Roman" w:cs="Times New Roman"/>
          <w:i/>
          <w:sz w:val="24"/>
          <w:szCs w:val="24"/>
        </w:rPr>
        <w:t>TO</w:t>
      </w:r>
      <w:r w:rsidRPr="009231BB">
        <w:rPr>
          <w:rFonts w:ascii="Times New Roman" w:hAnsi="Times New Roman" w:cs="Times New Roman"/>
          <w:i/>
          <w:sz w:val="24"/>
          <w:szCs w:val="24"/>
          <w:vertAlign w:val="subscript"/>
        </w:rPr>
        <w:t xml:space="preserve">it </w:t>
      </w:r>
      <w:r w:rsidRPr="009231BB">
        <w:rPr>
          <w:rFonts w:ascii="Times New Roman" w:hAnsi="Times New Roman" w:cs="Times New Roman"/>
          <w:i/>
          <w:sz w:val="24"/>
          <w:szCs w:val="24"/>
        </w:rPr>
        <w:t>+ β</w:t>
      </w:r>
      <w:r w:rsidRPr="009231BB">
        <w:rPr>
          <w:rFonts w:ascii="Times New Roman" w:hAnsi="Times New Roman" w:cs="Times New Roman"/>
          <w:i/>
          <w:sz w:val="24"/>
          <w:szCs w:val="24"/>
          <w:vertAlign w:val="subscript"/>
        </w:rPr>
        <w:t>4i</w:t>
      </w:r>
      <w:r w:rsidRPr="009231BB">
        <w:rPr>
          <w:rFonts w:ascii="Times New Roman" w:hAnsi="Times New Roman" w:cs="Times New Roman"/>
          <w:i/>
          <w:sz w:val="24"/>
          <w:szCs w:val="24"/>
        </w:rPr>
        <w:t>IND</w:t>
      </w:r>
      <w:r w:rsidRPr="009231BB">
        <w:rPr>
          <w:rFonts w:ascii="Times New Roman" w:hAnsi="Times New Roman" w:cs="Times New Roman"/>
          <w:i/>
          <w:sz w:val="24"/>
          <w:szCs w:val="24"/>
          <w:vertAlign w:val="subscript"/>
        </w:rPr>
        <w:t>it</w:t>
      </w:r>
      <w:r w:rsidRPr="009231BB">
        <w:rPr>
          <w:rFonts w:ascii="Times New Roman" w:hAnsi="Times New Roman" w:cs="Times New Roman"/>
          <w:i/>
          <w:sz w:val="24"/>
          <w:szCs w:val="24"/>
        </w:rPr>
        <w:t xml:space="preserve"> + β</w:t>
      </w:r>
      <w:r w:rsidRPr="009231BB">
        <w:rPr>
          <w:rFonts w:ascii="Times New Roman" w:hAnsi="Times New Roman" w:cs="Times New Roman"/>
          <w:i/>
          <w:sz w:val="24"/>
          <w:szCs w:val="24"/>
          <w:vertAlign w:val="subscript"/>
        </w:rPr>
        <w:t>5i</w:t>
      </w:r>
      <w:r w:rsidRPr="009231BB">
        <w:rPr>
          <w:rFonts w:ascii="Times New Roman" w:hAnsi="Times New Roman" w:cs="Times New Roman"/>
          <w:i/>
          <w:sz w:val="24"/>
          <w:szCs w:val="24"/>
        </w:rPr>
        <w:t>IST</w:t>
      </w:r>
      <w:r w:rsidRPr="009231BB">
        <w:rPr>
          <w:rFonts w:ascii="Times New Roman" w:hAnsi="Times New Roman" w:cs="Times New Roman"/>
          <w:i/>
          <w:sz w:val="24"/>
          <w:szCs w:val="24"/>
          <w:vertAlign w:val="subscript"/>
        </w:rPr>
        <w:t>it</w:t>
      </w:r>
      <w:r w:rsidRPr="009231BB">
        <w:rPr>
          <w:rFonts w:ascii="Times New Roman" w:hAnsi="Times New Roman" w:cs="Times New Roman"/>
          <w:i/>
          <w:sz w:val="24"/>
          <w:szCs w:val="24"/>
        </w:rPr>
        <w:t xml:space="preserve"> + β</w:t>
      </w:r>
      <w:r w:rsidRPr="009231BB">
        <w:rPr>
          <w:rFonts w:ascii="Times New Roman" w:hAnsi="Times New Roman" w:cs="Times New Roman"/>
          <w:i/>
          <w:sz w:val="24"/>
          <w:szCs w:val="24"/>
          <w:vertAlign w:val="subscript"/>
        </w:rPr>
        <w:t>6i</w:t>
      </w:r>
      <w:r w:rsidRPr="009231BB">
        <w:rPr>
          <w:rFonts w:ascii="Times New Roman" w:hAnsi="Times New Roman" w:cs="Times New Roman"/>
          <w:i/>
          <w:sz w:val="24"/>
          <w:szCs w:val="24"/>
        </w:rPr>
        <w:t>EP+ ϑ</w:t>
      </w:r>
      <w:r w:rsidRPr="009231BB">
        <w:rPr>
          <w:rFonts w:ascii="Times New Roman" w:hAnsi="Times New Roman" w:cs="Times New Roman"/>
          <w:i/>
          <w:sz w:val="24"/>
          <w:szCs w:val="24"/>
          <w:vertAlign w:val="subscript"/>
        </w:rPr>
        <w:t>t</w:t>
      </w:r>
      <w:r w:rsidRPr="009231BB">
        <w:rPr>
          <w:rFonts w:ascii="Times New Roman" w:hAnsi="Times New Roman" w:cs="Times New Roman"/>
          <w:i/>
          <w:sz w:val="24"/>
          <w:szCs w:val="24"/>
        </w:rPr>
        <w:t xml:space="preserve"> + χ</w:t>
      </w:r>
      <w:r w:rsidRPr="009231BB">
        <w:rPr>
          <w:rFonts w:ascii="Times New Roman" w:hAnsi="Times New Roman" w:cs="Times New Roman"/>
          <w:i/>
          <w:sz w:val="24"/>
          <w:szCs w:val="24"/>
          <w:vertAlign w:val="subscript"/>
        </w:rPr>
        <w:t>i</w:t>
      </w:r>
      <w:r w:rsidRPr="009231BB">
        <w:rPr>
          <w:rFonts w:ascii="Times New Roman" w:hAnsi="Times New Roman" w:cs="Times New Roman"/>
          <w:i/>
          <w:sz w:val="24"/>
          <w:szCs w:val="24"/>
        </w:rPr>
        <w:t xml:space="preserve"> + ε</w:t>
      </w:r>
      <w:r w:rsidRPr="009231BB">
        <w:rPr>
          <w:rFonts w:ascii="Times New Roman" w:hAnsi="Times New Roman" w:cs="Times New Roman"/>
          <w:i/>
          <w:sz w:val="24"/>
          <w:szCs w:val="24"/>
          <w:vertAlign w:val="subscript"/>
        </w:rPr>
        <w:t>it</w:t>
      </w:r>
      <w:r w:rsidRPr="009231BB">
        <w:rPr>
          <w:rFonts w:ascii="Times New Roman" w:hAnsi="Times New Roman" w:cs="Times New Roman"/>
          <w:sz w:val="24"/>
          <w:szCs w:val="24"/>
        </w:rPr>
        <w:t xml:space="preserve"> </w:t>
      </w:r>
      <w:r w:rsidR="001D76B4">
        <w:rPr>
          <w:rFonts w:ascii="Times New Roman" w:hAnsi="Times New Roman" w:cs="Times New Roman"/>
          <w:sz w:val="24"/>
          <w:szCs w:val="24"/>
        </w:rPr>
        <w:tab/>
      </w:r>
      <w:r w:rsidR="001D76B4">
        <w:rPr>
          <w:rFonts w:ascii="Times New Roman" w:hAnsi="Times New Roman" w:cs="Times New Roman"/>
          <w:sz w:val="24"/>
          <w:szCs w:val="24"/>
        </w:rPr>
        <w:tab/>
      </w:r>
      <w:r w:rsidR="001D76B4">
        <w:rPr>
          <w:rFonts w:ascii="Times New Roman" w:hAnsi="Times New Roman" w:cs="Times New Roman"/>
          <w:sz w:val="24"/>
          <w:szCs w:val="24"/>
        </w:rPr>
        <w:tab/>
      </w:r>
      <w:r w:rsidR="001D76B4">
        <w:rPr>
          <w:rFonts w:ascii="Times New Roman" w:hAnsi="Times New Roman" w:cs="Times New Roman"/>
          <w:sz w:val="24"/>
          <w:szCs w:val="24"/>
        </w:rPr>
        <w:tab/>
      </w:r>
      <w:r w:rsidR="001D76B4">
        <w:rPr>
          <w:rFonts w:ascii="Times New Roman" w:hAnsi="Times New Roman" w:cs="Times New Roman"/>
          <w:sz w:val="24"/>
          <w:szCs w:val="24"/>
        </w:rPr>
        <w:tab/>
      </w:r>
      <w:r w:rsidR="001D76B4">
        <w:rPr>
          <w:rFonts w:ascii="Times New Roman" w:hAnsi="Times New Roman" w:cs="Times New Roman"/>
          <w:sz w:val="24"/>
          <w:szCs w:val="24"/>
        </w:rPr>
        <w:tab/>
      </w:r>
      <w:r w:rsidR="001D76B4">
        <w:rPr>
          <w:rFonts w:ascii="Times New Roman" w:hAnsi="Times New Roman" w:cs="Times New Roman"/>
          <w:sz w:val="24"/>
          <w:szCs w:val="24"/>
        </w:rPr>
        <w:tab/>
      </w:r>
      <w:r w:rsidR="001D76B4">
        <w:rPr>
          <w:rFonts w:ascii="Times New Roman" w:hAnsi="Times New Roman" w:cs="Times New Roman"/>
          <w:sz w:val="24"/>
          <w:szCs w:val="24"/>
        </w:rPr>
        <w:tab/>
      </w:r>
      <w:r w:rsidR="001D76B4">
        <w:rPr>
          <w:rFonts w:ascii="Times New Roman" w:hAnsi="Times New Roman" w:cs="Times New Roman"/>
          <w:sz w:val="24"/>
          <w:szCs w:val="24"/>
        </w:rPr>
        <w:tab/>
      </w:r>
      <w:r w:rsidR="001D76B4">
        <w:rPr>
          <w:rFonts w:ascii="Times New Roman" w:hAnsi="Times New Roman" w:cs="Times New Roman"/>
          <w:sz w:val="24"/>
          <w:szCs w:val="24"/>
        </w:rPr>
        <w:tab/>
      </w:r>
      <w:r w:rsidRPr="009231BB">
        <w:rPr>
          <w:rFonts w:ascii="Times New Roman" w:hAnsi="Times New Roman" w:cs="Times New Roman"/>
          <w:sz w:val="24"/>
          <w:szCs w:val="24"/>
        </w:rPr>
        <w:t>(</w:t>
      </w:r>
      <w:r w:rsidR="009231BB" w:rsidRPr="009231BB">
        <w:rPr>
          <w:rFonts w:ascii="Times New Roman" w:hAnsi="Times New Roman" w:cs="Times New Roman"/>
          <w:sz w:val="24"/>
          <w:szCs w:val="24"/>
        </w:rPr>
        <w:t>2</w:t>
      </w:r>
      <w:r w:rsidRPr="009231BB">
        <w:rPr>
          <w:rFonts w:ascii="Times New Roman" w:hAnsi="Times New Roman" w:cs="Times New Roman"/>
          <w:sz w:val="24"/>
          <w:szCs w:val="24"/>
        </w:rPr>
        <w:t>)</w:t>
      </w:r>
    </w:p>
    <w:p w14:paraId="0F6C10E3" w14:textId="3A286792" w:rsidR="001A61D2" w:rsidRPr="009231BB" w:rsidRDefault="001A61D2" w:rsidP="00916F6A">
      <w:pPr>
        <w:spacing w:after="0" w:line="360" w:lineRule="auto"/>
        <w:jc w:val="both"/>
        <w:rPr>
          <w:rFonts w:ascii="Times New Roman" w:hAnsi="Times New Roman" w:cs="Times New Roman"/>
          <w:sz w:val="24"/>
          <w:szCs w:val="24"/>
        </w:rPr>
      </w:pPr>
      <w:r w:rsidRPr="009231BB">
        <w:rPr>
          <w:rFonts w:ascii="Times New Roman" w:hAnsi="Times New Roman" w:cs="Times New Roman"/>
          <w:sz w:val="24"/>
          <w:szCs w:val="24"/>
        </w:rPr>
        <w:t xml:space="preserve">Where </w:t>
      </w:r>
      <w:r w:rsidRPr="009231BB">
        <w:rPr>
          <w:rFonts w:ascii="Times New Roman" w:hAnsi="Times New Roman" w:cs="Times New Roman"/>
          <w:i/>
          <w:iCs/>
          <w:sz w:val="24"/>
          <w:szCs w:val="24"/>
        </w:rPr>
        <w:t>REC</w:t>
      </w:r>
      <w:r w:rsidRPr="009231BB">
        <w:rPr>
          <w:rFonts w:ascii="Times New Roman" w:hAnsi="Times New Roman" w:cs="Times New Roman"/>
          <w:sz w:val="24"/>
          <w:szCs w:val="24"/>
          <w:vertAlign w:val="subscript"/>
        </w:rPr>
        <w:t xml:space="preserve"> </w:t>
      </w:r>
      <w:r w:rsidRPr="009231BB">
        <w:rPr>
          <w:rFonts w:ascii="Times New Roman" w:hAnsi="Times New Roman" w:cs="Times New Roman"/>
          <w:sz w:val="24"/>
          <w:szCs w:val="24"/>
        </w:rPr>
        <w:t xml:space="preserve">denotes renewable energy consumption estimated as the percentage of renewable energy consumption from total energy consumption, </w:t>
      </w:r>
      <w:r w:rsidRPr="009231BB">
        <w:rPr>
          <w:rFonts w:ascii="Times New Roman" w:hAnsi="Times New Roman" w:cs="Times New Roman"/>
          <w:i/>
          <w:iCs/>
          <w:sz w:val="24"/>
          <w:szCs w:val="24"/>
        </w:rPr>
        <w:t>FDI</w:t>
      </w:r>
      <w:r w:rsidRPr="009231BB">
        <w:rPr>
          <w:rFonts w:ascii="Times New Roman" w:hAnsi="Times New Roman" w:cs="Times New Roman"/>
          <w:sz w:val="24"/>
          <w:szCs w:val="24"/>
          <w:vertAlign w:val="subscript"/>
        </w:rPr>
        <w:t xml:space="preserve"> </w:t>
      </w:r>
      <w:r w:rsidRPr="009231BB">
        <w:rPr>
          <w:rFonts w:ascii="Times New Roman" w:hAnsi="Times New Roman" w:cs="Times New Roman"/>
          <w:sz w:val="24"/>
          <w:szCs w:val="24"/>
        </w:rPr>
        <w:t xml:space="preserve">denotes foreign direct investment net inflow which is the core explanatory variable and measured as a percentage of gross domestic product, </w:t>
      </w:r>
      <w:r w:rsidRPr="009231BB">
        <w:rPr>
          <w:rFonts w:ascii="Times New Roman" w:hAnsi="Times New Roman" w:cs="Times New Roman"/>
          <w:i/>
          <w:iCs/>
          <w:sz w:val="24"/>
          <w:szCs w:val="24"/>
        </w:rPr>
        <w:t>TO</w:t>
      </w:r>
      <w:r w:rsidRPr="009231BB">
        <w:rPr>
          <w:rFonts w:ascii="Times New Roman" w:hAnsi="Times New Roman" w:cs="Times New Roman"/>
          <w:sz w:val="24"/>
          <w:szCs w:val="24"/>
        </w:rPr>
        <w:t xml:space="preserve"> is trade openness which is estimated as the sum of exports and imports of goods and services measured as a share of gross domestic product,</w:t>
      </w:r>
      <w:r w:rsidRPr="009231BB">
        <w:rPr>
          <w:rFonts w:ascii="Times New Roman" w:hAnsi="Times New Roman" w:cs="Times New Roman"/>
          <w:i/>
          <w:iCs/>
          <w:sz w:val="24"/>
          <w:szCs w:val="24"/>
        </w:rPr>
        <w:t xml:space="preserve"> IND</w:t>
      </w:r>
      <w:r w:rsidRPr="009231BB">
        <w:rPr>
          <w:rFonts w:ascii="Times New Roman" w:hAnsi="Times New Roman" w:cs="Times New Roman"/>
          <w:sz w:val="24"/>
          <w:szCs w:val="24"/>
        </w:rPr>
        <w:t xml:space="preserve"> is industrialization estimated as industrial value added as a percentage of gross domestic product, </w:t>
      </w:r>
      <w:r w:rsidRPr="009231BB">
        <w:rPr>
          <w:rFonts w:ascii="Times New Roman" w:hAnsi="Times New Roman" w:cs="Times New Roman"/>
          <w:i/>
          <w:iCs/>
          <w:sz w:val="24"/>
          <w:szCs w:val="24"/>
        </w:rPr>
        <w:t>EP</w:t>
      </w:r>
      <w:r w:rsidRPr="009231BB">
        <w:rPr>
          <w:rFonts w:ascii="Times New Roman" w:hAnsi="Times New Roman" w:cs="Times New Roman"/>
          <w:sz w:val="24"/>
          <w:szCs w:val="24"/>
        </w:rPr>
        <w:t xml:space="preserve"> is environmental policies</w:t>
      </w:r>
      <w:r w:rsidR="002A5A4F">
        <w:rPr>
          <w:rFonts w:ascii="Times New Roman" w:hAnsi="Times New Roman" w:cs="Times New Roman"/>
          <w:sz w:val="24"/>
          <w:szCs w:val="24"/>
        </w:rPr>
        <w:t xml:space="preserve"> estimated as policies and laws on environmental sustainability</w:t>
      </w:r>
      <w:r w:rsidRPr="009231BB">
        <w:rPr>
          <w:rFonts w:ascii="Times New Roman" w:hAnsi="Times New Roman" w:cs="Times New Roman"/>
          <w:sz w:val="24"/>
          <w:szCs w:val="24"/>
        </w:rPr>
        <w:t xml:space="preserve">, while </w:t>
      </w:r>
      <w:r w:rsidRPr="009231BB">
        <w:rPr>
          <w:rFonts w:ascii="Times New Roman" w:hAnsi="Times New Roman" w:cs="Times New Roman"/>
          <w:i/>
          <w:iCs/>
          <w:sz w:val="24"/>
          <w:szCs w:val="24"/>
        </w:rPr>
        <w:t xml:space="preserve">IST </w:t>
      </w:r>
      <w:r w:rsidRPr="009231BB">
        <w:rPr>
          <w:rFonts w:ascii="Times New Roman" w:hAnsi="Times New Roman" w:cs="Times New Roman"/>
          <w:sz w:val="24"/>
          <w:szCs w:val="24"/>
        </w:rPr>
        <w:t>is institutional quality.</w:t>
      </w:r>
    </w:p>
    <w:p w14:paraId="3FD081A6" w14:textId="36BC1DA0" w:rsidR="001A61D2" w:rsidRPr="009231BB" w:rsidRDefault="001A61D2" w:rsidP="00916F6A">
      <w:pPr>
        <w:spacing w:after="0" w:line="360" w:lineRule="auto"/>
        <w:jc w:val="both"/>
        <w:rPr>
          <w:rFonts w:ascii="Times New Roman" w:hAnsi="Times New Roman" w:cs="Times New Roman"/>
          <w:sz w:val="24"/>
          <w:szCs w:val="24"/>
        </w:rPr>
      </w:pPr>
      <w:r w:rsidRPr="009231BB">
        <w:rPr>
          <w:rFonts w:ascii="Times New Roman" w:hAnsi="Times New Roman" w:cs="Times New Roman"/>
          <w:i/>
          <w:sz w:val="24"/>
          <w:szCs w:val="24"/>
        </w:rPr>
        <w:t>REC</w:t>
      </w:r>
      <w:r w:rsidRPr="009231BB">
        <w:rPr>
          <w:rFonts w:ascii="Times New Roman" w:hAnsi="Times New Roman" w:cs="Times New Roman"/>
          <w:i/>
          <w:sz w:val="24"/>
          <w:szCs w:val="24"/>
          <w:vertAlign w:val="subscript"/>
        </w:rPr>
        <w:t xml:space="preserve">it-1 </w:t>
      </w:r>
      <w:r w:rsidRPr="009231BB">
        <w:rPr>
          <w:rFonts w:ascii="Times New Roman" w:hAnsi="Times New Roman" w:cs="Times New Roman"/>
          <w:iCs/>
          <w:sz w:val="24"/>
          <w:szCs w:val="24"/>
        </w:rPr>
        <w:t xml:space="preserve">depicts the lag of renewable energy consumption included to account for the dynamic nature of the model. </w:t>
      </w:r>
      <w:r w:rsidRPr="009231BB">
        <w:rPr>
          <w:rFonts w:ascii="Times New Roman" w:hAnsi="Times New Roman" w:cs="Times New Roman"/>
          <w:sz w:val="24"/>
          <w:szCs w:val="24"/>
        </w:rPr>
        <w:t xml:space="preserve">The subscripts </w:t>
      </w:r>
      <w:r w:rsidRPr="009231BB">
        <w:rPr>
          <w:rFonts w:ascii="Times New Roman" w:hAnsi="Times New Roman" w:cs="Times New Roman"/>
          <w:i/>
          <w:sz w:val="24"/>
          <w:szCs w:val="24"/>
        </w:rPr>
        <w:t xml:space="preserve">i </w:t>
      </w:r>
      <w:r w:rsidRPr="009231BB">
        <w:rPr>
          <w:rFonts w:ascii="Times New Roman" w:hAnsi="Times New Roman" w:cs="Times New Roman"/>
          <w:sz w:val="24"/>
          <w:szCs w:val="24"/>
        </w:rPr>
        <w:t>and</w:t>
      </w:r>
      <w:r w:rsidRPr="009231BB">
        <w:rPr>
          <w:rFonts w:ascii="Times New Roman" w:hAnsi="Times New Roman" w:cs="Times New Roman"/>
          <w:i/>
          <w:sz w:val="24"/>
          <w:szCs w:val="24"/>
        </w:rPr>
        <w:t xml:space="preserve"> t</w:t>
      </w:r>
      <w:r w:rsidRPr="009231BB">
        <w:rPr>
          <w:rFonts w:ascii="Times New Roman" w:hAnsi="Times New Roman" w:cs="Times New Roman"/>
          <w:sz w:val="24"/>
          <w:szCs w:val="24"/>
        </w:rPr>
        <w:t xml:space="preserve"> represent country (48) and time (7) period respectively; ϑ</w:t>
      </w:r>
      <w:r w:rsidRPr="009231BB">
        <w:rPr>
          <w:rFonts w:ascii="Times New Roman" w:hAnsi="Times New Roman" w:cs="Times New Roman"/>
          <w:sz w:val="24"/>
          <w:szCs w:val="24"/>
          <w:vertAlign w:val="subscript"/>
        </w:rPr>
        <w:t>t</w:t>
      </w:r>
      <w:r w:rsidRPr="009231BB">
        <w:rPr>
          <w:rFonts w:ascii="Times New Roman" w:hAnsi="Times New Roman" w:cs="Times New Roman"/>
          <w:sz w:val="24"/>
          <w:szCs w:val="24"/>
        </w:rPr>
        <w:t xml:space="preserve"> is the time-specific effect; χ</w:t>
      </w:r>
      <w:r w:rsidRPr="009231BB">
        <w:rPr>
          <w:rFonts w:ascii="Times New Roman" w:hAnsi="Times New Roman" w:cs="Times New Roman"/>
          <w:sz w:val="24"/>
          <w:szCs w:val="24"/>
          <w:vertAlign w:val="subscript"/>
        </w:rPr>
        <w:t>i</w:t>
      </w:r>
      <w:r w:rsidRPr="009231BB">
        <w:rPr>
          <w:rFonts w:ascii="Times New Roman" w:hAnsi="Times New Roman" w:cs="Times New Roman"/>
          <w:sz w:val="24"/>
          <w:szCs w:val="24"/>
        </w:rPr>
        <w:t xml:space="preserve"> is the country-specific effect; ε</w:t>
      </w:r>
      <w:r w:rsidRPr="009231BB">
        <w:rPr>
          <w:rFonts w:ascii="Times New Roman" w:hAnsi="Times New Roman" w:cs="Times New Roman"/>
          <w:sz w:val="24"/>
          <w:szCs w:val="24"/>
          <w:vertAlign w:val="subscript"/>
        </w:rPr>
        <w:t>it</w:t>
      </w:r>
      <w:r w:rsidRPr="009231BB">
        <w:rPr>
          <w:rFonts w:ascii="Times New Roman" w:hAnsi="Times New Roman" w:cs="Times New Roman"/>
          <w:sz w:val="24"/>
          <w:szCs w:val="24"/>
        </w:rPr>
        <w:t xml:space="preserve"> is the stochastic error term that represents all other variables that can affect economic growth in SSA but not included in the model. </w:t>
      </w:r>
      <w:r w:rsidRPr="009231BB">
        <w:rPr>
          <w:rFonts w:ascii="Times New Roman" w:hAnsi="Times New Roman" w:cs="Times New Roman"/>
          <w:iCs/>
          <w:sz w:val="24"/>
          <w:szCs w:val="24"/>
        </w:rPr>
        <w:t xml:space="preserve">Moreso, </w:t>
      </w:r>
      <w:r w:rsidRPr="009231BB">
        <w:rPr>
          <w:rFonts w:ascii="Times New Roman" w:hAnsi="Times New Roman" w:cs="Times New Roman"/>
          <w:i/>
          <w:sz w:val="24"/>
          <w:szCs w:val="24"/>
        </w:rPr>
        <w:t>β</w:t>
      </w:r>
      <w:r w:rsidRPr="009231BB">
        <w:rPr>
          <w:rFonts w:ascii="Times New Roman" w:hAnsi="Times New Roman" w:cs="Times New Roman"/>
          <w:i/>
          <w:sz w:val="24"/>
          <w:szCs w:val="24"/>
          <w:vertAlign w:val="subscript"/>
        </w:rPr>
        <w:t>0</w:t>
      </w:r>
      <w:r w:rsidRPr="009231BB">
        <w:rPr>
          <w:rFonts w:ascii="Times New Roman" w:hAnsi="Times New Roman" w:cs="Times New Roman"/>
          <w:iCs/>
          <w:sz w:val="24"/>
          <w:szCs w:val="24"/>
        </w:rPr>
        <w:t xml:space="preserve"> is constant while </w:t>
      </w:r>
      <w:r w:rsidRPr="009231BB">
        <w:rPr>
          <w:rFonts w:ascii="Times New Roman" w:hAnsi="Times New Roman" w:cs="Times New Roman"/>
          <w:i/>
          <w:sz w:val="24"/>
          <w:szCs w:val="24"/>
        </w:rPr>
        <w:t>β</w:t>
      </w:r>
      <w:r w:rsidRPr="009231BB">
        <w:rPr>
          <w:rFonts w:ascii="Times New Roman" w:hAnsi="Times New Roman" w:cs="Times New Roman"/>
          <w:i/>
          <w:sz w:val="24"/>
          <w:szCs w:val="24"/>
          <w:vertAlign w:val="subscript"/>
        </w:rPr>
        <w:t>1i</w:t>
      </w:r>
      <w:r w:rsidRPr="009231BB">
        <w:rPr>
          <w:rFonts w:ascii="Times New Roman" w:hAnsi="Times New Roman" w:cs="Times New Roman"/>
          <w:iCs/>
          <w:sz w:val="24"/>
          <w:szCs w:val="24"/>
        </w:rPr>
        <w:t xml:space="preserve">, </w:t>
      </w:r>
      <w:r w:rsidRPr="009231BB">
        <w:rPr>
          <w:rFonts w:ascii="Times New Roman" w:hAnsi="Times New Roman" w:cs="Times New Roman"/>
          <w:i/>
          <w:sz w:val="24"/>
          <w:szCs w:val="24"/>
        </w:rPr>
        <w:t>β</w:t>
      </w:r>
      <w:r w:rsidRPr="009231BB">
        <w:rPr>
          <w:rFonts w:ascii="Times New Roman" w:hAnsi="Times New Roman" w:cs="Times New Roman"/>
          <w:i/>
          <w:sz w:val="24"/>
          <w:szCs w:val="24"/>
          <w:vertAlign w:val="subscript"/>
        </w:rPr>
        <w:t>2i</w:t>
      </w:r>
      <w:r w:rsidRPr="009231BB">
        <w:rPr>
          <w:rFonts w:ascii="Times New Roman" w:hAnsi="Times New Roman" w:cs="Times New Roman"/>
          <w:iCs/>
          <w:sz w:val="24"/>
          <w:szCs w:val="24"/>
        </w:rPr>
        <w:t xml:space="preserve">, </w:t>
      </w:r>
      <w:r w:rsidRPr="009231BB">
        <w:rPr>
          <w:rFonts w:ascii="Times New Roman" w:hAnsi="Times New Roman" w:cs="Times New Roman"/>
          <w:i/>
          <w:sz w:val="24"/>
          <w:szCs w:val="24"/>
        </w:rPr>
        <w:t>β</w:t>
      </w:r>
      <w:r w:rsidRPr="009231BB">
        <w:rPr>
          <w:rFonts w:ascii="Times New Roman" w:hAnsi="Times New Roman" w:cs="Times New Roman"/>
          <w:i/>
          <w:sz w:val="24"/>
          <w:szCs w:val="24"/>
          <w:vertAlign w:val="subscript"/>
        </w:rPr>
        <w:t>3i</w:t>
      </w:r>
      <w:r w:rsidRPr="009231BB">
        <w:rPr>
          <w:rFonts w:ascii="Times New Roman" w:hAnsi="Times New Roman" w:cs="Times New Roman"/>
          <w:iCs/>
          <w:sz w:val="24"/>
          <w:szCs w:val="24"/>
        </w:rPr>
        <w:t xml:space="preserve">, </w:t>
      </w:r>
      <w:r w:rsidRPr="009231BB">
        <w:rPr>
          <w:rFonts w:ascii="Times New Roman" w:hAnsi="Times New Roman" w:cs="Times New Roman"/>
          <w:i/>
          <w:sz w:val="24"/>
          <w:szCs w:val="24"/>
        </w:rPr>
        <w:t>β</w:t>
      </w:r>
      <w:r w:rsidRPr="009231BB">
        <w:rPr>
          <w:rFonts w:ascii="Times New Roman" w:hAnsi="Times New Roman" w:cs="Times New Roman"/>
          <w:i/>
          <w:sz w:val="24"/>
          <w:szCs w:val="24"/>
          <w:vertAlign w:val="subscript"/>
        </w:rPr>
        <w:t>4i</w:t>
      </w:r>
      <w:r w:rsidRPr="009231BB">
        <w:rPr>
          <w:rFonts w:ascii="Times New Roman" w:hAnsi="Times New Roman" w:cs="Times New Roman"/>
          <w:iCs/>
          <w:sz w:val="24"/>
          <w:szCs w:val="24"/>
        </w:rPr>
        <w:t xml:space="preserve">, </w:t>
      </w:r>
      <w:r w:rsidRPr="009231BB">
        <w:rPr>
          <w:rFonts w:ascii="Times New Roman" w:hAnsi="Times New Roman" w:cs="Times New Roman"/>
          <w:i/>
          <w:sz w:val="24"/>
          <w:szCs w:val="24"/>
        </w:rPr>
        <w:t>β</w:t>
      </w:r>
      <w:r w:rsidRPr="009231BB">
        <w:rPr>
          <w:rFonts w:ascii="Times New Roman" w:hAnsi="Times New Roman" w:cs="Times New Roman"/>
          <w:i/>
          <w:sz w:val="24"/>
          <w:szCs w:val="24"/>
          <w:vertAlign w:val="subscript"/>
        </w:rPr>
        <w:t>5i</w:t>
      </w:r>
      <w:r w:rsidRPr="009231BB">
        <w:rPr>
          <w:rFonts w:ascii="Times New Roman" w:hAnsi="Times New Roman" w:cs="Times New Roman"/>
          <w:iCs/>
          <w:sz w:val="24"/>
          <w:szCs w:val="24"/>
        </w:rPr>
        <w:t xml:space="preserve"> and </w:t>
      </w:r>
      <w:r w:rsidRPr="009231BB">
        <w:rPr>
          <w:rFonts w:ascii="Times New Roman" w:hAnsi="Times New Roman" w:cs="Times New Roman"/>
          <w:i/>
          <w:sz w:val="24"/>
          <w:szCs w:val="24"/>
        </w:rPr>
        <w:t>β</w:t>
      </w:r>
      <w:r w:rsidRPr="009231BB">
        <w:rPr>
          <w:rFonts w:ascii="Times New Roman" w:hAnsi="Times New Roman" w:cs="Times New Roman"/>
          <w:i/>
          <w:sz w:val="24"/>
          <w:szCs w:val="24"/>
          <w:vertAlign w:val="subscript"/>
        </w:rPr>
        <w:t>6i</w:t>
      </w:r>
      <w:r w:rsidRPr="009231BB">
        <w:rPr>
          <w:rFonts w:ascii="Times New Roman" w:hAnsi="Times New Roman" w:cs="Times New Roman"/>
          <w:iCs/>
          <w:sz w:val="24"/>
          <w:szCs w:val="24"/>
        </w:rPr>
        <w:t xml:space="preserve"> represent the coefficient elasticities of the explanatory variables in respect to </w:t>
      </w:r>
      <w:r w:rsidRPr="009231BB">
        <w:rPr>
          <w:rFonts w:ascii="Times New Roman" w:hAnsi="Times New Roman" w:cs="Times New Roman"/>
          <w:i/>
          <w:sz w:val="24"/>
          <w:szCs w:val="24"/>
        </w:rPr>
        <w:t>REC</w:t>
      </w:r>
      <w:r w:rsidRPr="009231BB">
        <w:rPr>
          <w:rFonts w:ascii="Times New Roman" w:hAnsi="Times New Roman" w:cs="Times New Roman"/>
          <w:iCs/>
          <w:sz w:val="24"/>
          <w:szCs w:val="24"/>
        </w:rPr>
        <w:t>. Trade openness was incorporated into the model because it has been discovered to have relationship with the adoption of renewable energy (Keho 2016; Amoah et al., 2023)</w:t>
      </w:r>
      <w:r w:rsidR="00703BCD">
        <w:rPr>
          <w:rFonts w:ascii="Times New Roman" w:hAnsi="Times New Roman" w:cs="Times New Roman"/>
          <w:iCs/>
          <w:sz w:val="24"/>
          <w:szCs w:val="24"/>
        </w:rPr>
        <w:t>;</w:t>
      </w:r>
      <w:r w:rsidRPr="009231BB">
        <w:rPr>
          <w:rFonts w:ascii="Times New Roman" w:hAnsi="Times New Roman" w:cs="Times New Roman"/>
          <w:iCs/>
          <w:sz w:val="24"/>
          <w:szCs w:val="24"/>
        </w:rPr>
        <w:t xml:space="preserve"> industrial activities involving the production of goods </w:t>
      </w:r>
      <w:r w:rsidR="00703BCD">
        <w:rPr>
          <w:rFonts w:ascii="Times New Roman" w:hAnsi="Times New Roman" w:cs="Times New Roman"/>
          <w:iCs/>
          <w:sz w:val="24"/>
          <w:szCs w:val="24"/>
        </w:rPr>
        <w:t xml:space="preserve">could impact </w:t>
      </w:r>
      <w:r w:rsidRPr="009231BB">
        <w:rPr>
          <w:rFonts w:ascii="Times New Roman" w:hAnsi="Times New Roman" w:cs="Times New Roman"/>
          <w:iCs/>
          <w:sz w:val="24"/>
          <w:szCs w:val="24"/>
        </w:rPr>
        <w:t>environmental quality (Amoah et al., 2023, Chen et al., 2023)</w:t>
      </w:r>
      <w:r w:rsidR="00703BCD">
        <w:rPr>
          <w:rFonts w:ascii="Times New Roman" w:hAnsi="Times New Roman" w:cs="Times New Roman"/>
          <w:iCs/>
          <w:sz w:val="24"/>
          <w:szCs w:val="24"/>
        </w:rPr>
        <w:t>;</w:t>
      </w:r>
      <w:r w:rsidRPr="009231BB">
        <w:rPr>
          <w:rFonts w:ascii="Times New Roman" w:hAnsi="Times New Roman" w:cs="Times New Roman"/>
          <w:iCs/>
          <w:sz w:val="24"/>
          <w:szCs w:val="24"/>
        </w:rPr>
        <w:t xml:space="preserve"> institutional can influence the type of energy utilized by foreign investors</w:t>
      </w:r>
      <w:r w:rsidR="00703BCD">
        <w:rPr>
          <w:rFonts w:ascii="Times New Roman" w:hAnsi="Times New Roman" w:cs="Times New Roman"/>
          <w:iCs/>
          <w:sz w:val="24"/>
          <w:szCs w:val="24"/>
        </w:rPr>
        <w:t xml:space="preserve"> </w:t>
      </w:r>
      <w:r w:rsidR="00703BCD" w:rsidRPr="009231BB">
        <w:rPr>
          <w:rFonts w:ascii="Times New Roman" w:hAnsi="Times New Roman" w:cs="Times New Roman"/>
          <w:iCs/>
          <w:sz w:val="24"/>
          <w:szCs w:val="24"/>
        </w:rPr>
        <w:t>quality (Hung et al., 2022)</w:t>
      </w:r>
      <w:r w:rsidRPr="009231BB">
        <w:rPr>
          <w:rFonts w:ascii="Times New Roman" w:hAnsi="Times New Roman" w:cs="Times New Roman"/>
          <w:iCs/>
          <w:sz w:val="24"/>
          <w:szCs w:val="24"/>
        </w:rPr>
        <w:t>.</w:t>
      </w:r>
    </w:p>
    <w:p w14:paraId="420CDA46" w14:textId="24D1EEEB" w:rsidR="001A61D2" w:rsidRPr="009231BB" w:rsidRDefault="00501DB4" w:rsidP="00916F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1A61D2" w:rsidRPr="009231BB">
        <w:rPr>
          <w:rFonts w:ascii="Times New Roman" w:hAnsi="Times New Roman" w:cs="Times New Roman"/>
          <w:sz w:val="24"/>
          <w:szCs w:val="24"/>
        </w:rPr>
        <w:t>he system generalized method of the moments (GMM) technique is employed in this study</w:t>
      </w:r>
      <w:r w:rsidR="005F6DAB">
        <w:rPr>
          <w:rFonts w:ascii="Times New Roman" w:hAnsi="Times New Roman" w:cs="Times New Roman"/>
          <w:sz w:val="24"/>
          <w:szCs w:val="24"/>
        </w:rPr>
        <w:t xml:space="preserve"> </w:t>
      </w:r>
      <w:r w:rsidR="001A61D2" w:rsidRPr="009231BB">
        <w:rPr>
          <w:rFonts w:ascii="Times New Roman" w:hAnsi="Times New Roman" w:cs="Times New Roman"/>
          <w:sz w:val="24"/>
          <w:szCs w:val="24"/>
        </w:rPr>
        <w:t>(</w:t>
      </w:r>
      <w:r w:rsidR="00AA7013">
        <w:rPr>
          <w:rFonts w:ascii="Times New Roman" w:hAnsi="Times New Roman" w:cs="Times New Roman"/>
          <w:sz w:val="24"/>
          <w:szCs w:val="24"/>
        </w:rPr>
        <w:t>Arellano and Bover, 1995; Arellano and Bond, 1991; Blundell and Bond, 1998</w:t>
      </w:r>
      <w:r w:rsidR="001A61D2" w:rsidRPr="009231BB">
        <w:rPr>
          <w:rFonts w:ascii="Times New Roman" w:hAnsi="Times New Roman" w:cs="Times New Roman"/>
          <w:sz w:val="24"/>
          <w:szCs w:val="24"/>
        </w:rPr>
        <w:t>)</w:t>
      </w:r>
      <w:r w:rsidR="00321841">
        <w:rPr>
          <w:rFonts w:ascii="Times New Roman" w:hAnsi="Times New Roman" w:cs="Times New Roman"/>
          <w:sz w:val="24"/>
          <w:szCs w:val="24"/>
        </w:rPr>
        <w:t>, and data analyzed using STAT version 17.0.</w:t>
      </w:r>
    </w:p>
    <w:p w14:paraId="02871FAB" w14:textId="2D9AA965" w:rsidR="00DA2057" w:rsidRPr="00233824" w:rsidRDefault="007C0CAC" w:rsidP="00916F6A">
      <w:pPr>
        <w:spacing w:line="360" w:lineRule="auto"/>
        <w:jc w:val="both"/>
        <w:rPr>
          <w:rFonts w:ascii="Times New Roman" w:eastAsiaTheme="minorEastAsia" w:hAnsi="Times New Roman" w:cs="Times New Roman"/>
          <w:bCs/>
          <w:iCs/>
          <w:sz w:val="24"/>
          <w:szCs w:val="24"/>
        </w:rPr>
      </w:pPr>
      <w:r>
        <w:rPr>
          <w:rFonts w:ascii="Times New Roman" w:hAnsi="Times New Roman" w:cs="Times New Roman"/>
          <w:b/>
          <w:bCs/>
          <w:sz w:val="24"/>
          <w:szCs w:val="24"/>
        </w:rPr>
        <w:lastRenderedPageBreak/>
        <w:t xml:space="preserve">4. </w:t>
      </w:r>
      <w:r w:rsidR="00DA2057" w:rsidRPr="00501DB4">
        <w:rPr>
          <w:rFonts w:ascii="Times New Roman" w:hAnsi="Times New Roman" w:cs="Times New Roman"/>
          <w:b/>
          <w:bCs/>
          <w:sz w:val="24"/>
          <w:szCs w:val="24"/>
        </w:rPr>
        <w:t>Results and Discussion</w:t>
      </w:r>
    </w:p>
    <w:p w14:paraId="325BF070" w14:textId="4E1157BA" w:rsidR="00EB6693" w:rsidRPr="00233824" w:rsidRDefault="00EB6693" w:rsidP="00916F6A">
      <w:pPr>
        <w:pStyle w:val="Caption"/>
        <w:keepNext/>
        <w:spacing w:after="0"/>
        <w:rPr>
          <w:rFonts w:ascii="Times New Roman" w:hAnsi="Times New Roman" w:cs="Times New Roman"/>
          <w:b/>
          <w:bCs/>
          <w:color w:val="auto"/>
          <w:sz w:val="24"/>
          <w:szCs w:val="24"/>
        </w:rPr>
      </w:pPr>
      <w:r w:rsidRPr="00233824">
        <w:rPr>
          <w:rFonts w:ascii="Times New Roman" w:hAnsi="Times New Roman" w:cs="Times New Roman"/>
          <w:b/>
          <w:bCs/>
          <w:color w:val="auto"/>
          <w:sz w:val="24"/>
          <w:szCs w:val="24"/>
        </w:rPr>
        <w:t xml:space="preserve">Table </w:t>
      </w:r>
      <w:r w:rsidR="00233824" w:rsidRPr="00233824">
        <w:rPr>
          <w:rFonts w:ascii="Times New Roman" w:hAnsi="Times New Roman" w:cs="Times New Roman"/>
          <w:b/>
          <w:bCs/>
          <w:color w:val="auto"/>
          <w:sz w:val="24"/>
          <w:szCs w:val="24"/>
        </w:rPr>
        <w:t>1</w:t>
      </w:r>
      <w:r w:rsidRPr="00233824">
        <w:rPr>
          <w:rFonts w:ascii="Times New Roman" w:hAnsi="Times New Roman" w:cs="Times New Roman"/>
          <w:b/>
          <w:bCs/>
          <w:color w:val="auto"/>
          <w:sz w:val="24"/>
          <w:szCs w:val="24"/>
        </w:rPr>
        <w:t>. Summary Statistics</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690"/>
        <w:gridCol w:w="1530"/>
        <w:gridCol w:w="1530"/>
        <w:gridCol w:w="1531"/>
        <w:gridCol w:w="1531"/>
      </w:tblGrid>
      <w:tr w:rsidR="00EB6693" w:rsidRPr="00233824" w14:paraId="4344CCAE" w14:textId="77777777" w:rsidTr="0093678C">
        <w:tc>
          <w:tcPr>
            <w:tcW w:w="1538" w:type="dxa"/>
            <w:tcBorders>
              <w:top w:val="single" w:sz="4" w:space="0" w:color="auto"/>
              <w:left w:val="single" w:sz="4" w:space="0" w:color="auto"/>
              <w:bottom w:val="single" w:sz="4" w:space="0" w:color="auto"/>
            </w:tcBorders>
          </w:tcPr>
          <w:p w14:paraId="0C23D514" w14:textId="77777777" w:rsidR="00EB6693" w:rsidRPr="00233824" w:rsidRDefault="00EB6693" w:rsidP="00916F6A">
            <w:pPr>
              <w:jc w:val="center"/>
              <w:rPr>
                <w:rFonts w:ascii="Times New Roman" w:hAnsi="Times New Roman" w:cs="Times New Roman"/>
                <w:b/>
                <w:sz w:val="24"/>
                <w:szCs w:val="24"/>
              </w:rPr>
            </w:pPr>
            <w:r w:rsidRPr="00233824">
              <w:rPr>
                <w:rFonts w:ascii="Times New Roman" w:hAnsi="Times New Roman" w:cs="Times New Roman"/>
                <w:b/>
                <w:sz w:val="24"/>
                <w:szCs w:val="24"/>
              </w:rPr>
              <w:t>Variables</w:t>
            </w:r>
          </w:p>
        </w:tc>
        <w:tc>
          <w:tcPr>
            <w:tcW w:w="1690" w:type="dxa"/>
            <w:tcBorders>
              <w:top w:val="single" w:sz="4" w:space="0" w:color="auto"/>
              <w:bottom w:val="single" w:sz="4" w:space="0" w:color="auto"/>
            </w:tcBorders>
          </w:tcPr>
          <w:p w14:paraId="55B21251" w14:textId="77777777" w:rsidR="00EB6693" w:rsidRPr="00233824" w:rsidRDefault="00EB6693" w:rsidP="00916F6A">
            <w:pPr>
              <w:jc w:val="center"/>
              <w:rPr>
                <w:rFonts w:ascii="Times New Roman" w:hAnsi="Times New Roman" w:cs="Times New Roman"/>
                <w:b/>
                <w:sz w:val="24"/>
                <w:szCs w:val="24"/>
              </w:rPr>
            </w:pPr>
            <w:r w:rsidRPr="00233824">
              <w:rPr>
                <w:rFonts w:ascii="Times New Roman" w:hAnsi="Times New Roman" w:cs="Times New Roman"/>
                <w:b/>
                <w:sz w:val="24"/>
                <w:szCs w:val="24"/>
              </w:rPr>
              <w:t>Observations</w:t>
            </w:r>
          </w:p>
        </w:tc>
        <w:tc>
          <w:tcPr>
            <w:tcW w:w="1530" w:type="dxa"/>
            <w:tcBorders>
              <w:top w:val="single" w:sz="4" w:space="0" w:color="auto"/>
              <w:bottom w:val="single" w:sz="4" w:space="0" w:color="auto"/>
            </w:tcBorders>
          </w:tcPr>
          <w:p w14:paraId="2B759427" w14:textId="77777777" w:rsidR="00EB6693" w:rsidRPr="00233824" w:rsidRDefault="00EB6693" w:rsidP="00916F6A">
            <w:pPr>
              <w:jc w:val="center"/>
              <w:rPr>
                <w:rFonts w:ascii="Times New Roman" w:hAnsi="Times New Roman" w:cs="Times New Roman"/>
                <w:b/>
                <w:sz w:val="24"/>
                <w:szCs w:val="24"/>
              </w:rPr>
            </w:pPr>
            <w:r w:rsidRPr="00233824">
              <w:rPr>
                <w:rFonts w:ascii="Times New Roman" w:hAnsi="Times New Roman" w:cs="Times New Roman"/>
                <w:b/>
                <w:sz w:val="24"/>
                <w:szCs w:val="24"/>
              </w:rPr>
              <w:t>Mean</w:t>
            </w:r>
          </w:p>
        </w:tc>
        <w:tc>
          <w:tcPr>
            <w:tcW w:w="1530" w:type="dxa"/>
            <w:tcBorders>
              <w:top w:val="single" w:sz="4" w:space="0" w:color="auto"/>
              <w:bottom w:val="single" w:sz="4" w:space="0" w:color="auto"/>
            </w:tcBorders>
          </w:tcPr>
          <w:p w14:paraId="58C17721" w14:textId="77777777" w:rsidR="00EB6693" w:rsidRPr="00233824" w:rsidRDefault="00EB6693" w:rsidP="00916F6A">
            <w:pPr>
              <w:jc w:val="center"/>
              <w:rPr>
                <w:rFonts w:ascii="Times New Roman" w:hAnsi="Times New Roman" w:cs="Times New Roman"/>
                <w:b/>
                <w:sz w:val="24"/>
                <w:szCs w:val="24"/>
              </w:rPr>
            </w:pPr>
            <w:r w:rsidRPr="00233824">
              <w:rPr>
                <w:rFonts w:ascii="Times New Roman" w:hAnsi="Times New Roman" w:cs="Times New Roman"/>
                <w:b/>
                <w:sz w:val="24"/>
                <w:szCs w:val="24"/>
              </w:rPr>
              <w:t>Std. dev.</w:t>
            </w:r>
          </w:p>
        </w:tc>
        <w:tc>
          <w:tcPr>
            <w:tcW w:w="1531" w:type="dxa"/>
            <w:tcBorders>
              <w:top w:val="single" w:sz="4" w:space="0" w:color="auto"/>
              <w:bottom w:val="single" w:sz="4" w:space="0" w:color="auto"/>
            </w:tcBorders>
          </w:tcPr>
          <w:p w14:paraId="11041A76" w14:textId="77777777" w:rsidR="00EB6693" w:rsidRPr="00233824" w:rsidRDefault="00EB6693" w:rsidP="00916F6A">
            <w:pPr>
              <w:jc w:val="center"/>
              <w:rPr>
                <w:rFonts w:ascii="Times New Roman" w:hAnsi="Times New Roman" w:cs="Times New Roman"/>
                <w:b/>
                <w:sz w:val="24"/>
                <w:szCs w:val="24"/>
              </w:rPr>
            </w:pPr>
            <w:r w:rsidRPr="00233824">
              <w:rPr>
                <w:rFonts w:ascii="Times New Roman" w:hAnsi="Times New Roman" w:cs="Times New Roman"/>
                <w:b/>
                <w:sz w:val="24"/>
                <w:szCs w:val="24"/>
              </w:rPr>
              <w:t>Min</w:t>
            </w:r>
          </w:p>
        </w:tc>
        <w:tc>
          <w:tcPr>
            <w:tcW w:w="1531" w:type="dxa"/>
            <w:tcBorders>
              <w:top w:val="single" w:sz="4" w:space="0" w:color="auto"/>
              <w:bottom w:val="single" w:sz="4" w:space="0" w:color="auto"/>
              <w:right w:val="single" w:sz="4" w:space="0" w:color="auto"/>
            </w:tcBorders>
          </w:tcPr>
          <w:p w14:paraId="6577E2CD" w14:textId="77777777" w:rsidR="00EB6693" w:rsidRPr="00233824" w:rsidRDefault="00EB6693" w:rsidP="00916F6A">
            <w:pPr>
              <w:jc w:val="center"/>
              <w:rPr>
                <w:rFonts w:ascii="Times New Roman" w:hAnsi="Times New Roman" w:cs="Times New Roman"/>
                <w:b/>
                <w:sz w:val="24"/>
                <w:szCs w:val="24"/>
              </w:rPr>
            </w:pPr>
            <w:r w:rsidRPr="00233824">
              <w:rPr>
                <w:rFonts w:ascii="Times New Roman" w:hAnsi="Times New Roman" w:cs="Times New Roman"/>
                <w:b/>
                <w:sz w:val="24"/>
                <w:szCs w:val="24"/>
              </w:rPr>
              <w:t>Max</w:t>
            </w:r>
          </w:p>
        </w:tc>
      </w:tr>
      <w:tr w:rsidR="00EB6693" w:rsidRPr="00233824" w14:paraId="3232CEC0" w14:textId="77777777" w:rsidTr="0093678C">
        <w:tc>
          <w:tcPr>
            <w:tcW w:w="1538" w:type="dxa"/>
            <w:tcBorders>
              <w:left w:val="single" w:sz="4" w:space="0" w:color="auto"/>
            </w:tcBorders>
          </w:tcPr>
          <w:p w14:paraId="416D12DE" w14:textId="77777777" w:rsidR="00EB6693" w:rsidRPr="00233824" w:rsidRDefault="00EB6693" w:rsidP="00916F6A">
            <w:pPr>
              <w:jc w:val="center"/>
              <w:rPr>
                <w:rFonts w:ascii="Times New Roman" w:hAnsi="Times New Roman" w:cs="Times New Roman"/>
                <w:bCs/>
                <w:i/>
                <w:iCs/>
                <w:sz w:val="24"/>
                <w:szCs w:val="24"/>
              </w:rPr>
            </w:pPr>
            <w:r w:rsidRPr="00233824">
              <w:rPr>
                <w:rFonts w:ascii="Times New Roman" w:hAnsi="Times New Roman" w:cs="Times New Roman"/>
                <w:bCs/>
                <w:i/>
                <w:iCs/>
                <w:sz w:val="24"/>
                <w:szCs w:val="24"/>
              </w:rPr>
              <w:t>REC</w:t>
            </w:r>
          </w:p>
        </w:tc>
        <w:tc>
          <w:tcPr>
            <w:tcW w:w="1690" w:type="dxa"/>
          </w:tcPr>
          <w:p w14:paraId="10799875"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263</w:t>
            </w:r>
          </w:p>
        </w:tc>
        <w:tc>
          <w:tcPr>
            <w:tcW w:w="1530" w:type="dxa"/>
          </w:tcPr>
          <w:p w14:paraId="23DA70C3"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62.50544</w:t>
            </w:r>
          </w:p>
        </w:tc>
        <w:tc>
          <w:tcPr>
            <w:tcW w:w="1530" w:type="dxa"/>
          </w:tcPr>
          <w:p w14:paraId="0E249B6B"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26.64768</w:t>
            </w:r>
          </w:p>
        </w:tc>
        <w:tc>
          <w:tcPr>
            <w:tcW w:w="1531" w:type="dxa"/>
          </w:tcPr>
          <w:p w14:paraId="2D6B22A7"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1.21</w:t>
            </w:r>
          </w:p>
        </w:tc>
        <w:tc>
          <w:tcPr>
            <w:tcW w:w="1531" w:type="dxa"/>
            <w:tcBorders>
              <w:right w:val="single" w:sz="4" w:space="0" w:color="auto"/>
            </w:tcBorders>
          </w:tcPr>
          <w:p w14:paraId="021D1ECA"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97.03</w:t>
            </w:r>
          </w:p>
        </w:tc>
      </w:tr>
      <w:tr w:rsidR="00EB6693" w:rsidRPr="00233824" w14:paraId="1D5A5B44" w14:textId="77777777" w:rsidTr="0093678C">
        <w:tc>
          <w:tcPr>
            <w:tcW w:w="1538" w:type="dxa"/>
            <w:tcBorders>
              <w:left w:val="single" w:sz="4" w:space="0" w:color="auto"/>
            </w:tcBorders>
          </w:tcPr>
          <w:p w14:paraId="62326B66" w14:textId="77777777" w:rsidR="00EB6693" w:rsidRPr="00233824" w:rsidRDefault="00EB6693" w:rsidP="00916F6A">
            <w:pPr>
              <w:jc w:val="center"/>
              <w:rPr>
                <w:rFonts w:ascii="Times New Roman" w:hAnsi="Times New Roman" w:cs="Times New Roman"/>
                <w:bCs/>
                <w:i/>
                <w:iCs/>
                <w:sz w:val="24"/>
                <w:szCs w:val="24"/>
              </w:rPr>
            </w:pPr>
            <w:r w:rsidRPr="00233824">
              <w:rPr>
                <w:rFonts w:ascii="Times New Roman" w:hAnsi="Times New Roman" w:cs="Times New Roman"/>
                <w:bCs/>
                <w:i/>
                <w:iCs/>
                <w:sz w:val="24"/>
                <w:szCs w:val="24"/>
              </w:rPr>
              <w:t>FDI</w:t>
            </w:r>
          </w:p>
        </w:tc>
        <w:tc>
          <w:tcPr>
            <w:tcW w:w="1690" w:type="dxa"/>
          </w:tcPr>
          <w:p w14:paraId="434F1C1E"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322</w:t>
            </w:r>
          </w:p>
        </w:tc>
        <w:tc>
          <w:tcPr>
            <w:tcW w:w="1530" w:type="dxa"/>
          </w:tcPr>
          <w:p w14:paraId="4CF69299"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3.497377</w:t>
            </w:r>
          </w:p>
        </w:tc>
        <w:tc>
          <w:tcPr>
            <w:tcW w:w="1530" w:type="dxa"/>
          </w:tcPr>
          <w:p w14:paraId="2A62E069" w14:textId="1BB1C53A" w:rsidR="00EB6693" w:rsidRPr="00233824" w:rsidRDefault="00233824" w:rsidP="00916F6A">
            <w:pPr>
              <w:jc w:val="center"/>
              <w:rPr>
                <w:rFonts w:ascii="Times New Roman" w:hAnsi="Times New Roman" w:cs="Times New Roman"/>
                <w:bCs/>
                <w:sz w:val="24"/>
                <w:szCs w:val="24"/>
              </w:rPr>
            </w:pPr>
            <w:r>
              <w:rPr>
                <w:rFonts w:ascii="Times New Roman" w:hAnsi="Times New Roman" w:cs="Times New Roman"/>
                <w:bCs/>
                <w:sz w:val="24"/>
                <w:szCs w:val="24"/>
              </w:rPr>
              <w:t>2</w:t>
            </w:r>
            <w:r w:rsidR="00EB6693" w:rsidRPr="00233824">
              <w:rPr>
                <w:rFonts w:ascii="Times New Roman" w:hAnsi="Times New Roman" w:cs="Times New Roman"/>
                <w:bCs/>
                <w:sz w:val="24"/>
                <w:szCs w:val="24"/>
              </w:rPr>
              <w:t>.539579</w:t>
            </w:r>
          </w:p>
        </w:tc>
        <w:tc>
          <w:tcPr>
            <w:tcW w:w="1531" w:type="dxa"/>
          </w:tcPr>
          <w:p w14:paraId="2E47D40B"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-18.91777</w:t>
            </w:r>
          </w:p>
        </w:tc>
        <w:tc>
          <w:tcPr>
            <w:tcW w:w="1531" w:type="dxa"/>
            <w:tcBorders>
              <w:right w:val="single" w:sz="4" w:space="0" w:color="auto"/>
            </w:tcBorders>
          </w:tcPr>
          <w:p w14:paraId="149E70CE"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39.81094</w:t>
            </w:r>
          </w:p>
        </w:tc>
      </w:tr>
      <w:tr w:rsidR="00EB6693" w:rsidRPr="00233824" w14:paraId="3B7E8D91" w14:textId="77777777" w:rsidTr="0093678C">
        <w:tc>
          <w:tcPr>
            <w:tcW w:w="1538" w:type="dxa"/>
            <w:tcBorders>
              <w:left w:val="single" w:sz="4" w:space="0" w:color="auto"/>
            </w:tcBorders>
          </w:tcPr>
          <w:p w14:paraId="2E6BFDAC" w14:textId="77777777" w:rsidR="00EB6693" w:rsidRPr="00233824" w:rsidRDefault="00EB6693" w:rsidP="00916F6A">
            <w:pPr>
              <w:jc w:val="center"/>
              <w:rPr>
                <w:rFonts w:ascii="Times New Roman" w:hAnsi="Times New Roman" w:cs="Times New Roman"/>
                <w:bCs/>
                <w:i/>
                <w:iCs/>
                <w:sz w:val="24"/>
                <w:szCs w:val="24"/>
              </w:rPr>
            </w:pPr>
            <w:r w:rsidRPr="00233824">
              <w:rPr>
                <w:rFonts w:ascii="Times New Roman" w:hAnsi="Times New Roman" w:cs="Times New Roman"/>
                <w:bCs/>
                <w:i/>
                <w:iCs/>
                <w:sz w:val="24"/>
                <w:szCs w:val="24"/>
              </w:rPr>
              <w:t>TO</w:t>
            </w:r>
          </w:p>
        </w:tc>
        <w:tc>
          <w:tcPr>
            <w:tcW w:w="1690" w:type="dxa"/>
          </w:tcPr>
          <w:p w14:paraId="7FEF6B46"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329</w:t>
            </w:r>
          </w:p>
        </w:tc>
        <w:tc>
          <w:tcPr>
            <w:tcW w:w="1530" w:type="dxa"/>
          </w:tcPr>
          <w:p w14:paraId="1EF35AB0"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sz w:val="24"/>
                <w:szCs w:val="24"/>
              </w:rPr>
              <w:t xml:space="preserve">1.25414    </w:t>
            </w:r>
          </w:p>
        </w:tc>
        <w:tc>
          <w:tcPr>
            <w:tcW w:w="1530" w:type="dxa"/>
          </w:tcPr>
          <w:p w14:paraId="78EAC7F5"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sz w:val="24"/>
                <w:szCs w:val="24"/>
              </w:rPr>
              <w:t xml:space="preserve">1.341881  </w:t>
            </w:r>
          </w:p>
        </w:tc>
        <w:tc>
          <w:tcPr>
            <w:tcW w:w="1531" w:type="dxa"/>
          </w:tcPr>
          <w:p w14:paraId="620600C8"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sz w:val="24"/>
                <w:szCs w:val="24"/>
              </w:rPr>
              <w:t xml:space="preserve">-.0395224   </w:t>
            </w:r>
          </w:p>
        </w:tc>
        <w:tc>
          <w:tcPr>
            <w:tcW w:w="1531" w:type="dxa"/>
            <w:tcBorders>
              <w:right w:val="single" w:sz="4" w:space="0" w:color="auto"/>
            </w:tcBorders>
          </w:tcPr>
          <w:p w14:paraId="1B58DF63"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sz w:val="24"/>
                <w:szCs w:val="24"/>
              </w:rPr>
              <w:t>9.677949</w:t>
            </w:r>
          </w:p>
        </w:tc>
      </w:tr>
      <w:tr w:rsidR="00EB6693" w:rsidRPr="00233824" w14:paraId="7F4842F2" w14:textId="77777777" w:rsidTr="0093678C">
        <w:tc>
          <w:tcPr>
            <w:tcW w:w="1538" w:type="dxa"/>
            <w:tcBorders>
              <w:left w:val="single" w:sz="4" w:space="0" w:color="auto"/>
            </w:tcBorders>
          </w:tcPr>
          <w:p w14:paraId="0109BAC9" w14:textId="77777777" w:rsidR="00EB6693" w:rsidRPr="00233824" w:rsidRDefault="00EB6693" w:rsidP="00916F6A">
            <w:pPr>
              <w:jc w:val="center"/>
              <w:rPr>
                <w:rFonts w:ascii="Times New Roman" w:hAnsi="Times New Roman" w:cs="Times New Roman"/>
                <w:bCs/>
                <w:i/>
                <w:iCs/>
                <w:sz w:val="24"/>
                <w:szCs w:val="24"/>
              </w:rPr>
            </w:pPr>
            <w:r w:rsidRPr="00233824">
              <w:rPr>
                <w:rFonts w:ascii="Times New Roman" w:hAnsi="Times New Roman" w:cs="Times New Roman"/>
                <w:bCs/>
                <w:i/>
                <w:iCs/>
                <w:sz w:val="24"/>
                <w:szCs w:val="24"/>
              </w:rPr>
              <w:t>IND</w:t>
            </w:r>
          </w:p>
        </w:tc>
        <w:tc>
          <w:tcPr>
            <w:tcW w:w="1690" w:type="dxa"/>
          </w:tcPr>
          <w:p w14:paraId="6D4F72F4"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308</w:t>
            </w:r>
          </w:p>
        </w:tc>
        <w:tc>
          <w:tcPr>
            <w:tcW w:w="1530" w:type="dxa"/>
          </w:tcPr>
          <w:p w14:paraId="1BF9F4DA"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24.78378</w:t>
            </w:r>
          </w:p>
        </w:tc>
        <w:tc>
          <w:tcPr>
            <w:tcW w:w="1530" w:type="dxa"/>
          </w:tcPr>
          <w:p w14:paraId="5F331819"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10.603</w:t>
            </w:r>
          </w:p>
        </w:tc>
        <w:tc>
          <w:tcPr>
            <w:tcW w:w="1531" w:type="dxa"/>
          </w:tcPr>
          <w:p w14:paraId="46306D2B"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4.871401</w:t>
            </w:r>
          </w:p>
        </w:tc>
        <w:tc>
          <w:tcPr>
            <w:tcW w:w="1531" w:type="dxa"/>
            <w:tcBorders>
              <w:right w:val="single" w:sz="4" w:space="0" w:color="auto"/>
            </w:tcBorders>
          </w:tcPr>
          <w:p w14:paraId="4AD8EEA6"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57.3954</w:t>
            </w:r>
          </w:p>
        </w:tc>
      </w:tr>
      <w:tr w:rsidR="00EB6693" w:rsidRPr="00233824" w14:paraId="71FC5A0B" w14:textId="77777777" w:rsidTr="0093678C">
        <w:tc>
          <w:tcPr>
            <w:tcW w:w="1538" w:type="dxa"/>
            <w:tcBorders>
              <w:left w:val="single" w:sz="4" w:space="0" w:color="auto"/>
            </w:tcBorders>
          </w:tcPr>
          <w:p w14:paraId="123D4CA8" w14:textId="77777777" w:rsidR="00EB6693" w:rsidRPr="00233824" w:rsidRDefault="00EB6693" w:rsidP="00916F6A">
            <w:pPr>
              <w:jc w:val="center"/>
              <w:rPr>
                <w:rFonts w:ascii="Times New Roman" w:hAnsi="Times New Roman" w:cs="Times New Roman"/>
                <w:bCs/>
                <w:i/>
                <w:iCs/>
                <w:sz w:val="24"/>
                <w:szCs w:val="24"/>
              </w:rPr>
            </w:pPr>
            <w:r w:rsidRPr="00233824">
              <w:rPr>
                <w:rFonts w:ascii="Times New Roman" w:hAnsi="Times New Roman" w:cs="Times New Roman"/>
                <w:bCs/>
                <w:i/>
                <w:iCs/>
                <w:sz w:val="24"/>
                <w:szCs w:val="24"/>
              </w:rPr>
              <w:t>IST</w:t>
            </w:r>
          </w:p>
        </w:tc>
        <w:tc>
          <w:tcPr>
            <w:tcW w:w="1690" w:type="dxa"/>
          </w:tcPr>
          <w:p w14:paraId="54B27D8E"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336</w:t>
            </w:r>
          </w:p>
        </w:tc>
        <w:tc>
          <w:tcPr>
            <w:tcW w:w="1530" w:type="dxa"/>
          </w:tcPr>
          <w:p w14:paraId="5E879716"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-1.08e-08</w:t>
            </w:r>
          </w:p>
        </w:tc>
        <w:tc>
          <w:tcPr>
            <w:tcW w:w="1530" w:type="dxa"/>
          </w:tcPr>
          <w:p w14:paraId="12BC136B"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1.000001</w:t>
            </w:r>
          </w:p>
        </w:tc>
        <w:tc>
          <w:tcPr>
            <w:tcW w:w="1531" w:type="dxa"/>
          </w:tcPr>
          <w:p w14:paraId="54419CFA"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-2.523005</w:t>
            </w:r>
          </w:p>
        </w:tc>
        <w:tc>
          <w:tcPr>
            <w:tcW w:w="1531" w:type="dxa"/>
            <w:tcBorders>
              <w:right w:val="single" w:sz="4" w:space="0" w:color="auto"/>
            </w:tcBorders>
          </w:tcPr>
          <w:p w14:paraId="743009FE"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2.510399</w:t>
            </w:r>
          </w:p>
        </w:tc>
      </w:tr>
      <w:tr w:rsidR="00EB6693" w:rsidRPr="00233824" w14:paraId="0AC72501" w14:textId="77777777" w:rsidTr="0093678C">
        <w:tc>
          <w:tcPr>
            <w:tcW w:w="1538" w:type="dxa"/>
            <w:tcBorders>
              <w:left w:val="single" w:sz="4" w:space="0" w:color="auto"/>
              <w:bottom w:val="single" w:sz="4" w:space="0" w:color="auto"/>
            </w:tcBorders>
          </w:tcPr>
          <w:p w14:paraId="7917531A" w14:textId="77777777" w:rsidR="00EB6693" w:rsidRPr="00233824" w:rsidRDefault="00EB6693" w:rsidP="00916F6A">
            <w:pPr>
              <w:jc w:val="center"/>
              <w:rPr>
                <w:rFonts w:ascii="Times New Roman" w:hAnsi="Times New Roman" w:cs="Times New Roman"/>
                <w:bCs/>
                <w:i/>
                <w:iCs/>
                <w:sz w:val="24"/>
                <w:szCs w:val="24"/>
              </w:rPr>
            </w:pPr>
            <w:r w:rsidRPr="00233824">
              <w:rPr>
                <w:rFonts w:ascii="Times New Roman" w:hAnsi="Times New Roman" w:cs="Times New Roman"/>
                <w:bCs/>
                <w:i/>
                <w:iCs/>
                <w:sz w:val="24"/>
                <w:szCs w:val="24"/>
              </w:rPr>
              <w:t>EP</w:t>
            </w:r>
          </w:p>
        </w:tc>
        <w:tc>
          <w:tcPr>
            <w:tcW w:w="1690" w:type="dxa"/>
            <w:tcBorders>
              <w:bottom w:val="single" w:sz="4" w:space="0" w:color="auto"/>
            </w:tcBorders>
          </w:tcPr>
          <w:p w14:paraId="0EDBF712"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271</w:t>
            </w:r>
          </w:p>
        </w:tc>
        <w:tc>
          <w:tcPr>
            <w:tcW w:w="1530" w:type="dxa"/>
            <w:tcBorders>
              <w:bottom w:val="single" w:sz="4" w:space="0" w:color="auto"/>
            </w:tcBorders>
          </w:tcPr>
          <w:p w14:paraId="27A2334D"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3.223247</w:t>
            </w:r>
          </w:p>
        </w:tc>
        <w:tc>
          <w:tcPr>
            <w:tcW w:w="1530" w:type="dxa"/>
            <w:tcBorders>
              <w:bottom w:val="single" w:sz="4" w:space="0" w:color="auto"/>
            </w:tcBorders>
          </w:tcPr>
          <w:p w14:paraId="1496C893"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.670112</w:t>
            </w:r>
          </w:p>
        </w:tc>
        <w:tc>
          <w:tcPr>
            <w:tcW w:w="1531" w:type="dxa"/>
            <w:tcBorders>
              <w:bottom w:val="single" w:sz="4" w:space="0" w:color="auto"/>
            </w:tcBorders>
          </w:tcPr>
          <w:p w14:paraId="77995A55"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1</w:t>
            </w:r>
          </w:p>
        </w:tc>
        <w:tc>
          <w:tcPr>
            <w:tcW w:w="1531" w:type="dxa"/>
            <w:tcBorders>
              <w:bottom w:val="single" w:sz="4" w:space="0" w:color="auto"/>
              <w:right w:val="single" w:sz="4" w:space="0" w:color="auto"/>
            </w:tcBorders>
          </w:tcPr>
          <w:p w14:paraId="512B7227" w14:textId="77777777" w:rsidR="00EB6693" w:rsidRPr="00233824" w:rsidRDefault="00EB6693" w:rsidP="00916F6A">
            <w:pPr>
              <w:jc w:val="center"/>
              <w:rPr>
                <w:rFonts w:ascii="Times New Roman" w:hAnsi="Times New Roman" w:cs="Times New Roman"/>
                <w:bCs/>
                <w:sz w:val="24"/>
                <w:szCs w:val="24"/>
              </w:rPr>
            </w:pPr>
            <w:r w:rsidRPr="00233824">
              <w:rPr>
                <w:rFonts w:ascii="Times New Roman" w:hAnsi="Times New Roman" w:cs="Times New Roman"/>
                <w:bCs/>
                <w:sz w:val="24"/>
                <w:szCs w:val="24"/>
              </w:rPr>
              <w:t>4.5</w:t>
            </w:r>
          </w:p>
        </w:tc>
      </w:tr>
    </w:tbl>
    <w:p w14:paraId="14E33AE2" w14:textId="109058E4" w:rsidR="00EB6693" w:rsidRPr="00233824" w:rsidRDefault="00EB6693" w:rsidP="00916F6A">
      <w:pPr>
        <w:spacing w:line="360" w:lineRule="auto"/>
        <w:jc w:val="both"/>
        <w:rPr>
          <w:rFonts w:ascii="Times New Roman" w:hAnsi="Times New Roman" w:cs="Times New Roman"/>
          <w:b/>
          <w:i/>
          <w:iCs/>
          <w:sz w:val="24"/>
          <w:szCs w:val="24"/>
        </w:rPr>
      </w:pPr>
      <w:r w:rsidRPr="00233824">
        <w:rPr>
          <w:rFonts w:ascii="Times New Roman" w:hAnsi="Times New Roman" w:cs="Times New Roman"/>
          <w:b/>
          <w:i/>
          <w:iCs/>
          <w:sz w:val="24"/>
          <w:szCs w:val="24"/>
        </w:rPr>
        <w:t>Source: Authors</w:t>
      </w:r>
      <w:r w:rsidR="006B0C0E">
        <w:rPr>
          <w:rFonts w:ascii="Times New Roman" w:hAnsi="Times New Roman" w:cs="Times New Roman"/>
          <w:b/>
          <w:i/>
          <w:iCs/>
          <w:sz w:val="24"/>
          <w:szCs w:val="24"/>
        </w:rPr>
        <w:t>’</w:t>
      </w:r>
      <w:r w:rsidRPr="00233824">
        <w:rPr>
          <w:rFonts w:ascii="Times New Roman" w:hAnsi="Times New Roman" w:cs="Times New Roman"/>
          <w:b/>
          <w:i/>
          <w:iCs/>
          <w:sz w:val="24"/>
          <w:szCs w:val="24"/>
        </w:rPr>
        <w:t xml:space="preserve"> Computation via STATA 17.0</w:t>
      </w:r>
      <w:r w:rsidR="00233824" w:rsidRPr="00233824">
        <w:rPr>
          <w:rFonts w:ascii="Times New Roman" w:hAnsi="Times New Roman" w:cs="Times New Roman"/>
          <w:b/>
          <w:i/>
          <w:iCs/>
          <w:sz w:val="24"/>
          <w:szCs w:val="24"/>
        </w:rPr>
        <w:t xml:space="preserve"> (</w:t>
      </w:r>
      <w:r w:rsidRPr="00233824">
        <w:rPr>
          <w:rFonts w:ascii="Times New Roman" w:hAnsi="Times New Roman" w:cs="Times New Roman"/>
          <w:b/>
          <w:i/>
          <w:iCs/>
          <w:sz w:val="24"/>
          <w:szCs w:val="24"/>
        </w:rPr>
        <w:t>2024</w:t>
      </w:r>
      <w:r w:rsidR="00233824" w:rsidRPr="00233824">
        <w:rPr>
          <w:rFonts w:ascii="Times New Roman" w:hAnsi="Times New Roman" w:cs="Times New Roman"/>
          <w:b/>
          <w:i/>
          <w:iCs/>
          <w:sz w:val="24"/>
          <w:szCs w:val="24"/>
        </w:rPr>
        <w:t>)</w:t>
      </w:r>
    </w:p>
    <w:p w14:paraId="6C56A752" w14:textId="2D571DDE" w:rsidR="00EB6693" w:rsidRPr="00233824" w:rsidRDefault="00EB6693" w:rsidP="00916F6A">
      <w:pPr>
        <w:spacing w:after="0" w:line="360" w:lineRule="auto"/>
        <w:jc w:val="both"/>
        <w:rPr>
          <w:rFonts w:ascii="Times New Roman" w:hAnsi="Times New Roman" w:cs="Times New Roman"/>
          <w:bCs/>
          <w:sz w:val="24"/>
          <w:szCs w:val="24"/>
        </w:rPr>
      </w:pPr>
      <w:r w:rsidRPr="00233824">
        <w:rPr>
          <w:rFonts w:ascii="Times New Roman" w:hAnsi="Times New Roman" w:cs="Times New Roman"/>
          <w:bCs/>
          <w:sz w:val="24"/>
          <w:szCs w:val="24"/>
        </w:rPr>
        <w:t xml:space="preserve">From table </w:t>
      </w:r>
      <w:r w:rsidR="00233824" w:rsidRPr="00233824">
        <w:rPr>
          <w:rFonts w:ascii="Times New Roman" w:hAnsi="Times New Roman" w:cs="Times New Roman"/>
          <w:bCs/>
          <w:sz w:val="24"/>
          <w:szCs w:val="24"/>
        </w:rPr>
        <w:t>1</w:t>
      </w:r>
      <w:r w:rsidRPr="00233824">
        <w:rPr>
          <w:rFonts w:ascii="Times New Roman" w:hAnsi="Times New Roman" w:cs="Times New Roman"/>
          <w:bCs/>
          <w:sz w:val="24"/>
          <w:szCs w:val="24"/>
        </w:rPr>
        <w:t xml:space="preserve">, the mean, standard deviation, minimum, maximum and numbers of observation for the respective variables are displayed. As can be seen, the standard deviation </w:t>
      </w:r>
      <w:r w:rsidR="00A07657">
        <w:rPr>
          <w:rFonts w:ascii="Times New Roman" w:hAnsi="Times New Roman" w:cs="Times New Roman"/>
          <w:bCs/>
          <w:sz w:val="24"/>
          <w:szCs w:val="24"/>
        </w:rPr>
        <w:t xml:space="preserve">of the </w:t>
      </w:r>
      <w:r w:rsidRPr="00233824">
        <w:rPr>
          <w:rFonts w:ascii="Times New Roman" w:hAnsi="Times New Roman" w:cs="Times New Roman"/>
          <w:bCs/>
          <w:sz w:val="24"/>
          <w:szCs w:val="24"/>
        </w:rPr>
        <w:t xml:space="preserve">variables </w:t>
      </w:r>
      <w:r w:rsidR="006B0C0E" w:rsidRPr="00233824">
        <w:rPr>
          <w:rFonts w:ascii="Times New Roman" w:hAnsi="Times New Roman" w:cs="Times New Roman"/>
          <w:bCs/>
          <w:sz w:val="24"/>
          <w:szCs w:val="24"/>
        </w:rPr>
        <w:t>is</w:t>
      </w:r>
      <w:r w:rsidRPr="00233824">
        <w:rPr>
          <w:rFonts w:ascii="Times New Roman" w:hAnsi="Times New Roman" w:cs="Times New Roman"/>
          <w:bCs/>
          <w:sz w:val="24"/>
          <w:szCs w:val="24"/>
        </w:rPr>
        <w:t xml:space="preserve"> large enough to explore the variations in the data.</w:t>
      </w:r>
    </w:p>
    <w:p w14:paraId="535DEFF8" w14:textId="51AAAE8F" w:rsidR="00EB6693" w:rsidRPr="00E83D9E" w:rsidRDefault="00EB6693" w:rsidP="00916F6A">
      <w:pPr>
        <w:pStyle w:val="Caption"/>
        <w:keepNext/>
        <w:spacing w:after="0"/>
        <w:rPr>
          <w:rFonts w:ascii="Times New Roman" w:hAnsi="Times New Roman" w:cs="Times New Roman"/>
          <w:b/>
          <w:bCs/>
          <w:color w:val="auto"/>
          <w:sz w:val="24"/>
          <w:szCs w:val="24"/>
        </w:rPr>
      </w:pPr>
      <w:r w:rsidRPr="00E83D9E">
        <w:rPr>
          <w:rFonts w:ascii="Times New Roman" w:hAnsi="Times New Roman" w:cs="Times New Roman"/>
          <w:b/>
          <w:bCs/>
          <w:color w:val="auto"/>
          <w:sz w:val="24"/>
          <w:szCs w:val="24"/>
        </w:rPr>
        <w:t xml:space="preserve">Table </w:t>
      </w:r>
      <w:r w:rsidR="00233824" w:rsidRPr="00E83D9E">
        <w:rPr>
          <w:rFonts w:ascii="Times New Roman" w:hAnsi="Times New Roman" w:cs="Times New Roman"/>
          <w:b/>
          <w:bCs/>
          <w:color w:val="auto"/>
          <w:sz w:val="24"/>
          <w:szCs w:val="24"/>
        </w:rPr>
        <w:t>2</w:t>
      </w:r>
      <w:r w:rsidRPr="00E83D9E">
        <w:rPr>
          <w:rFonts w:ascii="Times New Roman" w:hAnsi="Times New Roman" w:cs="Times New Roman"/>
          <w:b/>
          <w:bCs/>
          <w:color w:val="auto"/>
          <w:sz w:val="24"/>
          <w:szCs w:val="24"/>
        </w:rPr>
        <w:t>. Correlation Matrix Result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40"/>
        <w:gridCol w:w="1244"/>
        <w:gridCol w:w="1204"/>
        <w:gridCol w:w="1177"/>
        <w:gridCol w:w="1197"/>
        <w:gridCol w:w="1183"/>
        <w:gridCol w:w="984"/>
      </w:tblGrid>
      <w:tr w:rsidR="00E83D9E" w:rsidRPr="00E83D9E" w14:paraId="1D5940D9" w14:textId="77777777" w:rsidTr="0093678C">
        <w:trPr>
          <w:trHeight w:val="287"/>
        </w:trPr>
        <w:tc>
          <w:tcPr>
            <w:tcW w:w="1240" w:type="dxa"/>
            <w:tcBorders>
              <w:top w:val="single" w:sz="4" w:space="0" w:color="auto"/>
              <w:bottom w:val="single" w:sz="4" w:space="0" w:color="auto"/>
            </w:tcBorders>
          </w:tcPr>
          <w:p w14:paraId="55CBEE9C" w14:textId="77777777" w:rsidR="00E83D9E" w:rsidRPr="00E83D9E" w:rsidRDefault="00E83D9E" w:rsidP="00916F6A">
            <w:pPr>
              <w:jc w:val="both"/>
              <w:rPr>
                <w:rFonts w:ascii="Times New Roman" w:hAnsi="Times New Roman" w:cs="Times New Roman"/>
                <w:b/>
                <w:i/>
                <w:iCs/>
                <w:sz w:val="24"/>
                <w:szCs w:val="24"/>
              </w:rPr>
            </w:pPr>
          </w:p>
        </w:tc>
        <w:tc>
          <w:tcPr>
            <w:tcW w:w="1244" w:type="dxa"/>
            <w:tcBorders>
              <w:top w:val="single" w:sz="4" w:space="0" w:color="auto"/>
              <w:bottom w:val="single" w:sz="4" w:space="0" w:color="auto"/>
            </w:tcBorders>
          </w:tcPr>
          <w:p w14:paraId="0B8DB7A2" w14:textId="77777777" w:rsidR="00E83D9E" w:rsidRPr="00E83D9E" w:rsidRDefault="00E83D9E" w:rsidP="00916F6A">
            <w:pPr>
              <w:jc w:val="both"/>
              <w:rPr>
                <w:rFonts w:ascii="Times New Roman" w:hAnsi="Times New Roman" w:cs="Times New Roman"/>
                <w:b/>
                <w:i/>
                <w:iCs/>
                <w:sz w:val="24"/>
                <w:szCs w:val="24"/>
              </w:rPr>
            </w:pPr>
            <w:r w:rsidRPr="00E83D9E">
              <w:rPr>
                <w:rFonts w:ascii="Times New Roman" w:hAnsi="Times New Roman" w:cs="Times New Roman"/>
                <w:bCs/>
                <w:i/>
                <w:iCs/>
                <w:sz w:val="24"/>
                <w:szCs w:val="24"/>
              </w:rPr>
              <w:t>REC</w:t>
            </w:r>
          </w:p>
        </w:tc>
        <w:tc>
          <w:tcPr>
            <w:tcW w:w="1204" w:type="dxa"/>
            <w:tcBorders>
              <w:top w:val="single" w:sz="4" w:space="0" w:color="auto"/>
              <w:bottom w:val="single" w:sz="4" w:space="0" w:color="auto"/>
            </w:tcBorders>
          </w:tcPr>
          <w:p w14:paraId="30432658" w14:textId="77777777" w:rsidR="00E83D9E" w:rsidRPr="00E83D9E" w:rsidRDefault="00E83D9E" w:rsidP="00916F6A">
            <w:pPr>
              <w:jc w:val="both"/>
              <w:rPr>
                <w:rFonts w:ascii="Times New Roman" w:hAnsi="Times New Roman" w:cs="Times New Roman"/>
                <w:b/>
                <w:i/>
                <w:iCs/>
                <w:sz w:val="24"/>
                <w:szCs w:val="24"/>
              </w:rPr>
            </w:pPr>
            <w:r w:rsidRPr="00E83D9E">
              <w:rPr>
                <w:rFonts w:ascii="Times New Roman" w:hAnsi="Times New Roman" w:cs="Times New Roman"/>
                <w:bCs/>
                <w:i/>
                <w:iCs/>
                <w:sz w:val="24"/>
                <w:szCs w:val="24"/>
              </w:rPr>
              <w:t>FDI</w:t>
            </w:r>
          </w:p>
        </w:tc>
        <w:tc>
          <w:tcPr>
            <w:tcW w:w="1177" w:type="dxa"/>
            <w:tcBorders>
              <w:top w:val="single" w:sz="4" w:space="0" w:color="auto"/>
              <w:bottom w:val="single" w:sz="4" w:space="0" w:color="auto"/>
            </w:tcBorders>
          </w:tcPr>
          <w:p w14:paraId="1B22C96D" w14:textId="77777777" w:rsidR="00E83D9E" w:rsidRPr="00E83D9E" w:rsidRDefault="00E83D9E" w:rsidP="00916F6A">
            <w:pPr>
              <w:jc w:val="both"/>
              <w:rPr>
                <w:rFonts w:ascii="Times New Roman" w:hAnsi="Times New Roman" w:cs="Times New Roman"/>
                <w:b/>
                <w:i/>
                <w:iCs/>
                <w:sz w:val="24"/>
                <w:szCs w:val="24"/>
              </w:rPr>
            </w:pPr>
            <w:r w:rsidRPr="00E83D9E">
              <w:rPr>
                <w:rFonts w:ascii="Times New Roman" w:hAnsi="Times New Roman" w:cs="Times New Roman"/>
                <w:bCs/>
                <w:i/>
                <w:iCs/>
                <w:sz w:val="24"/>
                <w:szCs w:val="24"/>
              </w:rPr>
              <w:t>TO</w:t>
            </w:r>
          </w:p>
        </w:tc>
        <w:tc>
          <w:tcPr>
            <w:tcW w:w="1197" w:type="dxa"/>
            <w:tcBorders>
              <w:top w:val="single" w:sz="4" w:space="0" w:color="auto"/>
              <w:bottom w:val="single" w:sz="4" w:space="0" w:color="auto"/>
            </w:tcBorders>
          </w:tcPr>
          <w:p w14:paraId="20960AB4" w14:textId="77777777" w:rsidR="00E83D9E" w:rsidRPr="00E83D9E" w:rsidRDefault="00E83D9E" w:rsidP="00916F6A">
            <w:pPr>
              <w:jc w:val="both"/>
              <w:rPr>
                <w:rFonts w:ascii="Times New Roman" w:hAnsi="Times New Roman" w:cs="Times New Roman"/>
                <w:b/>
                <w:i/>
                <w:iCs/>
                <w:sz w:val="24"/>
                <w:szCs w:val="24"/>
              </w:rPr>
            </w:pPr>
            <w:r w:rsidRPr="00E83D9E">
              <w:rPr>
                <w:rFonts w:ascii="Times New Roman" w:hAnsi="Times New Roman" w:cs="Times New Roman"/>
                <w:bCs/>
                <w:i/>
                <w:iCs/>
                <w:sz w:val="24"/>
                <w:szCs w:val="24"/>
              </w:rPr>
              <w:t>IND</w:t>
            </w:r>
          </w:p>
        </w:tc>
        <w:tc>
          <w:tcPr>
            <w:tcW w:w="1183" w:type="dxa"/>
            <w:tcBorders>
              <w:top w:val="single" w:sz="4" w:space="0" w:color="auto"/>
              <w:bottom w:val="single" w:sz="4" w:space="0" w:color="auto"/>
            </w:tcBorders>
          </w:tcPr>
          <w:p w14:paraId="37256665" w14:textId="77777777" w:rsidR="00E83D9E" w:rsidRPr="00E83D9E" w:rsidRDefault="00E83D9E" w:rsidP="00916F6A">
            <w:pPr>
              <w:jc w:val="both"/>
              <w:rPr>
                <w:rFonts w:ascii="Times New Roman" w:hAnsi="Times New Roman" w:cs="Times New Roman"/>
                <w:b/>
                <w:i/>
                <w:iCs/>
                <w:sz w:val="24"/>
                <w:szCs w:val="24"/>
              </w:rPr>
            </w:pPr>
            <w:r w:rsidRPr="00E83D9E">
              <w:rPr>
                <w:rFonts w:ascii="Times New Roman" w:hAnsi="Times New Roman" w:cs="Times New Roman"/>
                <w:bCs/>
                <w:i/>
                <w:iCs/>
                <w:sz w:val="24"/>
                <w:szCs w:val="24"/>
              </w:rPr>
              <w:t>IST</w:t>
            </w:r>
          </w:p>
        </w:tc>
        <w:tc>
          <w:tcPr>
            <w:tcW w:w="984" w:type="dxa"/>
            <w:tcBorders>
              <w:top w:val="single" w:sz="4" w:space="0" w:color="auto"/>
              <w:bottom w:val="single" w:sz="4" w:space="0" w:color="auto"/>
            </w:tcBorders>
          </w:tcPr>
          <w:p w14:paraId="30D603B7" w14:textId="77777777" w:rsidR="00E83D9E" w:rsidRPr="00E83D9E" w:rsidRDefault="00E83D9E" w:rsidP="00916F6A">
            <w:pPr>
              <w:jc w:val="both"/>
              <w:rPr>
                <w:rFonts w:ascii="Times New Roman" w:hAnsi="Times New Roman" w:cs="Times New Roman"/>
                <w:bCs/>
                <w:i/>
                <w:iCs/>
                <w:sz w:val="24"/>
                <w:szCs w:val="24"/>
              </w:rPr>
            </w:pPr>
            <w:r w:rsidRPr="00E83D9E">
              <w:rPr>
                <w:rFonts w:ascii="Times New Roman" w:hAnsi="Times New Roman" w:cs="Times New Roman"/>
                <w:bCs/>
                <w:i/>
                <w:iCs/>
                <w:sz w:val="24"/>
                <w:szCs w:val="24"/>
              </w:rPr>
              <w:t>EP</w:t>
            </w:r>
          </w:p>
        </w:tc>
      </w:tr>
      <w:tr w:rsidR="00E83D9E" w:rsidRPr="00E83D9E" w14:paraId="08327AF4" w14:textId="77777777" w:rsidTr="0093678C">
        <w:trPr>
          <w:trHeight w:val="377"/>
        </w:trPr>
        <w:tc>
          <w:tcPr>
            <w:tcW w:w="1240" w:type="dxa"/>
            <w:tcBorders>
              <w:top w:val="single" w:sz="4" w:space="0" w:color="auto"/>
            </w:tcBorders>
          </w:tcPr>
          <w:p w14:paraId="0419959C" w14:textId="77777777" w:rsidR="00E83D9E" w:rsidRPr="00E83D9E" w:rsidRDefault="00E83D9E" w:rsidP="00916F6A">
            <w:pPr>
              <w:jc w:val="center"/>
              <w:rPr>
                <w:rFonts w:ascii="Times New Roman" w:hAnsi="Times New Roman" w:cs="Times New Roman"/>
                <w:bCs/>
                <w:i/>
                <w:iCs/>
                <w:sz w:val="24"/>
                <w:szCs w:val="24"/>
              </w:rPr>
            </w:pPr>
            <w:r w:rsidRPr="00E83D9E">
              <w:rPr>
                <w:rFonts w:ascii="Times New Roman" w:hAnsi="Times New Roman" w:cs="Times New Roman"/>
                <w:bCs/>
                <w:i/>
                <w:iCs/>
                <w:sz w:val="24"/>
                <w:szCs w:val="24"/>
              </w:rPr>
              <w:t>REC</w:t>
            </w:r>
          </w:p>
        </w:tc>
        <w:tc>
          <w:tcPr>
            <w:tcW w:w="1244" w:type="dxa"/>
            <w:tcBorders>
              <w:top w:val="single" w:sz="4" w:space="0" w:color="auto"/>
            </w:tcBorders>
          </w:tcPr>
          <w:p w14:paraId="648D2DCE" w14:textId="77777777" w:rsidR="00E83D9E" w:rsidRPr="00E83D9E" w:rsidRDefault="00E83D9E" w:rsidP="00916F6A">
            <w:pPr>
              <w:pStyle w:val="NormalWeb"/>
              <w:spacing w:before="0" w:beforeAutospacing="0" w:after="0" w:afterAutospacing="0"/>
              <w:jc w:val="center"/>
            </w:pPr>
            <w:r w:rsidRPr="00E83D9E">
              <w:rPr>
                <w:kern w:val="24"/>
              </w:rPr>
              <w:t>1.0000</w:t>
            </w:r>
          </w:p>
        </w:tc>
        <w:tc>
          <w:tcPr>
            <w:tcW w:w="1204" w:type="dxa"/>
            <w:tcBorders>
              <w:top w:val="single" w:sz="4" w:space="0" w:color="auto"/>
            </w:tcBorders>
          </w:tcPr>
          <w:p w14:paraId="3755CC6D" w14:textId="77777777" w:rsidR="00E83D9E" w:rsidRPr="00E83D9E" w:rsidRDefault="00E83D9E" w:rsidP="00916F6A">
            <w:pPr>
              <w:rPr>
                <w:rFonts w:ascii="Times New Roman" w:hAnsi="Times New Roman" w:cs="Times New Roman"/>
                <w:sz w:val="24"/>
                <w:szCs w:val="24"/>
              </w:rPr>
            </w:pPr>
          </w:p>
        </w:tc>
        <w:tc>
          <w:tcPr>
            <w:tcW w:w="1177" w:type="dxa"/>
            <w:tcBorders>
              <w:top w:val="single" w:sz="4" w:space="0" w:color="auto"/>
            </w:tcBorders>
          </w:tcPr>
          <w:p w14:paraId="71904178" w14:textId="77777777" w:rsidR="00E83D9E" w:rsidRPr="00E83D9E" w:rsidRDefault="00E83D9E" w:rsidP="00916F6A">
            <w:pPr>
              <w:rPr>
                <w:rFonts w:ascii="Times New Roman" w:hAnsi="Times New Roman" w:cs="Times New Roman"/>
                <w:sz w:val="24"/>
                <w:szCs w:val="24"/>
              </w:rPr>
            </w:pPr>
          </w:p>
        </w:tc>
        <w:tc>
          <w:tcPr>
            <w:tcW w:w="1197" w:type="dxa"/>
            <w:tcBorders>
              <w:top w:val="single" w:sz="4" w:space="0" w:color="auto"/>
            </w:tcBorders>
          </w:tcPr>
          <w:p w14:paraId="462C8A8F" w14:textId="77777777" w:rsidR="00E83D9E" w:rsidRPr="00E83D9E" w:rsidRDefault="00E83D9E" w:rsidP="00916F6A">
            <w:pPr>
              <w:rPr>
                <w:rFonts w:ascii="Times New Roman" w:hAnsi="Times New Roman" w:cs="Times New Roman"/>
                <w:sz w:val="24"/>
                <w:szCs w:val="24"/>
              </w:rPr>
            </w:pPr>
          </w:p>
        </w:tc>
        <w:tc>
          <w:tcPr>
            <w:tcW w:w="1183" w:type="dxa"/>
            <w:tcBorders>
              <w:top w:val="single" w:sz="4" w:space="0" w:color="auto"/>
            </w:tcBorders>
          </w:tcPr>
          <w:p w14:paraId="35CC746E" w14:textId="77777777" w:rsidR="00E83D9E" w:rsidRPr="00E83D9E" w:rsidRDefault="00E83D9E" w:rsidP="00916F6A">
            <w:pPr>
              <w:rPr>
                <w:rFonts w:ascii="Times New Roman" w:hAnsi="Times New Roman" w:cs="Times New Roman"/>
                <w:sz w:val="24"/>
                <w:szCs w:val="24"/>
              </w:rPr>
            </w:pPr>
          </w:p>
        </w:tc>
        <w:tc>
          <w:tcPr>
            <w:tcW w:w="984" w:type="dxa"/>
            <w:tcBorders>
              <w:top w:val="single" w:sz="4" w:space="0" w:color="auto"/>
            </w:tcBorders>
          </w:tcPr>
          <w:p w14:paraId="7F9B69B0" w14:textId="77777777" w:rsidR="00E83D9E" w:rsidRPr="00E83D9E" w:rsidRDefault="00E83D9E" w:rsidP="00916F6A">
            <w:pPr>
              <w:rPr>
                <w:rFonts w:ascii="Times New Roman" w:hAnsi="Times New Roman" w:cs="Times New Roman"/>
                <w:sz w:val="24"/>
                <w:szCs w:val="24"/>
              </w:rPr>
            </w:pPr>
          </w:p>
        </w:tc>
      </w:tr>
      <w:tr w:rsidR="00E83D9E" w:rsidRPr="00E83D9E" w14:paraId="432F914A" w14:textId="77777777" w:rsidTr="0093678C">
        <w:tc>
          <w:tcPr>
            <w:tcW w:w="1240" w:type="dxa"/>
          </w:tcPr>
          <w:p w14:paraId="47B1963E" w14:textId="77777777" w:rsidR="00E83D9E" w:rsidRPr="00E83D9E" w:rsidRDefault="00E83D9E" w:rsidP="00916F6A">
            <w:pPr>
              <w:jc w:val="center"/>
              <w:rPr>
                <w:rFonts w:ascii="Times New Roman" w:hAnsi="Times New Roman" w:cs="Times New Roman"/>
                <w:bCs/>
                <w:i/>
                <w:iCs/>
                <w:sz w:val="24"/>
                <w:szCs w:val="24"/>
              </w:rPr>
            </w:pPr>
            <w:r w:rsidRPr="00E83D9E">
              <w:rPr>
                <w:rFonts w:ascii="Times New Roman" w:hAnsi="Times New Roman" w:cs="Times New Roman"/>
                <w:bCs/>
                <w:i/>
                <w:iCs/>
                <w:sz w:val="24"/>
                <w:szCs w:val="24"/>
              </w:rPr>
              <w:t>FDI</w:t>
            </w:r>
          </w:p>
        </w:tc>
        <w:tc>
          <w:tcPr>
            <w:tcW w:w="1244" w:type="dxa"/>
          </w:tcPr>
          <w:p w14:paraId="02DDA36A" w14:textId="77777777" w:rsidR="00E83D9E" w:rsidRPr="00E83D9E" w:rsidRDefault="00E83D9E" w:rsidP="00916F6A">
            <w:pPr>
              <w:pStyle w:val="NormalWeb"/>
              <w:spacing w:before="0" w:beforeAutospacing="0" w:after="0" w:afterAutospacing="0"/>
              <w:jc w:val="center"/>
            </w:pPr>
            <w:r w:rsidRPr="00E83D9E">
              <w:rPr>
                <w:kern w:val="24"/>
              </w:rPr>
              <w:t>-0.1185</w:t>
            </w:r>
          </w:p>
        </w:tc>
        <w:tc>
          <w:tcPr>
            <w:tcW w:w="1204" w:type="dxa"/>
          </w:tcPr>
          <w:p w14:paraId="32F47B5E" w14:textId="77777777" w:rsidR="00E83D9E" w:rsidRPr="00E83D9E" w:rsidRDefault="00E83D9E" w:rsidP="00916F6A">
            <w:pPr>
              <w:pStyle w:val="NormalWeb"/>
              <w:spacing w:before="0" w:beforeAutospacing="0" w:after="0" w:afterAutospacing="0"/>
              <w:jc w:val="center"/>
            </w:pPr>
            <w:r w:rsidRPr="00E83D9E">
              <w:rPr>
                <w:kern w:val="24"/>
              </w:rPr>
              <w:t>1.0000</w:t>
            </w:r>
          </w:p>
        </w:tc>
        <w:tc>
          <w:tcPr>
            <w:tcW w:w="1177" w:type="dxa"/>
          </w:tcPr>
          <w:p w14:paraId="682D893F" w14:textId="77777777" w:rsidR="00E83D9E" w:rsidRPr="00E83D9E" w:rsidRDefault="00E83D9E" w:rsidP="00916F6A">
            <w:pPr>
              <w:rPr>
                <w:rFonts w:ascii="Times New Roman" w:hAnsi="Times New Roman" w:cs="Times New Roman"/>
                <w:sz w:val="24"/>
                <w:szCs w:val="24"/>
              </w:rPr>
            </w:pPr>
          </w:p>
        </w:tc>
        <w:tc>
          <w:tcPr>
            <w:tcW w:w="1197" w:type="dxa"/>
          </w:tcPr>
          <w:p w14:paraId="35F72B1D" w14:textId="77777777" w:rsidR="00E83D9E" w:rsidRPr="00E83D9E" w:rsidRDefault="00E83D9E" w:rsidP="00916F6A">
            <w:pPr>
              <w:rPr>
                <w:rFonts w:ascii="Times New Roman" w:hAnsi="Times New Roman" w:cs="Times New Roman"/>
                <w:sz w:val="24"/>
                <w:szCs w:val="24"/>
              </w:rPr>
            </w:pPr>
          </w:p>
        </w:tc>
        <w:tc>
          <w:tcPr>
            <w:tcW w:w="1183" w:type="dxa"/>
          </w:tcPr>
          <w:p w14:paraId="663DC502" w14:textId="77777777" w:rsidR="00E83D9E" w:rsidRPr="00E83D9E" w:rsidRDefault="00E83D9E" w:rsidP="00916F6A">
            <w:pPr>
              <w:rPr>
                <w:rFonts w:ascii="Times New Roman" w:hAnsi="Times New Roman" w:cs="Times New Roman"/>
                <w:sz w:val="24"/>
                <w:szCs w:val="24"/>
              </w:rPr>
            </w:pPr>
          </w:p>
        </w:tc>
        <w:tc>
          <w:tcPr>
            <w:tcW w:w="984" w:type="dxa"/>
          </w:tcPr>
          <w:p w14:paraId="6ABBD6E2" w14:textId="77777777" w:rsidR="00E83D9E" w:rsidRPr="00E83D9E" w:rsidRDefault="00E83D9E" w:rsidP="00916F6A">
            <w:pPr>
              <w:rPr>
                <w:rFonts w:ascii="Times New Roman" w:hAnsi="Times New Roman" w:cs="Times New Roman"/>
                <w:sz w:val="24"/>
                <w:szCs w:val="24"/>
              </w:rPr>
            </w:pPr>
          </w:p>
        </w:tc>
      </w:tr>
      <w:tr w:rsidR="00E83D9E" w:rsidRPr="00E83D9E" w14:paraId="565C60A8" w14:textId="77777777" w:rsidTr="0093678C">
        <w:tc>
          <w:tcPr>
            <w:tcW w:w="1240" w:type="dxa"/>
          </w:tcPr>
          <w:p w14:paraId="12E5A106" w14:textId="77777777" w:rsidR="00E83D9E" w:rsidRPr="00E83D9E" w:rsidRDefault="00E83D9E" w:rsidP="00916F6A">
            <w:pPr>
              <w:jc w:val="center"/>
              <w:rPr>
                <w:rFonts w:ascii="Times New Roman" w:hAnsi="Times New Roman" w:cs="Times New Roman"/>
                <w:bCs/>
                <w:i/>
                <w:iCs/>
                <w:sz w:val="24"/>
                <w:szCs w:val="24"/>
              </w:rPr>
            </w:pPr>
            <w:r w:rsidRPr="00E83D9E">
              <w:rPr>
                <w:rFonts w:ascii="Times New Roman" w:hAnsi="Times New Roman" w:cs="Times New Roman"/>
                <w:bCs/>
                <w:i/>
                <w:iCs/>
                <w:sz w:val="24"/>
                <w:szCs w:val="24"/>
              </w:rPr>
              <w:t>TO</w:t>
            </w:r>
          </w:p>
        </w:tc>
        <w:tc>
          <w:tcPr>
            <w:tcW w:w="1244" w:type="dxa"/>
          </w:tcPr>
          <w:p w14:paraId="0E5F0E31" w14:textId="77777777" w:rsidR="00E83D9E" w:rsidRPr="00E83D9E" w:rsidRDefault="00E83D9E" w:rsidP="00916F6A">
            <w:pPr>
              <w:pStyle w:val="NormalWeb"/>
              <w:spacing w:before="0" w:beforeAutospacing="0" w:after="0" w:afterAutospacing="0"/>
              <w:jc w:val="center"/>
            </w:pPr>
            <w:r w:rsidRPr="00E83D9E">
              <w:rPr>
                <w:kern w:val="24"/>
              </w:rPr>
              <w:t>-0.2584</w:t>
            </w:r>
          </w:p>
        </w:tc>
        <w:tc>
          <w:tcPr>
            <w:tcW w:w="1204" w:type="dxa"/>
          </w:tcPr>
          <w:p w14:paraId="547AA122" w14:textId="77777777" w:rsidR="00E83D9E" w:rsidRPr="00E83D9E" w:rsidRDefault="00E83D9E" w:rsidP="00916F6A">
            <w:pPr>
              <w:pStyle w:val="NormalWeb"/>
              <w:spacing w:before="0" w:beforeAutospacing="0" w:after="0" w:afterAutospacing="0"/>
              <w:jc w:val="center"/>
            </w:pPr>
            <w:r w:rsidRPr="00E83D9E">
              <w:rPr>
                <w:kern w:val="24"/>
              </w:rPr>
              <w:t xml:space="preserve"> 0.3561 </w:t>
            </w:r>
          </w:p>
        </w:tc>
        <w:tc>
          <w:tcPr>
            <w:tcW w:w="1177" w:type="dxa"/>
          </w:tcPr>
          <w:p w14:paraId="7F8485F7" w14:textId="77777777" w:rsidR="00E83D9E" w:rsidRPr="00E83D9E" w:rsidRDefault="00E83D9E" w:rsidP="00916F6A">
            <w:pPr>
              <w:pStyle w:val="NormalWeb"/>
              <w:spacing w:before="0" w:beforeAutospacing="0" w:after="0" w:afterAutospacing="0"/>
              <w:jc w:val="center"/>
            </w:pPr>
            <w:r w:rsidRPr="00E83D9E">
              <w:rPr>
                <w:kern w:val="24"/>
              </w:rPr>
              <w:t>1.0000</w:t>
            </w:r>
          </w:p>
        </w:tc>
        <w:tc>
          <w:tcPr>
            <w:tcW w:w="1197" w:type="dxa"/>
          </w:tcPr>
          <w:p w14:paraId="1A145529" w14:textId="77777777" w:rsidR="00E83D9E" w:rsidRPr="00E83D9E" w:rsidRDefault="00E83D9E" w:rsidP="00916F6A">
            <w:pPr>
              <w:rPr>
                <w:rFonts w:ascii="Times New Roman" w:hAnsi="Times New Roman" w:cs="Times New Roman"/>
                <w:sz w:val="24"/>
                <w:szCs w:val="24"/>
              </w:rPr>
            </w:pPr>
          </w:p>
        </w:tc>
        <w:tc>
          <w:tcPr>
            <w:tcW w:w="1183" w:type="dxa"/>
          </w:tcPr>
          <w:p w14:paraId="1913C643" w14:textId="77777777" w:rsidR="00E83D9E" w:rsidRPr="00E83D9E" w:rsidRDefault="00E83D9E" w:rsidP="00916F6A">
            <w:pPr>
              <w:rPr>
                <w:rFonts w:ascii="Times New Roman" w:hAnsi="Times New Roman" w:cs="Times New Roman"/>
                <w:sz w:val="24"/>
                <w:szCs w:val="24"/>
              </w:rPr>
            </w:pPr>
          </w:p>
        </w:tc>
        <w:tc>
          <w:tcPr>
            <w:tcW w:w="984" w:type="dxa"/>
          </w:tcPr>
          <w:p w14:paraId="26A9ACF1" w14:textId="77777777" w:rsidR="00E83D9E" w:rsidRPr="00E83D9E" w:rsidRDefault="00E83D9E" w:rsidP="00916F6A">
            <w:pPr>
              <w:rPr>
                <w:rFonts w:ascii="Times New Roman" w:hAnsi="Times New Roman" w:cs="Times New Roman"/>
                <w:sz w:val="24"/>
                <w:szCs w:val="24"/>
              </w:rPr>
            </w:pPr>
          </w:p>
        </w:tc>
      </w:tr>
      <w:tr w:rsidR="00E83D9E" w:rsidRPr="00E83D9E" w14:paraId="7D6C5DA6" w14:textId="77777777" w:rsidTr="0093678C">
        <w:tc>
          <w:tcPr>
            <w:tcW w:w="1240" w:type="dxa"/>
          </w:tcPr>
          <w:p w14:paraId="30F4F555" w14:textId="77777777" w:rsidR="00E83D9E" w:rsidRPr="00E83D9E" w:rsidRDefault="00E83D9E" w:rsidP="00916F6A">
            <w:pPr>
              <w:jc w:val="center"/>
              <w:rPr>
                <w:rFonts w:ascii="Times New Roman" w:hAnsi="Times New Roman" w:cs="Times New Roman"/>
                <w:bCs/>
                <w:i/>
                <w:iCs/>
                <w:sz w:val="24"/>
                <w:szCs w:val="24"/>
              </w:rPr>
            </w:pPr>
            <w:r w:rsidRPr="00E83D9E">
              <w:rPr>
                <w:rFonts w:ascii="Times New Roman" w:hAnsi="Times New Roman" w:cs="Times New Roman"/>
                <w:bCs/>
                <w:i/>
                <w:iCs/>
                <w:sz w:val="24"/>
                <w:szCs w:val="24"/>
              </w:rPr>
              <w:t>IND</w:t>
            </w:r>
          </w:p>
        </w:tc>
        <w:tc>
          <w:tcPr>
            <w:tcW w:w="1244" w:type="dxa"/>
          </w:tcPr>
          <w:p w14:paraId="407491B9" w14:textId="77777777" w:rsidR="00E83D9E" w:rsidRPr="00E83D9E" w:rsidRDefault="00E83D9E" w:rsidP="00916F6A">
            <w:pPr>
              <w:pStyle w:val="NormalWeb"/>
              <w:spacing w:before="0" w:beforeAutospacing="0" w:after="0" w:afterAutospacing="0"/>
              <w:jc w:val="center"/>
            </w:pPr>
            <w:r w:rsidRPr="00E83D9E">
              <w:rPr>
                <w:rFonts w:eastAsia="Calibri"/>
                <w:kern w:val="24"/>
              </w:rPr>
              <w:t>0.3443</w:t>
            </w:r>
          </w:p>
        </w:tc>
        <w:tc>
          <w:tcPr>
            <w:tcW w:w="1204" w:type="dxa"/>
          </w:tcPr>
          <w:p w14:paraId="59A96D17" w14:textId="77777777" w:rsidR="00E83D9E" w:rsidRPr="00E83D9E" w:rsidRDefault="00E83D9E" w:rsidP="00916F6A">
            <w:pPr>
              <w:pStyle w:val="NormalWeb"/>
              <w:spacing w:before="0" w:beforeAutospacing="0" w:after="0" w:afterAutospacing="0"/>
              <w:jc w:val="center"/>
            </w:pPr>
            <w:r w:rsidRPr="00E83D9E">
              <w:rPr>
                <w:rFonts w:eastAsia="Calibri"/>
                <w:kern w:val="24"/>
              </w:rPr>
              <w:t>0.0129</w:t>
            </w:r>
          </w:p>
        </w:tc>
        <w:tc>
          <w:tcPr>
            <w:tcW w:w="1177" w:type="dxa"/>
          </w:tcPr>
          <w:p w14:paraId="53CAE1F9" w14:textId="77777777" w:rsidR="00E83D9E" w:rsidRPr="00E83D9E" w:rsidRDefault="00E83D9E" w:rsidP="00916F6A">
            <w:pPr>
              <w:pStyle w:val="NormalWeb"/>
              <w:spacing w:before="0" w:beforeAutospacing="0" w:after="0" w:afterAutospacing="0"/>
              <w:jc w:val="center"/>
            </w:pPr>
            <w:r w:rsidRPr="00E83D9E">
              <w:rPr>
                <w:rFonts w:eastAsia="Calibri"/>
                <w:kern w:val="24"/>
              </w:rPr>
              <w:t>0.1916</w:t>
            </w:r>
          </w:p>
        </w:tc>
        <w:tc>
          <w:tcPr>
            <w:tcW w:w="1197" w:type="dxa"/>
          </w:tcPr>
          <w:p w14:paraId="294BE666" w14:textId="77777777" w:rsidR="00E83D9E" w:rsidRPr="00E83D9E" w:rsidRDefault="00E83D9E" w:rsidP="00916F6A">
            <w:pPr>
              <w:pStyle w:val="NormalWeb"/>
              <w:spacing w:before="0" w:beforeAutospacing="0" w:after="0" w:afterAutospacing="0"/>
              <w:jc w:val="center"/>
            </w:pPr>
            <w:r w:rsidRPr="00E83D9E">
              <w:rPr>
                <w:kern w:val="24"/>
              </w:rPr>
              <w:t>1.0000</w:t>
            </w:r>
          </w:p>
        </w:tc>
        <w:tc>
          <w:tcPr>
            <w:tcW w:w="1183" w:type="dxa"/>
          </w:tcPr>
          <w:p w14:paraId="5FD2A1D5" w14:textId="77777777" w:rsidR="00E83D9E" w:rsidRPr="00E83D9E" w:rsidRDefault="00E83D9E" w:rsidP="00916F6A">
            <w:pPr>
              <w:rPr>
                <w:rFonts w:ascii="Times New Roman" w:hAnsi="Times New Roman" w:cs="Times New Roman"/>
                <w:sz w:val="24"/>
                <w:szCs w:val="24"/>
              </w:rPr>
            </w:pPr>
          </w:p>
        </w:tc>
        <w:tc>
          <w:tcPr>
            <w:tcW w:w="984" w:type="dxa"/>
          </w:tcPr>
          <w:p w14:paraId="2E974CDC" w14:textId="77777777" w:rsidR="00E83D9E" w:rsidRPr="00E83D9E" w:rsidRDefault="00E83D9E" w:rsidP="00916F6A">
            <w:pPr>
              <w:rPr>
                <w:rFonts w:ascii="Times New Roman" w:hAnsi="Times New Roman" w:cs="Times New Roman"/>
                <w:sz w:val="24"/>
                <w:szCs w:val="24"/>
              </w:rPr>
            </w:pPr>
          </w:p>
        </w:tc>
      </w:tr>
      <w:tr w:rsidR="00E83D9E" w:rsidRPr="00E83D9E" w14:paraId="6E69773F" w14:textId="77777777" w:rsidTr="0093678C">
        <w:tc>
          <w:tcPr>
            <w:tcW w:w="1240" w:type="dxa"/>
          </w:tcPr>
          <w:p w14:paraId="41519F51" w14:textId="77777777" w:rsidR="00E83D9E" w:rsidRPr="00E83D9E" w:rsidRDefault="00E83D9E" w:rsidP="00916F6A">
            <w:pPr>
              <w:jc w:val="center"/>
              <w:rPr>
                <w:rFonts w:ascii="Times New Roman" w:hAnsi="Times New Roman" w:cs="Times New Roman"/>
                <w:bCs/>
                <w:i/>
                <w:iCs/>
                <w:sz w:val="24"/>
                <w:szCs w:val="24"/>
              </w:rPr>
            </w:pPr>
            <w:r w:rsidRPr="00E83D9E">
              <w:rPr>
                <w:rFonts w:ascii="Times New Roman" w:hAnsi="Times New Roman" w:cs="Times New Roman"/>
                <w:bCs/>
                <w:i/>
                <w:iCs/>
                <w:sz w:val="24"/>
                <w:szCs w:val="24"/>
              </w:rPr>
              <w:t>IST</w:t>
            </w:r>
          </w:p>
        </w:tc>
        <w:tc>
          <w:tcPr>
            <w:tcW w:w="1244" w:type="dxa"/>
          </w:tcPr>
          <w:p w14:paraId="7359C38F" w14:textId="77777777" w:rsidR="00E83D9E" w:rsidRPr="00E83D9E" w:rsidRDefault="00E83D9E" w:rsidP="00916F6A">
            <w:pPr>
              <w:pStyle w:val="NormalWeb"/>
              <w:spacing w:before="0" w:beforeAutospacing="0" w:after="0" w:afterAutospacing="0"/>
              <w:jc w:val="center"/>
            </w:pPr>
            <w:r w:rsidRPr="00E83D9E">
              <w:rPr>
                <w:rFonts w:eastAsia="Calibri"/>
                <w:kern w:val="24"/>
              </w:rPr>
              <w:t>0.1270</w:t>
            </w:r>
          </w:p>
        </w:tc>
        <w:tc>
          <w:tcPr>
            <w:tcW w:w="1204" w:type="dxa"/>
          </w:tcPr>
          <w:p w14:paraId="6514E99A" w14:textId="77777777" w:rsidR="00E83D9E" w:rsidRPr="00E83D9E" w:rsidRDefault="00E83D9E" w:rsidP="00916F6A">
            <w:pPr>
              <w:pStyle w:val="NormalWeb"/>
              <w:spacing w:before="0" w:beforeAutospacing="0" w:after="0" w:afterAutospacing="0"/>
              <w:jc w:val="center"/>
              <w:rPr>
                <w:rFonts w:eastAsia="Calibri"/>
                <w:kern w:val="24"/>
              </w:rPr>
            </w:pPr>
            <w:r w:rsidRPr="00E83D9E">
              <w:rPr>
                <w:rFonts w:eastAsia="Calibri"/>
                <w:kern w:val="24"/>
              </w:rPr>
              <w:t>0.0463</w:t>
            </w:r>
          </w:p>
        </w:tc>
        <w:tc>
          <w:tcPr>
            <w:tcW w:w="1177" w:type="dxa"/>
          </w:tcPr>
          <w:p w14:paraId="6E52A597" w14:textId="77777777" w:rsidR="00E83D9E" w:rsidRPr="00E83D9E" w:rsidRDefault="00E83D9E" w:rsidP="00916F6A">
            <w:pPr>
              <w:pStyle w:val="NormalWeb"/>
              <w:spacing w:before="0" w:beforeAutospacing="0" w:after="0" w:afterAutospacing="0"/>
              <w:jc w:val="center"/>
              <w:rPr>
                <w:rFonts w:eastAsia="Calibri"/>
                <w:kern w:val="24"/>
              </w:rPr>
            </w:pPr>
            <w:r w:rsidRPr="00E83D9E">
              <w:rPr>
                <w:rFonts w:eastAsia="Calibri"/>
                <w:kern w:val="24"/>
              </w:rPr>
              <w:t>0.2949</w:t>
            </w:r>
          </w:p>
        </w:tc>
        <w:tc>
          <w:tcPr>
            <w:tcW w:w="1197" w:type="dxa"/>
          </w:tcPr>
          <w:p w14:paraId="73A77A3A" w14:textId="77777777" w:rsidR="00E83D9E" w:rsidRPr="00E83D9E" w:rsidRDefault="00E83D9E" w:rsidP="00916F6A">
            <w:pPr>
              <w:pStyle w:val="NormalWeb"/>
              <w:spacing w:before="0" w:beforeAutospacing="0" w:after="0" w:afterAutospacing="0"/>
              <w:jc w:val="center"/>
              <w:rPr>
                <w:kern w:val="24"/>
              </w:rPr>
            </w:pPr>
            <w:r w:rsidRPr="00E83D9E">
              <w:rPr>
                <w:rFonts w:eastAsia="Calibri"/>
                <w:kern w:val="24"/>
              </w:rPr>
              <w:t>-0.1834</w:t>
            </w:r>
          </w:p>
        </w:tc>
        <w:tc>
          <w:tcPr>
            <w:tcW w:w="1183" w:type="dxa"/>
          </w:tcPr>
          <w:p w14:paraId="7B090451" w14:textId="77777777" w:rsidR="00E83D9E" w:rsidRPr="00E83D9E" w:rsidRDefault="00E83D9E" w:rsidP="00916F6A">
            <w:pPr>
              <w:rPr>
                <w:rFonts w:ascii="Times New Roman" w:hAnsi="Times New Roman" w:cs="Times New Roman"/>
                <w:sz w:val="24"/>
                <w:szCs w:val="24"/>
              </w:rPr>
            </w:pPr>
            <w:r w:rsidRPr="00E83D9E">
              <w:rPr>
                <w:rFonts w:ascii="Times New Roman" w:eastAsia="Calibri" w:hAnsi="Times New Roman" w:cs="Times New Roman"/>
                <w:kern w:val="24"/>
                <w:sz w:val="24"/>
                <w:szCs w:val="24"/>
              </w:rPr>
              <w:t>1.0000</w:t>
            </w:r>
          </w:p>
        </w:tc>
        <w:tc>
          <w:tcPr>
            <w:tcW w:w="984" w:type="dxa"/>
          </w:tcPr>
          <w:p w14:paraId="23F7A45E" w14:textId="77777777" w:rsidR="00E83D9E" w:rsidRPr="00E83D9E" w:rsidRDefault="00E83D9E" w:rsidP="00916F6A">
            <w:pPr>
              <w:rPr>
                <w:rFonts w:ascii="Times New Roman" w:eastAsia="Calibri" w:hAnsi="Times New Roman" w:cs="Times New Roman"/>
                <w:kern w:val="24"/>
                <w:sz w:val="24"/>
                <w:szCs w:val="24"/>
              </w:rPr>
            </w:pPr>
          </w:p>
        </w:tc>
      </w:tr>
      <w:tr w:rsidR="00E83D9E" w:rsidRPr="00E83D9E" w14:paraId="5AF1A048" w14:textId="77777777" w:rsidTr="0093678C">
        <w:trPr>
          <w:trHeight w:val="87"/>
        </w:trPr>
        <w:tc>
          <w:tcPr>
            <w:tcW w:w="1240" w:type="dxa"/>
          </w:tcPr>
          <w:p w14:paraId="5F10A891" w14:textId="77777777" w:rsidR="00E83D9E" w:rsidRPr="00E83D9E" w:rsidRDefault="00E83D9E" w:rsidP="00916F6A">
            <w:pPr>
              <w:jc w:val="center"/>
              <w:rPr>
                <w:rFonts w:ascii="Times New Roman" w:hAnsi="Times New Roman" w:cs="Times New Roman"/>
                <w:bCs/>
                <w:i/>
                <w:iCs/>
                <w:sz w:val="24"/>
                <w:szCs w:val="24"/>
              </w:rPr>
            </w:pPr>
            <w:r w:rsidRPr="00E83D9E">
              <w:rPr>
                <w:rFonts w:ascii="Times New Roman" w:hAnsi="Times New Roman" w:cs="Times New Roman"/>
                <w:bCs/>
                <w:i/>
                <w:iCs/>
                <w:sz w:val="24"/>
                <w:szCs w:val="24"/>
              </w:rPr>
              <w:t>EP</w:t>
            </w:r>
          </w:p>
        </w:tc>
        <w:tc>
          <w:tcPr>
            <w:tcW w:w="1244" w:type="dxa"/>
          </w:tcPr>
          <w:p w14:paraId="1D1FA61C" w14:textId="77777777" w:rsidR="00E83D9E" w:rsidRPr="00E83D9E" w:rsidRDefault="00E83D9E" w:rsidP="00916F6A">
            <w:pPr>
              <w:pStyle w:val="NormalWeb"/>
              <w:spacing w:before="0" w:beforeAutospacing="0" w:after="0" w:afterAutospacing="0"/>
              <w:jc w:val="center"/>
            </w:pPr>
            <w:r w:rsidRPr="00E83D9E">
              <w:rPr>
                <w:rFonts w:eastAsia="Calibri"/>
                <w:kern w:val="24"/>
              </w:rPr>
              <w:t>0.0198</w:t>
            </w:r>
          </w:p>
        </w:tc>
        <w:tc>
          <w:tcPr>
            <w:tcW w:w="1204" w:type="dxa"/>
          </w:tcPr>
          <w:p w14:paraId="07E4D686" w14:textId="77777777" w:rsidR="00E83D9E" w:rsidRPr="00E83D9E" w:rsidRDefault="00E83D9E" w:rsidP="00916F6A">
            <w:pPr>
              <w:pStyle w:val="NormalWeb"/>
              <w:spacing w:before="0" w:beforeAutospacing="0" w:after="0" w:afterAutospacing="0"/>
              <w:jc w:val="center"/>
            </w:pPr>
            <w:r w:rsidRPr="00E83D9E">
              <w:rPr>
                <w:rFonts w:eastAsia="Calibri"/>
                <w:kern w:val="24"/>
              </w:rPr>
              <w:t>0.6969</w:t>
            </w:r>
          </w:p>
        </w:tc>
        <w:tc>
          <w:tcPr>
            <w:tcW w:w="1177" w:type="dxa"/>
          </w:tcPr>
          <w:p w14:paraId="71068421" w14:textId="77777777" w:rsidR="00E83D9E" w:rsidRPr="00E83D9E" w:rsidRDefault="00E83D9E" w:rsidP="00916F6A">
            <w:pPr>
              <w:pStyle w:val="NormalWeb"/>
              <w:spacing w:before="0" w:beforeAutospacing="0" w:after="0" w:afterAutospacing="0"/>
              <w:jc w:val="center"/>
            </w:pPr>
            <w:r w:rsidRPr="00E83D9E">
              <w:rPr>
                <w:rFonts w:eastAsia="Calibri"/>
                <w:kern w:val="24"/>
              </w:rPr>
              <w:t>0.2517</w:t>
            </w:r>
          </w:p>
        </w:tc>
        <w:tc>
          <w:tcPr>
            <w:tcW w:w="1197" w:type="dxa"/>
          </w:tcPr>
          <w:p w14:paraId="2207E1B2" w14:textId="77777777" w:rsidR="00E83D9E" w:rsidRPr="00E83D9E" w:rsidRDefault="00E83D9E" w:rsidP="00916F6A">
            <w:pPr>
              <w:pStyle w:val="NormalWeb"/>
              <w:spacing w:before="0" w:beforeAutospacing="0" w:after="0" w:afterAutospacing="0"/>
              <w:jc w:val="center"/>
            </w:pPr>
            <w:r w:rsidRPr="00E83D9E">
              <w:rPr>
                <w:rFonts w:eastAsia="Calibri"/>
                <w:kern w:val="24"/>
              </w:rPr>
              <w:t>0.1903</w:t>
            </w:r>
          </w:p>
        </w:tc>
        <w:tc>
          <w:tcPr>
            <w:tcW w:w="1183" w:type="dxa"/>
          </w:tcPr>
          <w:p w14:paraId="236A3F4F" w14:textId="77777777" w:rsidR="00E83D9E" w:rsidRPr="00E83D9E" w:rsidRDefault="00E83D9E" w:rsidP="00916F6A">
            <w:pPr>
              <w:pStyle w:val="NormalWeb"/>
              <w:spacing w:before="0" w:beforeAutospacing="0" w:after="0" w:afterAutospacing="0"/>
              <w:jc w:val="center"/>
            </w:pPr>
            <w:r w:rsidRPr="00E83D9E">
              <w:rPr>
                <w:rFonts w:eastAsia="Calibri"/>
                <w:kern w:val="24"/>
              </w:rPr>
              <w:t>0.3578</w:t>
            </w:r>
          </w:p>
        </w:tc>
        <w:tc>
          <w:tcPr>
            <w:tcW w:w="984" w:type="dxa"/>
          </w:tcPr>
          <w:p w14:paraId="3E0B84C7" w14:textId="77777777" w:rsidR="00E83D9E" w:rsidRPr="00E83D9E" w:rsidRDefault="00E83D9E" w:rsidP="00916F6A">
            <w:pPr>
              <w:pStyle w:val="NormalWeb"/>
              <w:spacing w:before="0" w:beforeAutospacing="0" w:after="0" w:afterAutospacing="0"/>
              <w:jc w:val="center"/>
              <w:rPr>
                <w:rFonts w:eastAsia="Calibri"/>
                <w:kern w:val="24"/>
              </w:rPr>
            </w:pPr>
            <w:r w:rsidRPr="00E83D9E">
              <w:rPr>
                <w:rFonts w:eastAsia="Calibri"/>
                <w:kern w:val="24"/>
              </w:rPr>
              <w:t>1.0000</w:t>
            </w:r>
          </w:p>
        </w:tc>
      </w:tr>
    </w:tbl>
    <w:p w14:paraId="029EC9C5" w14:textId="2112B985" w:rsidR="00EB6693" w:rsidRPr="00E83D9E" w:rsidRDefault="00EB6693" w:rsidP="00916F6A">
      <w:pPr>
        <w:spacing w:line="360" w:lineRule="auto"/>
        <w:jc w:val="both"/>
        <w:rPr>
          <w:rFonts w:ascii="Times New Roman" w:hAnsi="Times New Roman" w:cs="Times New Roman"/>
          <w:b/>
          <w:i/>
          <w:iCs/>
          <w:sz w:val="24"/>
          <w:szCs w:val="24"/>
        </w:rPr>
      </w:pPr>
      <w:r w:rsidRPr="00E83D9E">
        <w:rPr>
          <w:rFonts w:ascii="Times New Roman" w:hAnsi="Times New Roman" w:cs="Times New Roman"/>
          <w:b/>
          <w:i/>
          <w:iCs/>
          <w:sz w:val="24"/>
          <w:szCs w:val="24"/>
        </w:rPr>
        <w:t>Source: Authors</w:t>
      </w:r>
      <w:r w:rsidR="006B0C0E">
        <w:rPr>
          <w:rFonts w:ascii="Times New Roman" w:hAnsi="Times New Roman" w:cs="Times New Roman"/>
          <w:b/>
          <w:i/>
          <w:iCs/>
          <w:sz w:val="24"/>
          <w:szCs w:val="24"/>
        </w:rPr>
        <w:t>’</w:t>
      </w:r>
      <w:r w:rsidRPr="00E83D9E">
        <w:rPr>
          <w:rFonts w:ascii="Times New Roman" w:hAnsi="Times New Roman" w:cs="Times New Roman"/>
          <w:b/>
          <w:i/>
          <w:iCs/>
          <w:sz w:val="24"/>
          <w:szCs w:val="24"/>
        </w:rPr>
        <w:t xml:space="preserve"> Computation via STATA 17.0</w:t>
      </w:r>
      <w:r w:rsidR="00E83D9E" w:rsidRPr="00E83D9E">
        <w:rPr>
          <w:rFonts w:ascii="Times New Roman" w:hAnsi="Times New Roman" w:cs="Times New Roman"/>
          <w:b/>
          <w:i/>
          <w:iCs/>
          <w:sz w:val="24"/>
          <w:szCs w:val="24"/>
        </w:rPr>
        <w:t xml:space="preserve"> (</w:t>
      </w:r>
      <w:r w:rsidRPr="00E83D9E">
        <w:rPr>
          <w:rFonts w:ascii="Times New Roman" w:hAnsi="Times New Roman" w:cs="Times New Roman"/>
          <w:b/>
          <w:i/>
          <w:iCs/>
          <w:sz w:val="24"/>
          <w:szCs w:val="24"/>
        </w:rPr>
        <w:t>2024</w:t>
      </w:r>
      <w:r w:rsidR="00E83D9E" w:rsidRPr="00E83D9E">
        <w:rPr>
          <w:rFonts w:ascii="Times New Roman" w:hAnsi="Times New Roman" w:cs="Times New Roman"/>
          <w:b/>
          <w:i/>
          <w:iCs/>
          <w:sz w:val="24"/>
          <w:szCs w:val="24"/>
        </w:rPr>
        <w:t>)</w:t>
      </w:r>
    </w:p>
    <w:p w14:paraId="20AF355A" w14:textId="2E6BB32D" w:rsidR="00EB6693" w:rsidRDefault="00EB6693" w:rsidP="00916F6A">
      <w:pPr>
        <w:spacing w:after="0" w:line="360" w:lineRule="auto"/>
        <w:jc w:val="both"/>
        <w:rPr>
          <w:rFonts w:ascii="Times New Roman" w:hAnsi="Times New Roman" w:cs="Times New Roman"/>
          <w:bCs/>
          <w:sz w:val="24"/>
          <w:szCs w:val="24"/>
        </w:rPr>
      </w:pPr>
      <w:r w:rsidRPr="00E83D9E">
        <w:rPr>
          <w:rFonts w:ascii="Times New Roman" w:hAnsi="Times New Roman" w:cs="Times New Roman"/>
          <w:bCs/>
          <w:sz w:val="24"/>
          <w:szCs w:val="24"/>
        </w:rPr>
        <w:t xml:space="preserve">The correlation matrix shows the degree of correlation among the variables to ascertain that there is no linear dependence among the regressors in order to avoid multicollinearity. From the result, as depicted in table </w:t>
      </w:r>
      <w:r w:rsidR="00E83D9E">
        <w:rPr>
          <w:rFonts w:ascii="Times New Roman" w:hAnsi="Times New Roman" w:cs="Times New Roman"/>
          <w:bCs/>
          <w:sz w:val="24"/>
          <w:szCs w:val="24"/>
        </w:rPr>
        <w:t>2</w:t>
      </w:r>
      <w:r w:rsidRPr="00E83D9E">
        <w:rPr>
          <w:rFonts w:ascii="Times New Roman" w:hAnsi="Times New Roman" w:cs="Times New Roman"/>
          <w:bCs/>
          <w:sz w:val="24"/>
          <w:szCs w:val="24"/>
        </w:rPr>
        <w:t>, all the regressors are not linearly dependent on one another.</w:t>
      </w:r>
    </w:p>
    <w:p w14:paraId="74C598F7" w14:textId="77777777" w:rsidR="00905191" w:rsidRPr="00E83D9E" w:rsidRDefault="00905191" w:rsidP="00916F6A">
      <w:pPr>
        <w:spacing w:after="0" w:line="360" w:lineRule="auto"/>
        <w:jc w:val="both"/>
        <w:rPr>
          <w:rFonts w:ascii="Times New Roman" w:hAnsi="Times New Roman" w:cs="Times New Roman"/>
          <w:bCs/>
          <w:sz w:val="24"/>
          <w:szCs w:val="24"/>
        </w:rPr>
      </w:pPr>
    </w:p>
    <w:p w14:paraId="0E012A98" w14:textId="45019A92" w:rsidR="00EB6693" w:rsidRDefault="00EB6693" w:rsidP="00916F6A">
      <w:pPr>
        <w:pStyle w:val="Caption"/>
        <w:keepNext/>
        <w:spacing w:after="0"/>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Table </w:t>
      </w:r>
      <w:r w:rsidR="00E83D9E">
        <w:rPr>
          <w:rFonts w:ascii="Times New Roman" w:hAnsi="Times New Roman" w:cs="Times New Roman"/>
          <w:b/>
          <w:bCs/>
          <w:color w:val="auto"/>
          <w:sz w:val="26"/>
          <w:szCs w:val="26"/>
        </w:rPr>
        <w:t>3</w:t>
      </w:r>
      <w:r>
        <w:rPr>
          <w:rFonts w:ascii="Times New Roman" w:hAnsi="Times New Roman" w:cs="Times New Roman"/>
          <w:b/>
          <w:bCs/>
          <w:color w:val="auto"/>
          <w:sz w:val="26"/>
          <w:szCs w:val="26"/>
        </w:rPr>
        <w:t>. The impact of foreign direct investment on renewable energy consumption in SSA</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98"/>
        <w:gridCol w:w="3026"/>
      </w:tblGrid>
      <w:tr w:rsidR="00EB6693" w14:paraId="347D8A82" w14:textId="77777777" w:rsidTr="001A62C7">
        <w:trPr>
          <w:trHeight w:val="69"/>
        </w:trPr>
        <w:tc>
          <w:tcPr>
            <w:tcW w:w="3420" w:type="dxa"/>
            <w:vMerge w:val="restart"/>
            <w:tcBorders>
              <w:top w:val="single" w:sz="12" w:space="0" w:color="auto"/>
            </w:tcBorders>
          </w:tcPr>
          <w:p w14:paraId="5DCBC84F" w14:textId="77777777" w:rsidR="00EB6693" w:rsidRDefault="00EB6693" w:rsidP="00916F6A">
            <w:pPr>
              <w:rPr>
                <w:rFonts w:ascii="Times New Roman" w:hAnsi="Times New Roman" w:cs="Times New Roman"/>
                <w:b/>
              </w:rPr>
            </w:pPr>
            <w:r>
              <w:rPr>
                <w:rFonts w:ascii="Times New Roman" w:hAnsi="Times New Roman" w:cs="Times New Roman"/>
                <w:b/>
              </w:rPr>
              <w:t>Variables</w:t>
            </w:r>
          </w:p>
        </w:tc>
        <w:tc>
          <w:tcPr>
            <w:tcW w:w="2798" w:type="dxa"/>
            <w:tcBorders>
              <w:top w:val="single" w:sz="12" w:space="0" w:color="auto"/>
              <w:bottom w:val="single" w:sz="12" w:space="0" w:color="auto"/>
            </w:tcBorders>
          </w:tcPr>
          <w:p w14:paraId="6DD0564A" w14:textId="77777777" w:rsidR="00EB6693" w:rsidRDefault="00EB6693" w:rsidP="00916F6A">
            <w:pPr>
              <w:jc w:val="right"/>
              <w:rPr>
                <w:rFonts w:ascii="Times New Roman" w:hAnsi="Times New Roman" w:cs="Times New Roman"/>
                <w:b/>
              </w:rPr>
            </w:pPr>
            <w:r>
              <w:rPr>
                <w:rFonts w:ascii="Times New Roman" w:hAnsi="Times New Roman" w:cs="Times New Roman"/>
                <w:b/>
              </w:rPr>
              <w:t>System GMM</w:t>
            </w:r>
          </w:p>
        </w:tc>
        <w:tc>
          <w:tcPr>
            <w:tcW w:w="3026" w:type="dxa"/>
            <w:tcBorders>
              <w:top w:val="single" w:sz="12" w:space="0" w:color="auto"/>
              <w:bottom w:val="single" w:sz="12" w:space="0" w:color="auto"/>
            </w:tcBorders>
          </w:tcPr>
          <w:p w14:paraId="6C8B3BAF" w14:textId="77777777" w:rsidR="00EB6693" w:rsidRDefault="00EB6693" w:rsidP="00916F6A">
            <w:pPr>
              <w:jc w:val="right"/>
              <w:rPr>
                <w:rFonts w:ascii="Times New Roman" w:hAnsi="Times New Roman" w:cs="Times New Roman"/>
                <w:b/>
              </w:rPr>
            </w:pPr>
            <w:r>
              <w:rPr>
                <w:rFonts w:ascii="Times New Roman" w:hAnsi="Times New Roman" w:cs="Times New Roman"/>
                <w:b/>
              </w:rPr>
              <w:t>System GMM</w:t>
            </w:r>
          </w:p>
        </w:tc>
      </w:tr>
      <w:tr w:rsidR="00EB6693" w14:paraId="3BAB994B" w14:textId="77777777" w:rsidTr="001A62C7">
        <w:trPr>
          <w:trHeight w:val="87"/>
        </w:trPr>
        <w:tc>
          <w:tcPr>
            <w:tcW w:w="3420" w:type="dxa"/>
            <w:vMerge/>
            <w:tcBorders>
              <w:bottom w:val="single" w:sz="12" w:space="0" w:color="auto"/>
            </w:tcBorders>
          </w:tcPr>
          <w:p w14:paraId="4F376049" w14:textId="77777777" w:rsidR="00EB6693" w:rsidRDefault="00EB6693" w:rsidP="00916F6A">
            <w:pPr>
              <w:spacing w:line="360" w:lineRule="auto"/>
              <w:rPr>
                <w:rFonts w:ascii="Times New Roman" w:hAnsi="Times New Roman" w:cs="Times New Roman"/>
                <w:b/>
              </w:rPr>
            </w:pPr>
          </w:p>
        </w:tc>
        <w:tc>
          <w:tcPr>
            <w:tcW w:w="2798" w:type="dxa"/>
            <w:tcBorders>
              <w:top w:val="single" w:sz="12" w:space="0" w:color="auto"/>
              <w:bottom w:val="single" w:sz="12" w:space="0" w:color="auto"/>
            </w:tcBorders>
          </w:tcPr>
          <w:p w14:paraId="1A75C02A" w14:textId="77777777" w:rsidR="00EB6693" w:rsidRDefault="00EB6693" w:rsidP="00916F6A">
            <w:pPr>
              <w:jc w:val="right"/>
              <w:rPr>
                <w:rFonts w:ascii="Times New Roman" w:hAnsi="Times New Roman" w:cs="Times New Roman"/>
                <w:b/>
              </w:rPr>
            </w:pPr>
            <w:r>
              <w:rPr>
                <w:rFonts w:ascii="Times New Roman" w:hAnsi="Times New Roman" w:cs="Times New Roman"/>
                <w:b/>
              </w:rPr>
              <w:t>Column (1)</w:t>
            </w:r>
          </w:p>
        </w:tc>
        <w:tc>
          <w:tcPr>
            <w:tcW w:w="3026" w:type="dxa"/>
            <w:tcBorders>
              <w:top w:val="single" w:sz="12" w:space="0" w:color="auto"/>
              <w:bottom w:val="single" w:sz="12" w:space="0" w:color="auto"/>
            </w:tcBorders>
          </w:tcPr>
          <w:p w14:paraId="3259D776" w14:textId="77777777" w:rsidR="00EB6693" w:rsidRDefault="00EB6693" w:rsidP="00916F6A">
            <w:pPr>
              <w:jc w:val="right"/>
              <w:rPr>
                <w:rFonts w:ascii="Times New Roman" w:hAnsi="Times New Roman" w:cs="Times New Roman"/>
                <w:b/>
              </w:rPr>
            </w:pPr>
            <w:r>
              <w:rPr>
                <w:rFonts w:ascii="Times New Roman" w:hAnsi="Times New Roman" w:cs="Times New Roman"/>
                <w:b/>
              </w:rPr>
              <w:t>Column (2)</w:t>
            </w:r>
          </w:p>
        </w:tc>
      </w:tr>
      <w:tr w:rsidR="00EB6693" w14:paraId="161DD82E" w14:textId="77777777" w:rsidTr="001A62C7">
        <w:trPr>
          <w:trHeight w:val="47"/>
        </w:trPr>
        <w:tc>
          <w:tcPr>
            <w:tcW w:w="3420" w:type="dxa"/>
            <w:tcBorders>
              <w:top w:val="single" w:sz="12" w:space="0" w:color="auto"/>
            </w:tcBorders>
          </w:tcPr>
          <w:p w14:paraId="41249A67" w14:textId="77777777" w:rsidR="00EB6693" w:rsidRDefault="00EB6693" w:rsidP="00916F6A">
            <w:pPr>
              <w:spacing w:line="360" w:lineRule="auto"/>
              <w:rPr>
                <w:rFonts w:ascii="Times New Roman" w:hAnsi="Times New Roman" w:cs="Times New Roman"/>
                <w:bCs/>
                <w:i/>
                <w:iCs/>
              </w:rPr>
            </w:pPr>
            <w:r>
              <w:rPr>
                <w:rFonts w:ascii="Times New Roman" w:hAnsi="Times New Roman" w:cs="Times New Roman"/>
                <w:bCs/>
                <w:i/>
                <w:iCs/>
              </w:rPr>
              <w:t>L.LnREC</w:t>
            </w:r>
          </w:p>
        </w:tc>
        <w:tc>
          <w:tcPr>
            <w:tcW w:w="2798" w:type="dxa"/>
            <w:tcBorders>
              <w:top w:val="single" w:sz="12" w:space="0" w:color="auto"/>
            </w:tcBorders>
          </w:tcPr>
          <w:p w14:paraId="34443830"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0.9471116***(39.15)</w:t>
            </w:r>
          </w:p>
        </w:tc>
        <w:tc>
          <w:tcPr>
            <w:tcW w:w="3026" w:type="dxa"/>
            <w:tcBorders>
              <w:top w:val="single" w:sz="12" w:space="0" w:color="auto"/>
            </w:tcBorders>
          </w:tcPr>
          <w:p w14:paraId="382C49F4"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0.9259683***(1.07)</w:t>
            </w:r>
          </w:p>
        </w:tc>
      </w:tr>
      <w:tr w:rsidR="00EB6693" w14:paraId="6199AB5B" w14:textId="77777777" w:rsidTr="001A62C7">
        <w:trPr>
          <w:trHeight w:val="77"/>
        </w:trPr>
        <w:tc>
          <w:tcPr>
            <w:tcW w:w="3420" w:type="dxa"/>
          </w:tcPr>
          <w:p w14:paraId="11FB1B94" w14:textId="77777777" w:rsidR="00EB6693" w:rsidRDefault="00EB6693" w:rsidP="00916F6A">
            <w:pPr>
              <w:spacing w:line="360" w:lineRule="auto"/>
              <w:rPr>
                <w:rFonts w:ascii="Times New Roman" w:hAnsi="Times New Roman" w:cs="Times New Roman"/>
                <w:bCs/>
                <w:i/>
                <w:iCs/>
              </w:rPr>
            </w:pPr>
            <w:r>
              <w:rPr>
                <w:rFonts w:ascii="Times New Roman" w:hAnsi="Times New Roman" w:cs="Times New Roman"/>
                <w:bCs/>
                <w:i/>
                <w:iCs/>
              </w:rPr>
              <w:t>FDI</w:t>
            </w:r>
          </w:p>
        </w:tc>
        <w:tc>
          <w:tcPr>
            <w:tcW w:w="2798" w:type="dxa"/>
          </w:tcPr>
          <w:p w14:paraId="695DBF73"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0.0030549(1.24)</w:t>
            </w:r>
          </w:p>
        </w:tc>
        <w:tc>
          <w:tcPr>
            <w:tcW w:w="3026" w:type="dxa"/>
          </w:tcPr>
          <w:p w14:paraId="4C8691F1"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0.021327(-0.72)</w:t>
            </w:r>
          </w:p>
        </w:tc>
      </w:tr>
      <w:tr w:rsidR="00EB6693" w14:paraId="26D5FDA8" w14:textId="77777777" w:rsidTr="001A62C7">
        <w:trPr>
          <w:trHeight w:val="77"/>
        </w:trPr>
        <w:tc>
          <w:tcPr>
            <w:tcW w:w="3420" w:type="dxa"/>
          </w:tcPr>
          <w:p w14:paraId="5F4FB5F9" w14:textId="77777777" w:rsidR="00EB6693" w:rsidRDefault="00EB6693" w:rsidP="00916F6A">
            <w:pPr>
              <w:spacing w:line="360" w:lineRule="auto"/>
              <w:rPr>
                <w:rFonts w:ascii="Times New Roman" w:hAnsi="Times New Roman" w:cs="Times New Roman"/>
                <w:bCs/>
                <w:i/>
                <w:iCs/>
              </w:rPr>
            </w:pPr>
            <w:r>
              <w:rPr>
                <w:rFonts w:ascii="Times New Roman" w:hAnsi="Times New Roman" w:cs="Times New Roman"/>
                <w:bCs/>
                <w:i/>
                <w:iCs/>
              </w:rPr>
              <w:t>FDI*EP</w:t>
            </w:r>
          </w:p>
        </w:tc>
        <w:tc>
          <w:tcPr>
            <w:tcW w:w="2798" w:type="dxa"/>
          </w:tcPr>
          <w:p w14:paraId="1004EB39" w14:textId="77777777" w:rsidR="00EB6693" w:rsidRDefault="00EB6693" w:rsidP="00916F6A">
            <w:pPr>
              <w:spacing w:line="360" w:lineRule="auto"/>
              <w:jc w:val="right"/>
              <w:rPr>
                <w:rFonts w:ascii="Times New Roman" w:hAnsi="Times New Roman" w:cs="Times New Roman"/>
                <w:bCs/>
              </w:rPr>
            </w:pPr>
          </w:p>
        </w:tc>
        <w:tc>
          <w:tcPr>
            <w:tcW w:w="3026" w:type="dxa"/>
          </w:tcPr>
          <w:p w14:paraId="27C0B46A" w14:textId="41A99DB6"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w:t>
            </w:r>
            <w:r w:rsidR="00017B8D">
              <w:rPr>
                <w:rFonts w:ascii="Times New Roman" w:hAnsi="Times New Roman" w:cs="Times New Roman"/>
                <w:bCs/>
              </w:rPr>
              <w:t>.</w:t>
            </w:r>
            <w:r>
              <w:rPr>
                <w:rFonts w:ascii="Times New Roman" w:hAnsi="Times New Roman" w:cs="Times New Roman"/>
                <w:bCs/>
              </w:rPr>
              <w:t>0053858**(0.81)</w:t>
            </w:r>
          </w:p>
        </w:tc>
      </w:tr>
      <w:tr w:rsidR="00EB6693" w14:paraId="0EE8C242" w14:textId="77777777" w:rsidTr="001A62C7">
        <w:trPr>
          <w:trHeight w:val="77"/>
        </w:trPr>
        <w:tc>
          <w:tcPr>
            <w:tcW w:w="3420" w:type="dxa"/>
          </w:tcPr>
          <w:p w14:paraId="7A70E3E1" w14:textId="77777777" w:rsidR="00EB6693" w:rsidRDefault="00EB6693" w:rsidP="00916F6A">
            <w:pPr>
              <w:spacing w:line="360" w:lineRule="auto"/>
              <w:rPr>
                <w:rFonts w:ascii="Times New Roman" w:hAnsi="Times New Roman" w:cs="Times New Roman"/>
                <w:b/>
              </w:rPr>
            </w:pPr>
            <w:r>
              <w:rPr>
                <w:rFonts w:ascii="Times New Roman" w:hAnsi="Times New Roman" w:cs="Times New Roman"/>
                <w:b/>
              </w:rPr>
              <w:t>Control Variables</w:t>
            </w:r>
          </w:p>
        </w:tc>
        <w:tc>
          <w:tcPr>
            <w:tcW w:w="2798" w:type="dxa"/>
          </w:tcPr>
          <w:p w14:paraId="57E32460" w14:textId="77777777" w:rsidR="00EB6693" w:rsidRDefault="00EB6693" w:rsidP="00916F6A">
            <w:pPr>
              <w:spacing w:line="360" w:lineRule="auto"/>
              <w:jc w:val="right"/>
              <w:rPr>
                <w:rFonts w:ascii="Times New Roman" w:hAnsi="Times New Roman" w:cs="Times New Roman"/>
                <w:bCs/>
              </w:rPr>
            </w:pPr>
          </w:p>
        </w:tc>
        <w:tc>
          <w:tcPr>
            <w:tcW w:w="3026" w:type="dxa"/>
          </w:tcPr>
          <w:p w14:paraId="3FF7579C" w14:textId="77777777" w:rsidR="00EB6693" w:rsidRDefault="00EB6693" w:rsidP="00916F6A">
            <w:pPr>
              <w:spacing w:line="360" w:lineRule="auto"/>
              <w:rPr>
                <w:rFonts w:ascii="Times New Roman" w:hAnsi="Times New Roman" w:cs="Times New Roman"/>
                <w:bCs/>
              </w:rPr>
            </w:pPr>
          </w:p>
        </w:tc>
      </w:tr>
      <w:tr w:rsidR="00EB6693" w14:paraId="0CBA1DD2" w14:textId="77777777" w:rsidTr="001A62C7">
        <w:trPr>
          <w:trHeight w:val="77"/>
        </w:trPr>
        <w:tc>
          <w:tcPr>
            <w:tcW w:w="3420" w:type="dxa"/>
          </w:tcPr>
          <w:p w14:paraId="12711580" w14:textId="77777777" w:rsidR="00EB6693" w:rsidRDefault="00EB6693" w:rsidP="00916F6A">
            <w:pPr>
              <w:spacing w:line="360" w:lineRule="auto"/>
              <w:rPr>
                <w:rFonts w:ascii="Times New Roman" w:hAnsi="Times New Roman" w:cs="Times New Roman"/>
                <w:b/>
              </w:rPr>
            </w:pPr>
            <w:r>
              <w:rPr>
                <w:rFonts w:ascii="Times New Roman" w:hAnsi="Times New Roman" w:cs="Times New Roman"/>
                <w:bCs/>
                <w:i/>
                <w:iCs/>
              </w:rPr>
              <w:t>TO</w:t>
            </w:r>
          </w:p>
        </w:tc>
        <w:tc>
          <w:tcPr>
            <w:tcW w:w="2798" w:type="dxa"/>
          </w:tcPr>
          <w:p w14:paraId="175299D5"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0.0014274*(-2.62)</w:t>
            </w:r>
          </w:p>
        </w:tc>
        <w:tc>
          <w:tcPr>
            <w:tcW w:w="3026" w:type="dxa"/>
          </w:tcPr>
          <w:p w14:paraId="56E43B0C"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0.0059662*(1.10)</w:t>
            </w:r>
          </w:p>
        </w:tc>
      </w:tr>
      <w:tr w:rsidR="00EB6693" w14:paraId="64E7E1C4" w14:textId="77777777" w:rsidTr="001A62C7">
        <w:trPr>
          <w:trHeight w:val="77"/>
        </w:trPr>
        <w:tc>
          <w:tcPr>
            <w:tcW w:w="3420" w:type="dxa"/>
          </w:tcPr>
          <w:p w14:paraId="5B16A853" w14:textId="77777777" w:rsidR="00EB6693" w:rsidRDefault="00EB6693" w:rsidP="00916F6A">
            <w:pPr>
              <w:spacing w:line="360" w:lineRule="auto"/>
              <w:rPr>
                <w:rFonts w:ascii="Times New Roman" w:hAnsi="Times New Roman" w:cs="Times New Roman"/>
                <w:bCs/>
                <w:i/>
                <w:iCs/>
              </w:rPr>
            </w:pPr>
            <w:r>
              <w:rPr>
                <w:rFonts w:ascii="Times New Roman" w:hAnsi="Times New Roman" w:cs="Times New Roman"/>
                <w:bCs/>
                <w:i/>
                <w:iCs/>
              </w:rPr>
              <w:t>IND</w:t>
            </w:r>
          </w:p>
        </w:tc>
        <w:tc>
          <w:tcPr>
            <w:tcW w:w="2798" w:type="dxa"/>
          </w:tcPr>
          <w:p w14:paraId="0F446A59"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0.0043475* (2.07)</w:t>
            </w:r>
          </w:p>
        </w:tc>
        <w:tc>
          <w:tcPr>
            <w:tcW w:w="3026" w:type="dxa"/>
          </w:tcPr>
          <w:p w14:paraId="4EB084EA"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0.0078083*(-0.79)</w:t>
            </w:r>
          </w:p>
        </w:tc>
      </w:tr>
      <w:tr w:rsidR="00EB6693" w14:paraId="6E6B5C3F" w14:textId="77777777" w:rsidTr="001A62C7">
        <w:trPr>
          <w:trHeight w:val="77"/>
        </w:trPr>
        <w:tc>
          <w:tcPr>
            <w:tcW w:w="3420" w:type="dxa"/>
          </w:tcPr>
          <w:p w14:paraId="2ECD1776" w14:textId="77777777" w:rsidR="00EB6693" w:rsidRDefault="00EB6693" w:rsidP="00916F6A">
            <w:pPr>
              <w:spacing w:line="360" w:lineRule="auto"/>
              <w:rPr>
                <w:rFonts w:ascii="Times New Roman" w:hAnsi="Times New Roman" w:cs="Times New Roman"/>
                <w:bCs/>
                <w:i/>
                <w:iCs/>
              </w:rPr>
            </w:pPr>
            <w:r>
              <w:rPr>
                <w:rFonts w:ascii="Times New Roman" w:hAnsi="Times New Roman" w:cs="Times New Roman"/>
                <w:bCs/>
                <w:i/>
                <w:iCs/>
              </w:rPr>
              <w:t>IST</w:t>
            </w:r>
          </w:p>
        </w:tc>
        <w:tc>
          <w:tcPr>
            <w:tcW w:w="2798" w:type="dxa"/>
          </w:tcPr>
          <w:p w14:paraId="0D09DBFE"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0.0275729(1.27)</w:t>
            </w:r>
          </w:p>
        </w:tc>
        <w:tc>
          <w:tcPr>
            <w:tcW w:w="3026" w:type="dxa"/>
          </w:tcPr>
          <w:p w14:paraId="4E4955BF"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0.007988(-0.69)</w:t>
            </w:r>
          </w:p>
        </w:tc>
      </w:tr>
      <w:tr w:rsidR="00EB6693" w14:paraId="6CC36EE7" w14:textId="77777777" w:rsidTr="001A62C7">
        <w:trPr>
          <w:trHeight w:val="108"/>
        </w:trPr>
        <w:tc>
          <w:tcPr>
            <w:tcW w:w="3420" w:type="dxa"/>
          </w:tcPr>
          <w:p w14:paraId="27BED141" w14:textId="77777777" w:rsidR="00EB6693" w:rsidRDefault="00EB6693" w:rsidP="00916F6A">
            <w:pPr>
              <w:spacing w:line="360" w:lineRule="auto"/>
              <w:rPr>
                <w:rFonts w:ascii="Times New Roman" w:hAnsi="Times New Roman" w:cs="Times New Roman"/>
                <w:bCs/>
                <w:i/>
                <w:iCs/>
              </w:rPr>
            </w:pPr>
            <w:r>
              <w:rPr>
                <w:rFonts w:ascii="Times New Roman" w:hAnsi="Times New Roman" w:cs="Times New Roman"/>
                <w:bCs/>
                <w:i/>
                <w:iCs/>
              </w:rPr>
              <w:lastRenderedPageBreak/>
              <w:t>EP</w:t>
            </w:r>
          </w:p>
        </w:tc>
        <w:tc>
          <w:tcPr>
            <w:tcW w:w="2798" w:type="dxa"/>
          </w:tcPr>
          <w:p w14:paraId="5E6E6189"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0.0001232**(-1.97)</w:t>
            </w:r>
          </w:p>
        </w:tc>
        <w:tc>
          <w:tcPr>
            <w:tcW w:w="3026" w:type="dxa"/>
          </w:tcPr>
          <w:p w14:paraId="4BA0A414"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0.0002448*(0.60)</w:t>
            </w:r>
          </w:p>
        </w:tc>
      </w:tr>
      <w:tr w:rsidR="00EB6693" w14:paraId="41474361" w14:textId="77777777" w:rsidTr="0093678C">
        <w:trPr>
          <w:trHeight w:val="400"/>
        </w:trPr>
        <w:tc>
          <w:tcPr>
            <w:tcW w:w="3420" w:type="dxa"/>
            <w:tcBorders>
              <w:bottom w:val="single" w:sz="4" w:space="0" w:color="FFFFFF" w:themeColor="background1"/>
            </w:tcBorders>
          </w:tcPr>
          <w:p w14:paraId="20827361" w14:textId="77777777" w:rsidR="00EB6693" w:rsidRDefault="00EB6693" w:rsidP="00916F6A">
            <w:pPr>
              <w:spacing w:line="360" w:lineRule="auto"/>
              <w:rPr>
                <w:rFonts w:ascii="Times New Roman" w:hAnsi="Times New Roman" w:cs="Times New Roman"/>
                <w:bCs/>
                <w:i/>
                <w:iCs/>
              </w:rPr>
            </w:pPr>
            <w:r>
              <w:rPr>
                <w:rFonts w:ascii="Times New Roman" w:hAnsi="Times New Roman" w:cs="Times New Roman"/>
                <w:bCs/>
              </w:rPr>
              <w:t xml:space="preserve">Observations </w:t>
            </w:r>
          </w:p>
        </w:tc>
        <w:tc>
          <w:tcPr>
            <w:tcW w:w="2798" w:type="dxa"/>
            <w:tcBorders>
              <w:bottom w:val="single" w:sz="4" w:space="0" w:color="FFFFFF" w:themeColor="background1"/>
            </w:tcBorders>
          </w:tcPr>
          <w:p w14:paraId="47911399"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167</w:t>
            </w:r>
          </w:p>
        </w:tc>
        <w:tc>
          <w:tcPr>
            <w:tcW w:w="3026" w:type="dxa"/>
            <w:tcBorders>
              <w:bottom w:val="single" w:sz="4" w:space="0" w:color="FFFFFF" w:themeColor="background1"/>
            </w:tcBorders>
          </w:tcPr>
          <w:p w14:paraId="23A9B9BD"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125</w:t>
            </w:r>
          </w:p>
        </w:tc>
      </w:tr>
      <w:tr w:rsidR="00EB6693" w14:paraId="2B4335DD" w14:textId="77777777" w:rsidTr="001A62C7">
        <w:trPr>
          <w:trHeight w:val="67"/>
        </w:trPr>
        <w:tc>
          <w:tcPr>
            <w:tcW w:w="3420" w:type="dxa"/>
            <w:tcBorders>
              <w:top w:val="single" w:sz="4" w:space="0" w:color="FFFFFF" w:themeColor="background1"/>
            </w:tcBorders>
          </w:tcPr>
          <w:p w14:paraId="65F0B129" w14:textId="77777777" w:rsidR="00EB6693" w:rsidRDefault="00EB6693" w:rsidP="00916F6A">
            <w:pPr>
              <w:spacing w:line="360" w:lineRule="auto"/>
              <w:rPr>
                <w:rFonts w:ascii="Times New Roman" w:hAnsi="Times New Roman" w:cs="Times New Roman"/>
                <w:bCs/>
                <w:i/>
                <w:iCs/>
              </w:rPr>
            </w:pPr>
            <w:r>
              <w:rPr>
                <w:rFonts w:ascii="Times New Roman" w:hAnsi="Times New Roman" w:cs="Times New Roman"/>
                <w:bCs/>
              </w:rPr>
              <w:t>F Statistic</w:t>
            </w:r>
          </w:p>
        </w:tc>
        <w:tc>
          <w:tcPr>
            <w:tcW w:w="2798" w:type="dxa"/>
            <w:tcBorders>
              <w:top w:val="single" w:sz="4" w:space="0" w:color="FFFFFF" w:themeColor="background1"/>
            </w:tcBorders>
          </w:tcPr>
          <w:p w14:paraId="5DC95253"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78273.32</w:t>
            </w:r>
          </w:p>
        </w:tc>
        <w:tc>
          <w:tcPr>
            <w:tcW w:w="3026" w:type="dxa"/>
            <w:tcBorders>
              <w:top w:val="single" w:sz="4" w:space="0" w:color="FFFFFF" w:themeColor="background1"/>
            </w:tcBorders>
          </w:tcPr>
          <w:p w14:paraId="0F683197"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5824.49</w:t>
            </w:r>
          </w:p>
        </w:tc>
      </w:tr>
      <w:tr w:rsidR="00EB6693" w14:paraId="59D23B59" w14:textId="77777777" w:rsidTr="001A62C7">
        <w:trPr>
          <w:trHeight w:val="77"/>
        </w:trPr>
        <w:tc>
          <w:tcPr>
            <w:tcW w:w="3420" w:type="dxa"/>
          </w:tcPr>
          <w:p w14:paraId="4C76281D" w14:textId="77777777" w:rsidR="00EB6693" w:rsidRDefault="00EB6693" w:rsidP="00916F6A">
            <w:pPr>
              <w:spacing w:line="360" w:lineRule="auto"/>
              <w:rPr>
                <w:rFonts w:ascii="Times New Roman" w:hAnsi="Times New Roman" w:cs="Times New Roman"/>
                <w:b/>
              </w:rPr>
            </w:pPr>
            <w:r>
              <w:rPr>
                <w:rFonts w:ascii="Times New Roman" w:hAnsi="Times New Roman" w:cs="Times New Roman"/>
                <w:b/>
              </w:rPr>
              <w:t>Diagnostic tests</w:t>
            </w:r>
          </w:p>
        </w:tc>
        <w:tc>
          <w:tcPr>
            <w:tcW w:w="2798" w:type="dxa"/>
          </w:tcPr>
          <w:p w14:paraId="6BEDCFA7" w14:textId="77777777" w:rsidR="00EB6693" w:rsidRDefault="00EB6693" w:rsidP="00916F6A">
            <w:pPr>
              <w:spacing w:line="360" w:lineRule="auto"/>
              <w:jc w:val="right"/>
              <w:rPr>
                <w:rFonts w:ascii="Times New Roman" w:hAnsi="Times New Roman" w:cs="Times New Roman"/>
                <w:bCs/>
              </w:rPr>
            </w:pPr>
          </w:p>
        </w:tc>
        <w:tc>
          <w:tcPr>
            <w:tcW w:w="3026" w:type="dxa"/>
          </w:tcPr>
          <w:p w14:paraId="1D4421D2" w14:textId="77777777" w:rsidR="00EB6693" w:rsidRDefault="00EB6693" w:rsidP="00916F6A">
            <w:pPr>
              <w:spacing w:line="360" w:lineRule="auto"/>
              <w:jc w:val="right"/>
              <w:rPr>
                <w:rFonts w:ascii="Times New Roman" w:hAnsi="Times New Roman" w:cs="Times New Roman"/>
                <w:bCs/>
              </w:rPr>
            </w:pPr>
          </w:p>
        </w:tc>
      </w:tr>
      <w:tr w:rsidR="00EB6693" w14:paraId="49A1F618" w14:textId="77777777" w:rsidTr="0093678C">
        <w:trPr>
          <w:trHeight w:val="422"/>
        </w:trPr>
        <w:tc>
          <w:tcPr>
            <w:tcW w:w="3420" w:type="dxa"/>
          </w:tcPr>
          <w:p w14:paraId="713B98CD" w14:textId="77777777" w:rsidR="00EB6693" w:rsidRDefault="00EB6693" w:rsidP="00916F6A">
            <w:pPr>
              <w:spacing w:line="360" w:lineRule="auto"/>
              <w:rPr>
                <w:rFonts w:ascii="Times New Roman" w:hAnsi="Times New Roman" w:cs="Times New Roman"/>
                <w:bCs/>
              </w:rPr>
            </w:pPr>
            <w:r>
              <w:rPr>
                <w:rFonts w:ascii="Times New Roman" w:hAnsi="Times New Roman" w:cs="Times New Roman"/>
                <w:bCs/>
              </w:rPr>
              <w:t>No of Groups</w:t>
            </w:r>
          </w:p>
        </w:tc>
        <w:tc>
          <w:tcPr>
            <w:tcW w:w="2798" w:type="dxa"/>
          </w:tcPr>
          <w:p w14:paraId="1661D7A7"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42</w:t>
            </w:r>
          </w:p>
        </w:tc>
        <w:tc>
          <w:tcPr>
            <w:tcW w:w="3026" w:type="dxa"/>
          </w:tcPr>
          <w:p w14:paraId="429AD9CA"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42</w:t>
            </w:r>
          </w:p>
        </w:tc>
      </w:tr>
      <w:tr w:rsidR="00EB6693" w14:paraId="0824A876" w14:textId="77777777" w:rsidTr="001A62C7">
        <w:trPr>
          <w:trHeight w:val="77"/>
        </w:trPr>
        <w:tc>
          <w:tcPr>
            <w:tcW w:w="3420" w:type="dxa"/>
          </w:tcPr>
          <w:p w14:paraId="656ADD25" w14:textId="77777777" w:rsidR="00EB6693" w:rsidRDefault="00EB6693" w:rsidP="00916F6A">
            <w:pPr>
              <w:spacing w:line="360" w:lineRule="auto"/>
              <w:rPr>
                <w:rFonts w:ascii="Times New Roman" w:hAnsi="Times New Roman" w:cs="Times New Roman"/>
                <w:bCs/>
              </w:rPr>
            </w:pPr>
            <w:r>
              <w:rPr>
                <w:rFonts w:ascii="Times New Roman" w:hAnsi="Times New Roman" w:cs="Times New Roman"/>
                <w:bCs/>
              </w:rPr>
              <w:t>No of Instruments</w:t>
            </w:r>
          </w:p>
        </w:tc>
        <w:tc>
          <w:tcPr>
            <w:tcW w:w="2798" w:type="dxa"/>
          </w:tcPr>
          <w:p w14:paraId="4FB2B9E5"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19</w:t>
            </w:r>
          </w:p>
        </w:tc>
        <w:tc>
          <w:tcPr>
            <w:tcW w:w="3026" w:type="dxa"/>
          </w:tcPr>
          <w:p w14:paraId="16925DC9"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11</w:t>
            </w:r>
          </w:p>
        </w:tc>
      </w:tr>
      <w:tr w:rsidR="00EB6693" w14:paraId="12D8F0AF" w14:textId="77777777" w:rsidTr="001A62C7">
        <w:trPr>
          <w:trHeight w:val="77"/>
        </w:trPr>
        <w:tc>
          <w:tcPr>
            <w:tcW w:w="3420" w:type="dxa"/>
          </w:tcPr>
          <w:p w14:paraId="015F7270" w14:textId="77777777" w:rsidR="00EB6693" w:rsidRDefault="00EB6693" w:rsidP="00916F6A">
            <w:pPr>
              <w:spacing w:line="360" w:lineRule="auto"/>
              <w:rPr>
                <w:rFonts w:ascii="Times New Roman" w:hAnsi="Times New Roman" w:cs="Times New Roman"/>
                <w:bCs/>
              </w:rPr>
            </w:pPr>
            <w:r>
              <w:rPr>
                <w:rFonts w:ascii="Times New Roman" w:hAnsi="Times New Roman" w:cs="Times New Roman"/>
                <w:bCs/>
              </w:rPr>
              <w:t>AR (2) p-value</w:t>
            </w:r>
          </w:p>
        </w:tc>
        <w:tc>
          <w:tcPr>
            <w:tcW w:w="2798" w:type="dxa"/>
          </w:tcPr>
          <w:p w14:paraId="45B5F5AC"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0.566</w:t>
            </w:r>
          </w:p>
        </w:tc>
        <w:tc>
          <w:tcPr>
            <w:tcW w:w="3026" w:type="dxa"/>
          </w:tcPr>
          <w:p w14:paraId="709EB028"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0.396</w:t>
            </w:r>
          </w:p>
        </w:tc>
      </w:tr>
      <w:tr w:rsidR="00EB6693" w14:paraId="509F09FA" w14:textId="77777777" w:rsidTr="007F308E">
        <w:trPr>
          <w:trHeight w:val="77"/>
        </w:trPr>
        <w:tc>
          <w:tcPr>
            <w:tcW w:w="3420" w:type="dxa"/>
            <w:tcBorders>
              <w:bottom w:val="single" w:sz="12" w:space="0" w:color="auto"/>
            </w:tcBorders>
          </w:tcPr>
          <w:p w14:paraId="279630AF" w14:textId="77777777" w:rsidR="00EB6693" w:rsidRDefault="00EB6693" w:rsidP="00916F6A">
            <w:pPr>
              <w:spacing w:line="360" w:lineRule="auto"/>
              <w:rPr>
                <w:rFonts w:ascii="Times New Roman" w:hAnsi="Times New Roman" w:cs="Times New Roman"/>
                <w:bCs/>
              </w:rPr>
            </w:pPr>
            <w:r>
              <w:rPr>
                <w:rFonts w:ascii="Times New Roman" w:hAnsi="Times New Roman" w:cs="Times New Roman"/>
                <w:bCs/>
              </w:rPr>
              <w:t>Hansen: p-value</w:t>
            </w:r>
          </w:p>
        </w:tc>
        <w:tc>
          <w:tcPr>
            <w:tcW w:w="2798" w:type="dxa"/>
            <w:tcBorders>
              <w:bottom w:val="single" w:sz="12" w:space="0" w:color="auto"/>
            </w:tcBorders>
          </w:tcPr>
          <w:p w14:paraId="47D66B83"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0.144</w:t>
            </w:r>
          </w:p>
        </w:tc>
        <w:tc>
          <w:tcPr>
            <w:tcW w:w="3026" w:type="dxa"/>
            <w:tcBorders>
              <w:bottom w:val="single" w:sz="12" w:space="0" w:color="auto"/>
            </w:tcBorders>
          </w:tcPr>
          <w:p w14:paraId="07E75470"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0.126</w:t>
            </w:r>
          </w:p>
        </w:tc>
      </w:tr>
    </w:tbl>
    <w:p w14:paraId="004EABFE" w14:textId="77777777" w:rsidR="00EB6693" w:rsidRPr="00AD2664" w:rsidRDefault="00EB6693" w:rsidP="00916F6A">
      <w:pPr>
        <w:spacing w:after="0" w:line="240" w:lineRule="auto"/>
        <w:jc w:val="both"/>
        <w:rPr>
          <w:rFonts w:ascii="Times New Roman" w:hAnsi="Times New Roman" w:cs="Times New Roman"/>
          <w:bCs/>
          <w:sz w:val="24"/>
          <w:szCs w:val="24"/>
        </w:rPr>
      </w:pPr>
      <w:r w:rsidRPr="00AD2664">
        <w:rPr>
          <w:rFonts w:ascii="Times New Roman" w:hAnsi="Times New Roman" w:cs="Times New Roman"/>
          <w:bCs/>
          <w:sz w:val="24"/>
          <w:szCs w:val="24"/>
        </w:rPr>
        <w:t xml:space="preserve">Notes: ***, **, * are statistical significance at 1%, 5% and 10% levels respectively; </w:t>
      </w:r>
      <w:r w:rsidRPr="00AD2664">
        <w:rPr>
          <w:rFonts w:ascii="Times New Roman" w:hAnsi="Times New Roman" w:cs="Times New Roman"/>
          <w:bCs/>
          <w:i/>
          <w:iCs/>
          <w:sz w:val="24"/>
          <w:szCs w:val="24"/>
        </w:rPr>
        <w:t>t-statistic</w:t>
      </w:r>
      <w:r w:rsidRPr="00AD2664">
        <w:rPr>
          <w:rFonts w:ascii="Times New Roman" w:hAnsi="Times New Roman" w:cs="Times New Roman"/>
          <w:bCs/>
          <w:sz w:val="24"/>
          <w:szCs w:val="24"/>
        </w:rPr>
        <w:t xml:space="preserve"> (in parenthesis) are based on white heteroscedasticity-consistent std. errors; </w:t>
      </w:r>
      <w:r w:rsidRPr="00AD2664">
        <w:rPr>
          <w:rFonts w:ascii="Times New Roman" w:hAnsi="Times New Roman" w:cs="Times New Roman"/>
          <w:bCs/>
          <w:i/>
          <w:iCs/>
          <w:sz w:val="24"/>
          <w:szCs w:val="24"/>
        </w:rPr>
        <w:t>p-values</w:t>
      </w:r>
      <w:r w:rsidRPr="00AD2664">
        <w:rPr>
          <w:rFonts w:ascii="Times New Roman" w:hAnsi="Times New Roman" w:cs="Times New Roman"/>
          <w:bCs/>
          <w:sz w:val="24"/>
          <w:szCs w:val="24"/>
        </w:rPr>
        <w:t xml:space="preserve"> reported for AR (2) and Hansen statistic.</w:t>
      </w:r>
    </w:p>
    <w:p w14:paraId="6528DF86" w14:textId="6A226C8D" w:rsidR="00EB6693" w:rsidRPr="00AD2664" w:rsidRDefault="00EB6693" w:rsidP="00916F6A">
      <w:pPr>
        <w:spacing w:line="480" w:lineRule="auto"/>
        <w:jc w:val="both"/>
        <w:rPr>
          <w:rFonts w:ascii="Times New Roman" w:hAnsi="Times New Roman" w:cs="Times New Roman"/>
          <w:b/>
          <w:i/>
          <w:iCs/>
          <w:sz w:val="24"/>
          <w:szCs w:val="24"/>
        </w:rPr>
      </w:pPr>
      <w:r w:rsidRPr="00AD2664">
        <w:rPr>
          <w:rFonts w:ascii="Times New Roman" w:hAnsi="Times New Roman" w:cs="Times New Roman"/>
          <w:b/>
          <w:i/>
          <w:iCs/>
          <w:sz w:val="24"/>
          <w:szCs w:val="24"/>
        </w:rPr>
        <w:t>Source: Authors</w:t>
      </w:r>
      <w:r w:rsidR="006B0C0E">
        <w:rPr>
          <w:rFonts w:ascii="Times New Roman" w:hAnsi="Times New Roman" w:cs="Times New Roman"/>
          <w:b/>
          <w:i/>
          <w:iCs/>
          <w:sz w:val="24"/>
          <w:szCs w:val="24"/>
        </w:rPr>
        <w:t>’</w:t>
      </w:r>
      <w:r w:rsidRPr="00AD2664">
        <w:rPr>
          <w:rFonts w:ascii="Times New Roman" w:hAnsi="Times New Roman" w:cs="Times New Roman"/>
          <w:b/>
          <w:i/>
          <w:iCs/>
          <w:sz w:val="24"/>
          <w:szCs w:val="24"/>
        </w:rPr>
        <w:t xml:space="preserve"> Computation via STATA 17.0</w:t>
      </w:r>
      <w:r w:rsidR="00AD2664">
        <w:rPr>
          <w:rFonts w:ascii="Times New Roman" w:hAnsi="Times New Roman" w:cs="Times New Roman"/>
          <w:b/>
          <w:i/>
          <w:iCs/>
          <w:sz w:val="24"/>
          <w:szCs w:val="24"/>
        </w:rPr>
        <w:t xml:space="preserve"> (</w:t>
      </w:r>
      <w:r w:rsidRPr="00AD2664">
        <w:rPr>
          <w:rFonts w:ascii="Times New Roman" w:hAnsi="Times New Roman" w:cs="Times New Roman"/>
          <w:b/>
          <w:i/>
          <w:iCs/>
          <w:sz w:val="24"/>
          <w:szCs w:val="24"/>
        </w:rPr>
        <w:t>2024</w:t>
      </w:r>
      <w:r w:rsidR="00AD2664">
        <w:rPr>
          <w:rFonts w:ascii="Times New Roman" w:hAnsi="Times New Roman" w:cs="Times New Roman"/>
          <w:b/>
          <w:i/>
          <w:iCs/>
          <w:sz w:val="24"/>
          <w:szCs w:val="24"/>
        </w:rPr>
        <w:t>)</w:t>
      </w:r>
    </w:p>
    <w:p w14:paraId="19B617F4" w14:textId="2A8251F8" w:rsidR="00EB6693" w:rsidRPr="009C62B1" w:rsidRDefault="00F76296" w:rsidP="00916F6A">
      <w:pPr>
        <w:spacing w:line="360" w:lineRule="auto"/>
        <w:jc w:val="both"/>
        <w:rPr>
          <w:rFonts w:ascii="Times New Roman" w:hAnsi="Times New Roman" w:cs="Times New Roman"/>
          <w:sz w:val="24"/>
          <w:szCs w:val="24"/>
        </w:rPr>
      </w:pPr>
      <w:r>
        <w:rPr>
          <w:rFonts w:ascii="Times New Roman" w:hAnsi="Times New Roman" w:cs="Times New Roman"/>
          <w:sz w:val="24"/>
          <w:szCs w:val="24"/>
        </w:rPr>
        <w:t>From table 3, t</w:t>
      </w:r>
      <w:r w:rsidR="00EB6693" w:rsidRPr="009C62B1">
        <w:rPr>
          <w:rFonts w:ascii="Times New Roman" w:hAnsi="Times New Roman" w:cs="Times New Roman"/>
          <w:sz w:val="24"/>
          <w:szCs w:val="24"/>
        </w:rPr>
        <w:t>he result revealed that trade openness</w:t>
      </w:r>
      <w:r>
        <w:rPr>
          <w:rFonts w:ascii="Times New Roman" w:hAnsi="Times New Roman" w:cs="Times New Roman"/>
          <w:sz w:val="24"/>
          <w:szCs w:val="24"/>
        </w:rPr>
        <w:t xml:space="preserve"> (0.14%)</w:t>
      </w:r>
      <w:r w:rsidR="00EB6693" w:rsidRPr="009C62B1">
        <w:rPr>
          <w:rFonts w:ascii="Times New Roman" w:hAnsi="Times New Roman" w:cs="Times New Roman"/>
          <w:sz w:val="24"/>
          <w:szCs w:val="24"/>
        </w:rPr>
        <w:t xml:space="preserve">, industrialization </w:t>
      </w:r>
      <w:r>
        <w:rPr>
          <w:rFonts w:ascii="Times New Roman" w:hAnsi="Times New Roman" w:cs="Times New Roman"/>
          <w:sz w:val="24"/>
          <w:szCs w:val="24"/>
        </w:rPr>
        <w:t>(0.43%)</w:t>
      </w:r>
      <w:r w:rsidRPr="009C62B1">
        <w:rPr>
          <w:rFonts w:ascii="Times New Roman" w:hAnsi="Times New Roman" w:cs="Times New Roman"/>
          <w:sz w:val="24"/>
          <w:szCs w:val="24"/>
        </w:rPr>
        <w:t xml:space="preserve">, </w:t>
      </w:r>
      <w:r w:rsidR="00EB6693" w:rsidRPr="009C62B1">
        <w:rPr>
          <w:rFonts w:ascii="Times New Roman" w:hAnsi="Times New Roman" w:cs="Times New Roman"/>
          <w:sz w:val="24"/>
          <w:szCs w:val="24"/>
        </w:rPr>
        <w:t xml:space="preserve">and environmental policy </w:t>
      </w:r>
      <w:r>
        <w:rPr>
          <w:rFonts w:ascii="Times New Roman" w:hAnsi="Times New Roman" w:cs="Times New Roman"/>
          <w:sz w:val="24"/>
          <w:szCs w:val="24"/>
        </w:rPr>
        <w:t>(</w:t>
      </w:r>
      <w:r w:rsidRPr="009C62B1">
        <w:rPr>
          <w:rFonts w:ascii="Times New Roman" w:hAnsi="Times New Roman" w:cs="Times New Roman"/>
          <w:sz w:val="24"/>
          <w:szCs w:val="24"/>
        </w:rPr>
        <w:t>0.012%</w:t>
      </w:r>
      <w:r>
        <w:rPr>
          <w:rFonts w:ascii="Times New Roman" w:hAnsi="Times New Roman" w:cs="Times New Roman"/>
          <w:sz w:val="24"/>
          <w:szCs w:val="24"/>
        </w:rPr>
        <w:t xml:space="preserve">) </w:t>
      </w:r>
      <w:r w:rsidR="00EB6693" w:rsidRPr="009C62B1">
        <w:rPr>
          <w:rFonts w:ascii="Times New Roman" w:hAnsi="Times New Roman" w:cs="Times New Roman"/>
          <w:sz w:val="24"/>
          <w:szCs w:val="24"/>
        </w:rPr>
        <w:t xml:space="preserve">have statistically significant association with renewable energy consumption in SSA countries. </w:t>
      </w:r>
      <w:r w:rsidR="00EB6693" w:rsidRPr="009C62B1">
        <w:rPr>
          <w:rFonts w:ascii="Times New Roman" w:hAnsi="Times New Roman" w:cs="Times New Roman"/>
          <w:bCs/>
          <w:sz w:val="24"/>
          <w:szCs w:val="24"/>
        </w:rPr>
        <w:t xml:space="preserve">Whereas, FDI inflows and institutional quality reported positive but insignificant association with </w:t>
      </w:r>
      <w:r w:rsidR="00EB6693" w:rsidRPr="009C62B1">
        <w:rPr>
          <w:rFonts w:ascii="Times New Roman" w:hAnsi="Times New Roman" w:cs="Times New Roman"/>
          <w:sz w:val="24"/>
          <w:szCs w:val="24"/>
        </w:rPr>
        <w:t>CO</w:t>
      </w:r>
      <w:r w:rsidR="00EB6693" w:rsidRPr="009C62B1">
        <w:rPr>
          <w:rFonts w:ascii="Times New Roman" w:hAnsi="Times New Roman" w:cs="Times New Roman"/>
          <w:sz w:val="24"/>
          <w:szCs w:val="24"/>
          <w:vertAlign w:val="subscript"/>
        </w:rPr>
        <w:t>2</w:t>
      </w:r>
      <w:r w:rsidR="00EB6693" w:rsidRPr="009C62B1">
        <w:rPr>
          <w:rFonts w:ascii="Times New Roman" w:hAnsi="Times New Roman" w:cs="Times New Roman"/>
          <w:bCs/>
          <w:sz w:val="24"/>
          <w:szCs w:val="24"/>
        </w:rPr>
        <w:t xml:space="preserve"> emissions in SSA countries. </w:t>
      </w:r>
      <w:r w:rsidR="00EB6693" w:rsidRPr="009C62B1">
        <w:rPr>
          <w:rFonts w:ascii="Times New Roman" w:hAnsi="Times New Roman" w:cs="Times New Roman"/>
          <w:sz w:val="24"/>
          <w:szCs w:val="24"/>
        </w:rPr>
        <w:t xml:space="preserve">Surprisingly, the system GMM estimation results shows that FDI inflows does not have a significant association with renewable energy consumption in SSA countries over the observed period. Yet, </w:t>
      </w:r>
      <w:r w:rsidR="00017B8D">
        <w:rPr>
          <w:rFonts w:ascii="Times New Roman" w:hAnsi="Times New Roman" w:cs="Times New Roman"/>
          <w:sz w:val="24"/>
          <w:szCs w:val="24"/>
        </w:rPr>
        <w:t>t</w:t>
      </w:r>
      <w:r w:rsidR="00EB6693" w:rsidRPr="009C62B1">
        <w:rPr>
          <w:rFonts w:ascii="Times New Roman" w:hAnsi="Times New Roman" w:cs="Times New Roman"/>
          <w:sz w:val="24"/>
          <w:szCs w:val="24"/>
        </w:rPr>
        <w:t>he interaction between FDI and environmental policy</w:t>
      </w:r>
      <w:r w:rsidR="00017B8D">
        <w:rPr>
          <w:rFonts w:ascii="Times New Roman" w:hAnsi="Times New Roman" w:cs="Times New Roman"/>
          <w:sz w:val="24"/>
          <w:szCs w:val="24"/>
        </w:rPr>
        <w:t xml:space="preserve"> reports positive and</w:t>
      </w:r>
      <w:r w:rsidR="00EB6693" w:rsidRPr="009C62B1">
        <w:rPr>
          <w:rFonts w:ascii="Times New Roman" w:hAnsi="Times New Roman" w:cs="Times New Roman"/>
          <w:sz w:val="24"/>
          <w:szCs w:val="24"/>
        </w:rPr>
        <w:t xml:space="preserve"> significant</w:t>
      </w:r>
      <w:r w:rsidR="00017B8D">
        <w:rPr>
          <w:rFonts w:ascii="Times New Roman" w:hAnsi="Times New Roman" w:cs="Times New Roman"/>
          <w:sz w:val="24"/>
          <w:szCs w:val="24"/>
        </w:rPr>
        <w:t xml:space="preserve"> association (</w:t>
      </w:r>
      <w:r w:rsidR="00905540">
        <w:rPr>
          <w:rFonts w:ascii="Times New Roman" w:hAnsi="Times New Roman" w:cs="Times New Roman"/>
          <w:sz w:val="24"/>
          <w:szCs w:val="24"/>
        </w:rPr>
        <w:t>0.54%</w:t>
      </w:r>
      <w:r w:rsidR="00017B8D">
        <w:rPr>
          <w:rFonts w:ascii="Times New Roman" w:hAnsi="Times New Roman" w:cs="Times New Roman"/>
          <w:sz w:val="24"/>
          <w:szCs w:val="24"/>
        </w:rPr>
        <w:t>) with</w:t>
      </w:r>
      <w:r w:rsidR="00EB6693" w:rsidRPr="009C62B1">
        <w:rPr>
          <w:rFonts w:ascii="Times New Roman" w:hAnsi="Times New Roman" w:cs="Times New Roman"/>
          <w:sz w:val="24"/>
          <w:szCs w:val="24"/>
        </w:rPr>
        <w:t xml:space="preserve"> renewable energy consumption in SSA countries. Hence trade openness</w:t>
      </w:r>
      <w:r w:rsidR="00CF1C3B">
        <w:rPr>
          <w:rFonts w:ascii="Times New Roman" w:hAnsi="Times New Roman" w:cs="Times New Roman"/>
          <w:sz w:val="24"/>
          <w:szCs w:val="24"/>
        </w:rPr>
        <w:t xml:space="preserve"> and industrialization</w:t>
      </w:r>
      <w:r w:rsidR="00EB6693" w:rsidRPr="009C62B1">
        <w:rPr>
          <w:rFonts w:ascii="Times New Roman" w:hAnsi="Times New Roman" w:cs="Times New Roman"/>
          <w:sz w:val="24"/>
          <w:szCs w:val="24"/>
        </w:rPr>
        <w:t xml:space="preserve"> would enhance environmental quality by increasing renewable energy consumption in SSA countries. This affirms the presumption that </w:t>
      </w:r>
      <w:r w:rsidR="006F360B">
        <w:rPr>
          <w:rFonts w:ascii="Times New Roman" w:hAnsi="Times New Roman" w:cs="Times New Roman"/>
          <w:sz w:val="24"/>
          <w:szCs w:val="24"/>
        </w:rPr>
        <w:t xml:space="preserve">foreign trade and </w:t>
      </w:r>
      <w:r w:rsidR="00EB6693" w:rsidRPr="009C62B1">
        <w:rPr>
          <w:rFonts w:ascii="Times New Roman" w:hAnsi="Times New Roman" w:cs="Times New Roman"/>
          <w:sz w:val="24"/>
          <w:szCs w:val="24"/>
        </w:rPr>
        <w:t>rising industrial activities increases production efficiencies and adoption of modern production methods, including the use of renewable energy sources.</w:t>
      </w:r>
    </w:p>
    <w:p w14:paraId="15D69E7E" w14:textId="515E74E6" w:rsidR="00EB6693" w:rsidRPr="009C62B1" w:rsidRDefault="00EB6693" w:rsidP="00916F6A">
      <w:pPr>
        <w:spacing w:line="360" w:lineRule="auto"/>
        <w:jc w:val="both"/>
        <w:rPr>
          <w:rFonts w:ascii="Times New Roman" w:hAnsi="Times New Roman" w:cs="Times New Roman"/>
          <w:bCs/>
          <w:sz w:val="24"/>
          <w:szCs w:val="24"/>
        </w:rPr>
      </w:pPr>
      <w:r w:rsidRPr="009C62B1">
        <w:rPr>
          <w:rFonts w:ascii="Times New Roman" w:hAnsi="Times New Roman" w:cs="Times New Roman"/>
          <w:bCs/>
          <w:sz w:val="24"/>
          <w:szCs w:val="24"/>
        </w:rPr>
        <w:t xml:space="preserve">It could be deduced from the result of this analysis that FDI inflows alone is not sufficient in reducing increasing </w:t>
      </w:r>
      <w:r w:rsidRPr="009C62B1">
        <w:rPr>
          <w:rFonts w:ascii="Times New Roman" w:hAnsi="Times New Roman" w:cs="Times New Roman"/>
          <w:sz w:val="24"/>
          <w:szCs w:val="24"/>
        </w:rPr>
        <w:t>renewable energy consumption</w:t>
      </w:r>
      <w:r w:rsidRPr="009C62B1">
        <w:rPr>
          <w:rFonts w:ascii="Times New Roman" w:hAnsi="Times New Roman" w:cs="Times New Roman"/>
          <w:bCs/>
          <w:sz w:val="24"/>
          <w:szCs w:val="24"/>
        </w:rPr>
        <w:t xml:space="preserve"> in SSA countries, rather FDI inflows into SSA countries coupled with strong institutions and policies on environmental sustainability could promote the use of renewable energy sources in the SSA region.</w:t>
      </w:r>
      <w:r w:rsidR="00B967B2">
        <w:rPr>
          <w:rFonts w:ascii="Times New Roman" w:hAnsi="Times New Roman" w:cs="Times New Roman"/>
          <w:bCs/>
          <w:sz w:val="24"/>
          <w:szCs w:val="24"/>
        </w:rPr>
        <w:t xml:space="preserve"> The result from the system GMM estimation technique is supported by other panel data estimates presented in table 4. </w:t>
      </w:r>
    </w:p>
    <w:p w14:paraId="225532F8" w14:textId="77777777" w:rsidR="00916F6A" w:rsidRDefault="00916F6A" w:rsidP="00916F6A">
      <w:pPr>
        <w:pStyle w:val="Caption"/>
        <w:keepNext/>
        <w:spacing w:after="0"/>
        <w:rPr>
          <w:rFonts w:ascii="Times New Roman" w:hAnsi="Times New Roman" w:cs="Times New Roman"/>
          <w:b/>
          <w:bCs/>
          <w:color w:val="auto"/>
          <w:sz w:val="22"/>
          <w:szCs w:val="22"/>
        </w:rPr>
      </w:pPr>
    </w:p>
    <w:p w14:paraId="0C7D3679" w14:textId="77777777" w:rsidR="00916F6A" w:rsidRDefault="00916F6A" w:rsidP="00916F6A">
      <w:pPr>
        <w:pStyle w:val="Caption"/>
        <w:keepNext/>
        <w:spacing w:after="0"/>
        <w:rPr>
          <w:rFonts w:ascii="Times New Roman" w:hAnsi="Times New Roman" w:cs="Times New Roman"/>
          <w:b/>
          <w:bCs/>
          <w:color w:val="auto"/>
          <w:sz w:val="22"/>
          <w:szCs w:val="22"/>
        </w:rPr>
      </w:pPr>
    </w:p>
    <w:p w14:paraId="11F3FCCF" w14:textId="77777777" w:rsidR="00916F6A" w:rsidRDefault="00916F6A" w:rsidP="00916F6A">
      <w:pPr>
        <w:pStyle w:val="Caption"/>
        <w:keepNext/>
        <w:spacing w:after="0"/>
        <w:rPr>
          <w:rFonts w:ascii="Times New Roman" w:hAnsi="Times New Roman" w:cs="Times New Roman"/>
          <w:b/>
          <w:bCs/>
          <w:color w:val="auto"/>
          <w:sz w:val="22"/>
          <w:szCs w:val="22"/>
        </w:rPr>
      </w:pPr>
    </w:p>
    <w:p w14:paraId="37C9D1EE" w14:textId="77777777" w:rsidR="00916F6A" w:rsidRDefault="00916F6A" w:rsidP="00916F6A">
      <w:pPr>
        <w:pStyle w:val="Caption"/>
        <w:keepNext/>
        <w:spacing w:after="0"/>
        <w:rPr>
          <w:rFonts w:ascii="Times New Roman" w:hAnsi="Times New Roman" w:cs="Times New Roman"/>
          <w:b/>
          <w:bCs/>
          <w:color w:val="auto"/>
          <w:sz w:val="22"/>
          <w:szCs w:val="22"/>
        </w:rPr>
      </w:pPr>
    </w:p>
    <w:p w14:paraId="274335BC" w14:textId="303B98CA" w:rsidR="00EB6693" w:rsidRPr="00601ADC" w:rsidRDefault="00EB6693" w:rsidP="00916F6A">
      <w:pPr>
        <w:pStyle w:val="Caption"/>
        <w:keepNext/>
        <w:spacing w:after="0"/>
        <w:rPr>
          <w:rFonts w:ascii="Times New Roman" w:hAnsi="Times New Roman" w:cs="Times New Roman"/>
          <w:b/>
          <w:bCs/>
          <w:color w:val="auto"/>
          <w:sz w:val="22"/>
          <w:szCs w:val="22"/>
        </w:rPr>
      </w:pPr>
      <w:r w:rsidRPr="00601ADC">
        <w:rPr>
          <w:rFonts w:ascii="Times New Roman" w:hAnsi="Times New Roman" w:cs="Times New Roman"/>
          <w:b/>
          <w:bCs/>
          <w:color w:val="auto"/>
          <w:sz w:val="22"/>
          <w:szCs w:val="22"/>
        </w:rPr>
        <w:t>Table 4. Robustness Check (Dep. Var.: REC)</w:t>
      </w:r>
    </w:p>
    <w:tbl>
      <w:tblPr>
        <w:tblStyle w:val="TableGridLight1"/>
        <w:tblW w:w="759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2"/>
        <w:gridCol w:w="1698"/>
        <w:gridCol w:w="2070"/>
        <w:gridCol w:w="1749"/>
      </w:tblGrid>
      <w:tr w:rsidR="00EB6693" w14:paraId="10F599F1" w14:textId="77777777" w:rsidTr="007F308E">
        <w:trPr>
          <w:trHeight w:val="132"/>
        </w:trPr>
        <w:tc>
          <w:tcPr>
            <w:tcW w:w="2082" w:type="dxa"/>
            <w:tcBorders>
              <w:top w:val="single" w:sz="12" w:space="0" w:color="auto"/>
              <w:bottom w:val="single" w:sz="12" w:space="0" w:color="auto"/>
            </w:tcBorders>
          </w:tcPr>
          <w:p w14:paraId="587122B8" w14:textId="77777777" w:rsidR="00EB6693" w:rsidRDefault="00EB6693" w:rsidP="00916F6A">
            <w:pPr>
              <w:spacing w:line="276" w:lineRule="auto"/>
              <w:rPr>
                <w:rFonts w:ascii="Times New Roman" w:hAnsi="Times New Roman" w:cs="Times New Roman"/>
                <w:b/>
              </w:rPr>
            </w:pPr>
            <w:r>
              <w:rPr>
                <w:rFonts w:ascii="Times New Roman" w:hAnsi="Times New Roman" w:cs="Times New Roman"/>
                <w:b/>
              </w:rPr>
              <w:t>Variables</w:t>
            </w:r>
          </w:p>
        </w:tc>
        <w:tc>
          <w:tcPr>
            <w:tcW w:w="1698" w:type="dxa"/>
            <w:tcBorders>
              <w:top w:val="single" w:sz="12" w:space="0" w:color="auto"/>
              <w:bottom w:val="single" w:sz="12" w:space="0" w:color="auto"/>
            </w:tcBorders>
          </w:tcPr>
          <w:p w14:paraId="074DDA3E" w14:textId="77777777" w:rsidR="00EB6693" w:rsidRDefault="00EB6693" w:rsidP="00916F6A">
            <w:pPr>
              <w:spacing w:line="276" w:lineRule="auto"/>
              <w:jc w:val="right"/>
              <w:rPr>
                <w:rFonts w:ascii="Times New Roman" w:hAnsi="Times New Roman" w:cs="Times New Roman"/>
                <w:b/>
              </w:rPr>
            </w:pPr>
            <w:r>
              <w:rPr>
                <w:rFonts w:ascii="Times New Roman" w:hAnsi="Times New Roman" w:cs="Times New Roman"/>
                <w:b/>
              </w:rPr>
              <w:t>Pooled OLS</w:t>
            </w:r>
          </w:p>
        </w:tc>
        <w:tc>
          <w:tcPr>
            <w:tcW w:w="2070" w:type="dxa"/>
            <w:tcBorders>
              <w:top w:val="single" w:sz="12" w:space="0" w:color="auto"/>
              <w:bottom w:val="single" w:sz="12" w:space="0" w:color="auto"/>
            </w:tcBorders>
          </w:tcPr>
          <w:p w14:paraId="50BA377E" w14:textId="77777777" w:rsidR="00EB6693" w:rsidRDefault="00EB6693" w:rsidP="00916F6A">
            <w:pPr>
              <w:spacing w:line="276" w:lineRule="auto"/>
              <w:jc w:val="right"/>
              <w:rPr>
                <w:rFonts w:ascii="Times New Roman" w:hAnsi="Times New Roman" w:cs="Times New Roman"/>
                <w:b/>
              </w:rPr>
            </w:pPr>
            <w:r>
              <w:rPr>
                <w:rFonts w:ascii="Times New Roman" w:hAnsi="Times New Roman" w:cs="Times New Roman"/>
                <w:b/>
              </w:rPr>
              <w:t>Fixed Effect</w:t>
            </w:r>
          </w:p>
        </w:tc>
        <w:tc>
          <w:tcPr>
            <w:tcW w:w="1749" w:type="dxa"/>
            <w:tcBorders>
              <w:top w:val="single" w:sz="12" w:space="0" w:color="auto"/>
              <w:bottom w:val="single" w:sz="12" w:space="0" w:color="auto"/>
            </w:tcBorders>
          </w:tcPr>
          <w:p w14:paraId="12EFB4BE" w14:textId="77777777" w:rsidR="00EB6693" w:rsidRDefault="00EB6693" w:rsidP="00916F6A">
            <w:pPr>
              <w:spacing w:line="276" w:lineRule="auto"/>
              <w:jc w:val="right"/>
              <w:rPr>
                <w:rFonts w:ascii="Times New Roman" w:hAnsi="Times New Roman" w:cs="Times New Roman"/>
                <w:b/>
              </w:rPr>
            </w:pPr>
            <w:r>
              <w:rPr>
                <w:rFonts w:ascii="Times New Roman" w:hAnsi="Times New Roman" w:cs="Times New Roman"/>
                <w:b/>
              </w:rPr>
              <w:t>Random Effect</w:t>
            </w:r>
          </w:p>
        </w:tc>
      </w:tr>
      <w:tr w:rsidR="00EB6693" w14:paraId="4025A9B7" w14:textId="77777777" w:rsidTr="00CB665F">
        <w:trPr>
          <w:trHeight w:val="204"/>
        </w:trPr>
        <w:tc>
          <w:tcPr>
            <w:tcW w:w="2082" w:type="dxa"/>
          </w:tcPr>
          <w:p w14:paraId="391F7FE1" w14:textId="77777777" w:rsidR="00EB6693" w:rsidRDefault="00EB6693" w:rsidP="00916F6A">
            <w:pPr>
              <w:spacing w:line="276" w:lineRule="auto"/>
              <w:rPr>
                <w:rFonts w:ascii="Times New Roman" w:hAnsi="Times New Roman" w:cs="Times New Roman"/>
                <w:bCs/>
                <w:i/>
                <w:iCs/>
              </w:rPr>
            </w:pPr>
            <w:r>
              <w:rPr>
                <w:rFonts w:ascii="Times New Roman" w:hAnsi="Times New Roman" w:cs="Times New Roman"/>
                <w:bCs/>
                <w:i/>
                <w:iCs/>
              </w:rPr>
              <w:t>FDI</w:t>
            </w:r>
          </w:p>
        </w:tc>
        <w:tc>
          <w:tcPr>
            <w:tcW w:w="1698" w:type="dxa"/>
          </w:tcPr>
          <w:p w14:paraId="08799F9A"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-0.0024914(0.88)</w:t>
            </w:r>
          </w:p>
        </w:tc>
        <w:tc>
          <w:tcPr>
            <w:tcW w:w="2070" w:type="dxa"/>
          </w:tcPr>
          <w:p w14:paraId="3CEC87A6"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0.0016827(0.39)</w:t>
            </w:r>
          </w:p>
        </w:tc>
        <w:tc>
          <w:tcPr>
            <w:tcW w:w="1749" w:type="dxa"/>
          </w:tcPr>
          <w:p w14:paraId="591CC7B1"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-0.0029009(0.77)</w:t>
            </w:r>
          </w:p>
        </w:tc>
      </w:tr>
      <w:tr w:rsidR="00EB6693" w14:paraId="7F8646D1" w14:textId="77777777" w:rsidTr="007F308E">
        <w:trPr>
          <w:trHeight w:val="207"/>
        </w:trPr>
        <w:tc>
          <w:tcPr>
            <w:tcW w:w="3780" w:type="dxa"/>
            <w:gridSpan w:val="2"/>
          </w:tcPr>
          <w:p w14:paraId="7FECB834" w14:textId="77777777" w:rsidR="00EB6693" w:rsidRDefault="00EB6693" w:rsidP="00916F6A">
            <w:pPr>
              <w:spacing w:line="480" w:lineRule="auto"/>
              <w:rPr>
                <w:rFonts w:ascii="Times New Roman" w:hAnsi="Times New Roman" w:cs="Times New Roman"/>
                <w:bCs/>
              </w:rPr>
            </w:pPr>
            <w:r>
              <w:rPr>
                <w:rFonts w:ascii="Times New Roman" w:hAnsi="Times New Roman" w:cs="Times New Roman"/>
                <w:b/>
              </w:rPr>
              <w:t>Control Variables</w:t>
            </w:r>
          </w:p>
        </w:tc>
        <w:tc>
          <w:tcPr>
            <w:tcW w:w="2070" w:type="dxa"/>
          </w:tcPr>
          <w:p w14:paraId="3763A438" w14:textId="77777777" w:rsidR="00EB6693" w:rsidRDefault="00EB6693" w:rsidP="00916F6A">
            <w:pPr>
              <w:spacing w:line="480" w:lineRule="auto"/>
              <w:jc w:val="right"/>
              <w:rPr>
                <w:rFonts w:ascii="Times New Roman" w:hAnsi="Times New Roman" w:cs="Times New Roman"/>
                <w:bCs/>
              </w:rPr>
            </w:pPr>
          </w:p>
        </w:tc>
        <w:tc>
          <w:tcPr>
            <w:tcW w:w="1749" w:type="dxa"/>
          </w:tcPr>
          <w:p w14:paraId="049FBF9B" w14:textId="77777777" w:rsidR="00EB6693" w:rsidRDefault="00EB6693" w:rsidP="00916F6A">
            <w:pPr>
              <w:spacing w:line="480" w:lineRule="auto"/>
              <w:jc w:val="right"/>
              <w:rPr>
                <w:rFonts w:ascii="Times New Roman" w:hAnsi="Times New Roman" w:cs="Times New Roman"/>
                <w:bCs/>
              </w:rPr>
            </w:pPr>
          </w:p>
        </w:tc>
      </w:tr>
      <w:tr w:rsidR="00EB6693" w14:paraId="67D1E8BB" w14:textId="77777777" w:rsidTr="007F308E">
        <w:trPr>
          <w:trHeight w:val="288"/>
        </w:trPr>
        <w:tc>
          <w:tcPr>
            <w:tcW w:w="2082" w:type="dxa"/>
          </w:tcPr>
          <w:p w14:paraId="5D57B1E4" w14:textId="77777777" w:rsidR="00EB6693" w:rsidRDefault="00EB6693" w:rsidP="00916F6A">
            <w:pPr>
              <w:spacing w:line="276" w:lineRule="auto"/>
              <w:rPr>
                <w:rFonts w:ascii="Times New Roman" w:hAnsi="Times New Roman" w:cs="Times New Roman"/>
                <w:bCs/>
                <w:i/>
                <w:iCs/>
              </w:rPr>
            </w:pPr>
            <w:r>
              <w:rPr>
                <w:rFonts w:ascii="Times New Roman" w:hAnsi="Times New Roman" w:cs="Times New Roman"/>
                <w:bCs/>
                <w:i/>
                <w:iCs/>
              </w:rPr>
              <w:t>TO</w:t>
            </w:r>
          </w:p>
        </w:tc>
        <w:tc>
          <w:tcPr>
            <w:tcW w:w="1698" w:type="dxa"/>
          </w:tcPr>
          <w:p w14:paraId="08505C50"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0.0003176*(-1.28)</w:t>
            </w:r>
          </w:p>
        </w:tc>
        <w:tc>
          <w:tcPr>
            <w:tcW w:w="2070" w:type="dxa"/>
          </w:tcPr>
          <w:p w14:paraId="0DF20C6F"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0.0005477(0.59)</w:t>
            </w:r>
          </w:p>
        </w:tc>
        <w:tc>
          <w:tcPr>
            <w:tcW w:w="1749" w:type="dxa"/>
          </w:tcPr>
          <w:p w14:paraId="19D3A79D"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0.0004277*(-1.17)</w:t>
            </w:r>
          </w:p>
        </w:tc>
      </w:tr>
      <w:tr w:rsidR="00EB6693" w14:paraId="0A70E043" w14:textId="77777777" w:rsidTr="007F308E">
        <w:trPr>
          <w:trHeight w:val="77"/>
        </w:trPr>
        <w:tc>
          <w:tcPr>
            <w:tcW w:w="2082" w:type="dxa"/>
          </w:tcPr>
          <w:p w14:paraId="7ADA3EB3" w14:textId="77777777" w:rsidR="00EB6693" w:rsidRDefault="00EB6693" w:rsidP="00916F6A">
            <w:pPr>
              <w:spacing w:line="276" w:lineRule="auto"/>
              <w:rPr>
                <w:rFonts w:ascii="Times New Roman" w:hAnsi="Times New Roman" w:cs="Times New Roman"/>
                <w:bCs/>
                <w:i/>
                <w:iCs/>
              </w:rPr>
            </w:pPr>
            <w:r>
              <w:rPr>
                <w:rFonts w:ascii="Times New Roman" w:hAnsi="Times New Roman" w:cs="Times New Roman"/>
                <w:bCs/>
                <w:i/>
                <w:iCs/>
              </w:rPr>
              <w:t>IND</w:t>
            </w:r>
          </w:p>
        </w:tc>
        <w:tc>
          <w:tcPr>
            <w:tcW w:w="1698" w:type="dxa"/>
          </w:tcPr>
          <w:p w14:paraId="21A44108"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0.0001608(-0.20)</w:t>
            </w:r>
          </w:p>
        </w:tc>
        <w:tc>
          <w:tcPr>
            <w:tcW w:w="2070" w:type="dxa"/>
          </w:tcPr>
          <w:p w14:paraId="355F87E1"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0.0038714*(1.67)</w:t>
            </w:r>
          </w:p>
        </w:tc>
        <w:tc>
          <w:tcPr>
            <w:tcW w:w="1749" w:type="dxa"/>
          </w:tcPr>
          <w:p w14:paraId="2CEC9084"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0.0004987(0.48)</w:t>
            </w:r>
          </w:p>
        </w:tc>
      </w:tr>
      <w:tr w:rsidR="00EB6693" w14:paraId="2F037993" w14:textId="77777777" w:rsidTr="007F308E">
        <w:trPr>
          <w:trHeight w:val="171"/>
        </w:trPr>
        <w:tc>
          <w:tcPr>
            <w:tcW w:w="2082" w:type="dxa"/>
          </w:tcPr>
          <w:p w14:paraId="275828AF" w14:textId="77777777" w:rsidR="00EB6693" w:rsidRDefault="00EB6693" w:rsidP="00916F6A">
            <w:pPr>
              <w:spacing w:line="276" w:lineRule="auto"/>
              <w:rPr>
                <w:rFonts w:ascii="Times New Roman" w:hAnsi="Times New Roman" w:cs="Times New Roman"/>
                <w:bCs/>
                <w:i/>
                <w:iCs/>
              </w:rPr>
            </w:pPr>
            <w:r>
              <w:rPr>
                <w:rFonts w:ascii="Times New Roman" w:hAnsi="Times New Roman" w:cs="Times New Roman"/>
                <w:bCs/>
                <w:i/>
                <w:iCs/>
              </w:rPr>
              <w:t>IST</w:t>
            </w:r>
          </w:p>
        </w:tc>
        <w:tc>
          <w:tcPr>
            <w:tcW w:w="1698" w:type="dxa"/>
          </w:tcPr>
          <w:p w14:paraId="7C1D79D8"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0.0021506(-0.28)</w:t>
            </w:r>
          </w:p>
        </w:tc>
        <w:tc>
          <w:tcPr>
            <w:tcW w:w="2070" w:type="dxa"/>
          </w:tcPr>
          <w:p w14:paraId="11D83D1F"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-0.0728874(-1.12)</w:t>
            </w:r>
          </w:p>
        </w:tc>
        <w:tc>
          <w:tcPr>
            <w:tcW w:w="1749" w:type="dxa"/>
          </w:tcPr>
          <w:p w14:paraId="2FAD863C"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0.0011869(0.10)</w:t>
            </w:r>
          </w:p>
        </w:tc>
      </w:tr>
      <w:tr w:rsidR="00EB6693" w14:paraId="293C4CF9" w14:textId="77777777" w:rsidTr="007F308E">
        <w:trPr>
          <w:trHeight w:val="77"/>
        </w:trPr>
        <w:tc>
          <w:tcPr>
            <w:tcW w:w="2082" w:type="dxa"/>
            <w:tcBorders>
              <w:bottom w:val="single" w:sz="4" w:space="0" w:color="FFFFFF" w:themeColor="background1"/>
            </w:tcBorders>
          </w:tcPr>
          <w:p w14:paraId="335BC4B6" w14:textId="77777777" w:rsidR="00EB6693" w:rsidRDefault="00EB6693" w:rsidP="00916F6A">
            <w:pPr>
              <w:spacing w:line="276" w:lineRule="auto"/>
              <w:rPr>
                <w:rFonts w:ascii="Times New Roman" w:hAnsi="Times New Roman" w:cs="Times New Roman"/>
                <w:bCs/>
                <w:i/>
                <w:iCs/>
              </w:rPr>
            </w:pPr>
            <w:r>
              <w:rPr>
                <w:rFonts w:ascii="Times New Roman" w:hAnsi="Times New Roman" w:cs="Times New Roman"/>
                <w:bCs/>
                <w:i/>
                <w:iCs/>
              </w:rPr>
              <w:t>EP</w:t>
            </w:r>
          </w:p>
        </w:tc>
        <w:tc>
          <w:tcPr>
            <w:tcW w:w="1698" w:type="dxa"/>
            <w:tcBorders>
              <w:bottom w:val="single" w:sz="4" w:space="0" w:color="FFFFFF" w:themeColor="background1"/>
            </w:tcBorders>
          </w:tcPr>
          <w:p w14:paraId="62963875"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0.0000328*(-0.82)</w:t>
            </w:r>
          </w:p>
        </w:tc>
        <w:tc>
          <w:tcPr>
            <w:tcW w:w="2070" w:type="dxa"/>
            <w:tcBorders>
              <w:bottom w:val="single" w:sz="4" w:space="0" w:color="FFFFFF" w:themeColor="background1"/>
            </w:tcBorders>
          </w:tcPr>
          <w:p w14:paraId="3800BF24"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0.0000675**(-1.03)</w:t>
            </w:r>
          </w:p>
        </w:tc>
        <w:tc>
          <w:tcPr>
            <w:tcW w:w="1749" w:type="dxa"/>
            <w:tcBorders>
              <w:bottom w:val="single" w:sz="4" w:space="0" w:color="FFFFFF" w:themeColor="background1"/>
            </w:tcBorders>
          </w:tcPr>
          <w:p w14:paraId="0FB18B5E" w14:textId="77777777" w:rsidR="00EB6693" w:rsidRDefault="00EB6693" w:rsidP="00916F6A">
            <w:pPr>
              <w:spacing w:line="480" w:lineRule="auto"/>
              <w:jc w:val="right"/>
              <w:rPr>
                <w:rFonts w:ascii="Times New Roman" w:hAnsi="Times New Roman" w:cs="Times New Roman"/>
                <w:bCs/>
              </w:rPr>
            </w:pPr>
            <w:r>
              <w:rPr>
                <w:rFonts w:ascii="Times New Roman" w:hAnsi="Times New Roman" w:cs="Times New Roman"/>
                <w:bCs/>
              </w:rPr>
              <w:t>0.0000421*(-0.77)</w:t>
            </w:r>
          </w:p>
        </w:tc>
      </w:tr>
      <w:tr w:rsidR="00EB6693" w14:paraId="336BF0B5" w14:textId="77777777" w:rsidTr="007F308E">
        <w:trPr>
          <w:trHeight w:val="152"/>
        </w:trPr>
        <w:tc>
          <w:tcPr>
            <w:tcW w:w="2082" w:type="dxa"/>
            <w:tcBorders>
              <w:bottom w:val="single" w:sz="4" w:space="0" w:color="FFFFFF" w:themeColor="background1"/>
            </w:tcBorders>
          </w:tcPr>
          <w:p w14:paraId="0961AC4D" w14:textId="77777777" w:rsidR="00EB6693" w:rsidRDefault="00EB6693" w:rsidP="00916F6A">
            <w:pPr>
              <w:spacing w:line="276" w:lineRule="auto"/>
              <w:rPr>
                <w:rFonts w:ascii="Times New Roman" w:hAnsi="Times New Roman" w:cs="Times New Roman"/>
                <w:bCs/>
              </w:rPr>
            </w:pPr>
            <w:r>
              <w:rPr>
                <w:rFonts w:ascii="Times New Roman" w:hAnsi="Times New Roman" w:cs="Times New Roman"/>
                <w:bCs/>
              </w:rPr>
              <w:t xml:space="preserve">Observations </w:t>
            </w:r>
          </w:p>
        </w:tc>
        <w:tc>
          <w:tcPr>
            <w:tcW w:w="1698" w:type="dxa"/>
            <w:tcBorders>
              <w:bottom w:val="single" w:sz="4" w:space="0" w:color="FFFFFF" w:themeColor="background1"/>
            </w:tcBorders>
          </w:tcPr>
          <w:p w14:paraId="031BB029" w14:textId="77777777" w:rsidR="00EB6693" w:rsidRDefault="00EB6693" w:rsidP="00916F6A">
            <w:pPr>
              <w:spacing w:line="276" w:lineRule="auto"/>
              <w:jc w:val="right"/>
              <w:rPr>
                <w:rFonts w:ascii="Times New Roman" w:hAnsi="Times New Roman" w:cs="Times New Roman"/>
                <w:bCs/>
              </w:rPr>
            </w:pPr>
            <w:r>
              <w:rPr>
                <w:rFonts w:ascii="Times New Roman" w:hAnsi="Times New Roman" w:cs="Times New Roman"/>
                <w:bCs/>
              </w:rPr>
              <w:t>135</w:t>
            </w:r>
          </w:p>
        </w:tc>
        <w:tc>
          <w:tcPr>
            <w:tcW w:w="2070" w:type="dxa"/>
            <w:tcBorders>
              <w:bottom w:val="single" w:sz="4" w:space="0" w:color="FFFFFF" w:themeColor="background1"/>
            </w:tcBorders>
          </w:tcPr>
          <w:p w14:paraId="5841D27C" w14:textId="77777777" w:rsidR="00EB6693" w:rsidRDefault="00EB6693" w:rsidP="00916F6A">
            <w:pPr>
              <w:spacing w:line="276" w:lineRule="auto"/>
              <w:jc w:val="right"/>
              <w:rPr>
                <w:rFonts w:ascii="Times New Roman" w:hAnsi="Times New Roman" w:cs="Times New Roman"/>
                <w:bCs/>
              </w:rPr>
            </w:pPr>
            <w:r>
              <w:rPr>
                <w:rFonts w:ascii="Times New Roman" w:hAnsi="Times New Roman" w:cs="Times New Roman"/>
                <w:bCs/>
              </w:rPr>
              <w:t>135</w:t>
            </w:r>
          </w:p>
        </w:tc>
        <w:tc>
          <w:tcPr>
            <w:tcW w:w="1749" w:type="dxa"/>
            <w:tcBorders>
              <w:bottom w:val="single" w:sz="4" w:space="0" w:color="FFFFFF" w:themeColor="background1"/>
            </w:tcBorders>
          </w:tcPr>
          <w:p w14:paraId="7034C4B9" w14:textId="77777777" w:rsidR="00EB6693" w:rsidRDefault="00EB6693" w:rsidP="00916F6A">
            <w:pPr>
              <w:spacing w:line="276" w:lineRule="auto"/>
              <w:jc w:val="right"/>
              <w:rPr>
                <w:rFonts w:ascii="Times New Roman" w:hAnsi="Times New Roman" w:cs="Times New Roman"/>
                <w:bCs/>
              </w:rPr>
            </w:pPr>
            <w:r>
              <w:rPr>
                <w:rFonts w:ascii="Times New Roman" w:hAnsi="Times New Roman" w:cs="Times New Roman"/>
                <w:bCs/>
              </w:rPr>
              <w:t>135</w:t>
            </w:r>
          </w:p>
        </w:tc>
      </w:tr>
      <w:tr w:rsidR="00EB6693" w14:paraId="39323277" w14:textId="77777777" w:rsidTr="007F308E">
        <w:trPr>
          <w:trHeight w:val="224"/>
        </w:trPr>
        <w:tc>
          <w:tcPr>
            <w:tcW w:w="2082" w:type="dxa"/>
            <w:tcBorders>
              <w:top w:val="single" w:sz="4" w:space="0" w:color="FFFFFF" w:themeColor="background1"/>
            </w:tcBorders>
          </w:tcPr>
          <w:p w14:paraId="4EFE2133" w14:textId="77777777" w:rsidR="00EB6693" w:rsidRDefault="00EB6693" w:rsidP="00916F6A">
            <w:pPr>
              <w:spacing w:line="276" w:lineRule="auto"/>
              <w:rPr>
                <w:rFonts w:ascii="Times New Roman" w:hAnsi="Times New Roman" w:cs="Times New Roman"/>
                <w:b/>
              </w:rPr>
            </w:pPr>
            <w:r>
              <w:rPr>
                <w:rFonts w:ascii="Times New Roman" w:hAnsi="Times New Roman" w:cs="Times New Roman"/>
                <w:b/>
              </w:rPr>
              <w:t>Diagnostic tests</w:t>
            </w:r>
          </w:p>
        </w:tc>
        <w:tc>
          <w:tcPr>
            <w:tcW w:w="1698" w:type="dxa"/>
            <w:tcBorders>
              <w:top w:val="single" w:sz="4" w:space="0" w:color="FFFFFF" w:themeColor="background1"/>
            </w:tcBorders>
          </w:tcPr>
          <w:p w14:paraId="064C8C61" w14:textId="77777777" w:rsidR="00EB6693" w:rsidRDefault="00EB6693" w:rsidP="00916F6A">
            <w:pPr>
              <w:spacing w:line="276" w:lineRule="auto"/>
              <w:jc w:val="right"/>
              <w:rPr>
                <w:rFonts w:ascii="Times New Roman" w:hAnsi="Times New Roman" w:cs="Times New Roman"/>
                <w:bCs/>
              </w:rPr>
            </w:pPr>
          </w:p>
        </w:tc>
        <w:tc>
          <w:tcPr>
            <w:tcW w:w="2070" w:type="dxa"/>
            <w:tcBorders>
              <w:top w:val="single" w:sz="4" w:space="0" w:color="FFFFFF" w:themeColor="background1"/>
            </w:tcBorders>
          </w:tcPr>
          <w:p w14:paraId="41B21977" w14:textId="77777777" w:rsidR="00EB6693" w:rsidRDefault="00EB6693" w:rsidP="00916F6A">
            <w:pPr>
              <w:spacing w:line="276" w:lineRule="auto"/>
              <w:rPr>
                <w:rFonts w:ascii="Times New Roman" w:hAnsi="Times New Roman" w:cs="Times New Roman"/>
                <w:bCs/>
              </w:rPr>
            </w:pPr>
          </w:p>
        </w:tc>
        <w:tc>
          <w:tcPr>
            <w:tcW w:w="1749" w:type="dxa"/>
            <w:tcBorders>
              <w:top w:val="single" w:sz="4" w:space="0" w:color="FFFFFF" w:themeColor="background1"/>
            </w:tcBorders>
          </w:tcPr>
          <w:p w14:paraId="6887B4DB" w14:textId="77777777" w:rsidR="00EB6693" w:rsidRDefault="00EB6693" w:rsidP="00916F6A">
            <w:pPr>
              <w:spacing w:line="276" w:lineRule="auto"/>
              <w:rPr>
                <w:rFonts w:ascii="Times New Roman" w:hAnsi="Times New Roman" w:cs="Times New Roman"/>
                <w:bCs/>
              </w:rPr>
            </w:pPr>
          </w:p>
        </w:tc>
      </w:tr>
      <w:tr w:rsidR="00EB6693" w14:paraId="3F740AC9" w14:textId="77777777" w:rsidTr="007F308E">
        <w:trPr>
          <w:trHeight w:val="360"/>
        </w:trPr>
        <w:tc>
          <w:tcPr>
            <w:tcW w:w="2082" w:type="dxa"/>
          </w:tcPr>
          <w:p w14:paraId="55C6D133" w14:textId="77777777" w:rsidR="00EB6693" w:rsidRDefault="00EB6693" w:rsidP="00916F6A">
            <w:pPr>
              <w:spacing w:line="360" w:lineRule="auto"/>
              <w:rPr>
                <w:rFonts w:ascii="Times New Roman" w:hAnsi="Times New Roman" w:cs="Times New Roman"/>
                <w:bCs/>
              </w:rPr>
            </w:pPr>
            <w:r>
              <w:rPr>
                <w:rFonts w:ascii="Times New Roman" w:hAnsi="Times New Roman" w:cs="Times New Roman"/>
                <w:bCs/>
              </w:rPr>
              <w:t>Prob &gt; F</w:t>
            </w:r>
          </w:p>
          <w:p w14:paraId="475486CA" w14:textId="77777777" w:rsidR="00EB6693" w:rsidRDefault="00EB6693" w:rsidP="00916F6A">
            <w:pPr>
              <w:spacing w:line="360" w:lineRule="auto"/>
              <w:rPr>
                <w:rFonts w:ascii="Times New Roman" w:hAnsi="Times New Roman" w:cs="Times New Roman"/>
                <w:bCs/>
              </w:rPr>
            </w:pPr>
            <w:r>
              <w:rPr>
                <w:rFonts w:ascii="Times New Roman" w:hAnsi="Times New Roman" w:cs="Times New Roman"/>
                <w:bCs/>
              </w:rPr>
              <w:t>Prob &gt; chi2</w:t>
            </w:r>
          </w:p>
        </w:tc>
        <w:tc>
          <w:tcPr>
            <w:tcW w:w="1698" w:type="dxa"/>
          </w:tcPr>
          <w:p w14:paraId="10C3D77D"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0.0000</w:t>
            </w:r>
          </w:p>
        </w:tc>
        <w:tc>
          <w:tcPr>
            <w:tcW w:w="2070" w:type="dxa"/>
          </w:tcPr>
          <w:p w14:paraId="442EA3A9"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0.0000</w:t>
            </w:r>
          </w:p>
        </w:tc>
        <w:tc>
          <w:tcPr>
            <w:tcW w:w="1749" w:type="dxa"/>
          </w:tcPr>
          <w:p w14:paraId="4C496EA6" w14:textId="77777777" w:rsidR="00EB6693" w:rsidRDefault="00EB6693" w:rsidP="00916F6A">
            <w:pPr>
              <w:spacing w:line="360" w:lineRule="auto"/>
              <w:rPr>
                <w:rFonts w:ascii="Times New Roman" w:hAnsi="Times New Roman" w:cs="Times New Roman"/>
                <w:bCs/>
              </w:rPr>
            </w:pPr>
          </w:p>
          <w:p w14:paraId="3826B17E"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0.0000</w:t>
            </w:r>
          </w:p>
        </w:tc>
      </w:tr>
      <w:tr w:rsidR="00EB6693" w14:paraId="3D66CEA4" w14:textId="77777777" w:rsidTr="007F308E">
        <w:trPr>
          <w:trHeight w:val="126"/>
        </w:trPr>
        <w:tc>
          <w:tcPr>
            <w:tcW w:w="2082" w:type="dxa"/>
          </w:tcPr>
          <w:p w14:paraId="61CE9CF4" w14:textId="77777777" w:rsidR="00EB6693" w:rsidRDefault="00EB6693" w:rsidP="00916F6A">
            <w:pPr>
              <w:spacing w:line="360" w:lineRule="auto"/>
              <w:rPr>
                <w:rFonts w:ascii="Times New Roman" w:hAnsi="Times New Roman" w:cs="Times New Roman"/>
                <w:bCs/>
              </w:rPr>
            </w:pPr>
            <w:r>
              <w:rPr>
                <w:rFonts w:ascii="Times New Roman" w:hAnsi="Times New Roman" w:cs="Times New Roman"/>
                <w:bCs/>
              </w:rPr>
              <w:t>R-squared</w:t>
            </w:r>
          </w:p>
        </w:tc>
        <w:tc>
          <w:tcPr>
            <w:tcW w:w="1698" w:type="dxa"/>
          </w:tcPr>
          <w:p w14:paraId="4E6837F9"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0.9973</w:t>
            </w:r>
          </w:p>
        </w:tc>
        <w:tc>
          <w:tcPr>
            <w:tcW w:w="2070" w:type="dxa"/>
          </w:tcPr>
          <w:p w14:paraId="0F38248D"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0.2970</w:t>
            </w:r>
          </w:p>
        </w:tc>
        <w:tc>
          <w:tcPr>
            <w:tcW w:w="1749" w:type="dxa"/>
          </w:tcPr>
          <w:p w14:paraId="77DEE792" w14:textId="77777777" w:rsidR="00EB6693" w:rsidRDefault="00EB6693" w:rsidP="00916F6A">
            <w:pPr>
              <w:spacing w:line="360" w:lineRule="auto"/>
              <w:jc w:val="right"/>
              <w:rPr>
                <w:rFonts w:ascii="Times New Roman" w:hAnsi="Times New Roman" w:cs="Times New Roman"/>
                <w:bCs/>
              </w:rPr>
            </w:pPr>
            <w:r>
              <w:rPr>
                <w:rFonts w:ascii="Times New Roman" w:hAnsi="Times New Roman" w:cs="Times New Roman"/>
                <w:bCs/>
              </w:rPr>
              <w:t>0.9972</w:t>
            </w:r>
          </w:p>
        </w:tc>
      </w:tr>
      <w:tr w:rsidR="00EB6693" w14:paraId="6B953B53" w14:textId="77777777" w:rsidTr="007F308E">
        <w:trPr>
          <w:trHeight w:val="77"/>
        </w:trPr>
        <w:tc>
          <w:tcPr>
            <w:tcW w:w="2082" w:type="dxa"/>
            <w:tcBorders>
              <w:bottom w:val="single" w:sz="12" w:space="0" w:color="auto"/>
            </w:tcBorders>
          </w:tcPr>
          <w:p w14:paraId="2C123422" w14:textId="77777777" w:rsidR="00EB6693" w:rsidRDefault="00EB6693" w:rsidP="00916F6A">
            <w:pPr>
              <w:spacing w:line="360" w:lineRule="auto"/>
              <w:rPr>
                <w:rFonts w:ascii="Times New Roman" w:hAnsi="Times New Roman" w:cs="Times New Roman"/>
                <w:bCs/>
              </w:rPr>
            </w:pPr>
            <w:r>
              <w:rPr>
                <w:rFonts w:ascii="Times New Roman" w:hAnsi="Times New Roman" w:cs="Times New Roman"/>
                <w:bCs/>
              </w:rPr>
              <w:t>Hausman P</w:t>
            </w:r>
          </w:p>
        </w:tc>
        <w:tc>
          <w:tcPr>
            <w:tcW w:w="1698" w:type="dxa"/>
            <w:tcBorders>
              <w:bottom w:val="single" w:sz="12" w:space="0" w:color="auto"/>
            </w:tcBorders>
          </w:tcPr>
          <w:p w14:paraId="5166CBED" w14:textId="77777777" w:rsidR="00EB6693" w:rsidRDefault="00EB6693" w:rsidP="00916F6A">
            <w:pPr>
              <w:spacing w:line="360" w:lineRule="auto"/>
              <w:jc w:val="right"/>
              <w:rPr>
                <w:rFonts w:ascii="Times New Roman" w:hAnsi="Times New Roman" w:cs="Times New Roman"/>
                <w:bCs/>
              </w:rPr>
            </w:pPr>
          </w:p>
        </w:tc>
        <w:tc>
          <w:tcPr>
            <w:tcW w:w="3817" w:type="dxa"/>
            <w:gridSpan w:val="2"/>
            <w:tcBorders>
              <w:bottom w:val="single" w:sz="12" w:space="0" w:color="auto"/>
            </w:tcBorders>
          </w:tcPr>
          <w:p w14:paraId="6FAA1930" w14:textId="77777777" w:rsidR="00EB6693" w:rsidRDefault="00EB6693" w:rsidP="00916F6A">
            <w:pPr>
              <w:spacing w:line="360" w:lineRule="auto"/>
              <w:jc w:val="center"/>
              <w:rPr>
                <w:rFonts w:ascii="Times New Roman" w:hAnsi="Times New Roman" w:cs="Times New Roman"/>
                <w:bCs/>
              </w:rPr>
            </w:pPr>
            <w:r>
              <w:rPr>
                <w:rFonts w:ascii="Times New Roman" w:hAnsi="Times New Roman" w:cs="Times New Roman"/>
                <w:bCs/>
              </w:rPr>
              <w:t>0.0000</w:t>
            </w:r>
          </w:p>
        </w:tc>
      </w:tr>
    </w:tbl>
    <w:p w14:paraId="5711C6C7" w14:textId="77777777" w:rsidR="00EB6693" w:rsidRPr="00601ADC" w:rsidRDefault="00EB6693" w:rsidP="00916F6A">
      <w:pPr>
        <w:spacing w:after="0" w:line="240" w:lineRule="auto"/>
        <w:jc w:val="both"/>
        <w:rPr>
          <w:rFonts w:ascii="Times New Roman" w:hAnsi="Times New Roman" w:cs="Times New Roman"/>
          <w:bCs/>
          <w:sz w:val="24"/>
          <w:szCs w:val="24"/>
        </w:rPr>
      </w:pPr>
      <w:r w:rsidRPr="00601ADC">
        <w:rPr>
          <w:rFonts w:ascii="Times New Roman" w:hAnsi="Times New Roman" w:cs="Times New Roman"/>
          <w:bCs/>
          <w:sz w:val="24"/>
          <w:szCs w:val="24"/>
        </w:rPr>
        <w:t>Notes: ***, **, * are statistical significance at 1%, 5% and 10% levels respectively</w:t>
      </w:r>
    </w:p>
    <w:p w14:paraId="19E63F5B" w14:textId="447A8946" w:rsidR="00EB6693" w:rsidRPr="00601ADC" w:rsidRDefault="00EB6693" w:rsidP="00916F6A">
      <w:pPr>
        <w:spacing w:line="360" w:lineRule="auto"/>
        <w:rPr>
          <w:rFonts w:ascii="Times New Roman" w:hAnsi="Times New Roman" w:cs="Times New Roman"/>
          <w:b/>
          <w:bCs/>
        </w:rPr>
      </w:pPr>
      <w:r w:rsidRPr="00601ADC">
        <w:rPr>
          <w:rFonts w:ascii="Times New Roman" w:hAnsi="Times New Roman" w:cs="Times New Roman"/>
          <w:b/>
          <w:i/>
          <w:iCs/>
          <w:sz w:val="24"/>
          <w:szCs w:val="24"/>
        </w:rPr>
        <w:t>Source: Authors</w:t>
      </w:r>
      <w:r w:rsidR="006B0C0E">
        <w:rPr>
          <w:rFonts w:ascii="Times New Roman" w:hAnsi="Times New Roman" w:cs="Times New Roman"/>
          <w:b/>
          <w:i/>
          <w:iCs/>
          <w:sz w:val="24"/>
          <w:szCs w:val="24"/>
        </w:rPr>
        <w:t>’</w:t>
      </w:r>
      <w:r w:rsidRPr="00601ADC">
        <w:rPr>
          <w:rFonts w:ascii="Times New Roman" w:hAnsi="Times New Roman" w:cs="Times New Roman"/>
          <w:b/>
          <w:i/>
          <w:iCs/>
          <w:sz w:val="24"/>
          <w:szCs w:val="24"/>
        </w:rPr>
        <w:t xml:space="preserve"> Computation via STATA 17.0</w:t>
      </w:r>
      <w:r w:rsidR="00601ADC">
        <w:rPr>
          <w:rFonts w:ascii="Times New Roman" w:hAnsi="Times New Roman" w:cs="Times New Roman"/>
          <w:b/>
          <w:i/>
          <w:iCs/>
          <w:sz w:val="24"/>
          <w:szCs w:val="24"/>
        </w:rPr>
        <w:t xml:space="preserve"> (</w:t>
      </w:r>
      <w:r w:rsidRPr="00601ADC">
        <w:rPr>
          <w:rFonts w:ascii="Times New Roman" w:hAnsi="Times New Roman" w:cs="Times New Roman"/>
          <w:b/>
          <w:i/>
          <w:iCs/>
          <w:sz w:val="24"/>
          <w:szCs w:val="24"/>
        </w:rPr>
        <w:t>2024</w:t>
      </w:r>
      <w:r w:rsidR="00601ADC">
        <w:rPr>
          <w:rFonts w:ascii="Times New Roman" w:hAnsi="Times New Roman" w:cs="Times New Roman"/>
          <w:b/>
          <w:i/>
          <w:iCs/>
          <w:sz w:val="24"/>
          <w:szCs w:val="24"/>
        </w:rPr>
        <w:t>)</w:t>
      </w:r>
    </w:p>
    <w:p w14:paraId="171CBBB9" w14:textId="6A99AE13" w:rsidR="00916F6A" w:rsidRDefault="00EB6693" w:rsidP="00916F6A">
      <w:pPr>
        <w:spacing w:after="0" w:line="360" w:lineRule="auto"/>
        <w:jc w:val="both"/>
        <w:rPr>
          <w:rFonts w:ascii="Times New Roman" w:hAnsi="Times New Roman" w:cs="Times New Roman"/>
          <w:bCs/>
          <w:sz w:val="24"/>
          <w:szCs w:val="24"/>
        </w:rPr>
      </w:pPr>
      <w:r w:rsidRPr="00601ADC">
        <w:rPr>
          <w:rFonts w:ascii="Times New Roman" w:hAnsi="Times New Roman" w:cs="Times New Roman"/>
          <w:bCs/>
          <w:sz w:val="24"/>
          <w:szCs w:val="24"/>
        </w:rPr>
        <w:t xml:space="preserve">It was observed that the analysis of the relationship between FDI inflows and renewable energy consumption reported interesting result. FDI inflows was discovered to have no statistically significant relationship with renewable energy consumption which is supported by findings from previous studies (Ssali et al., 2019; Mahmood et al., 2020). This could be because FDI less impacts environmental laws and policies in these nations or because other variables affect renewable energy consumption more. Yet, trade was discovered to significantly improve the adoption of renewable energy sources in SSA countries, which indicates that trade partnerships among countries and regions can foster technology transfer, circular economy practices, and adoption of renewable energy resources, can encourage uniform principles in the production and consumption of goods, and contribute to lower emissions associated with resource extraction and disposal. Whereas, the interaction of FDI inflows and environmental policies was discovered to statistically </w:t>
      </w:r>
      <w:r w:rsidRPr="00601ADC">
        <w:rPr>
          <w:rFonts w:ascii="Times New Roman" w:hAnsi="Times New Roman" w:cs="Times New Roman"/>
          <w:bCs/>
          <w:sz w:val="24"/>
          <w:szCs w:val="24"/>
        </w:rPr>
        <w:lastRenderedPageBreak/>
        <w:t>increase renewable energy consumption, which implies that countries with institutions and policies supporting environmental sustainability could attract FDI inflows into countries with would embrace renewable energy consumption in SSA countries.</w:t>
      </w:r>
      <w:r w:rsidR="00B967B2">
        <w:rPr>
          <w:rFonts w:ascii="Times New Roman" w:hAnsi="Times New Roman" w:cs="Times New Roman"/>
          <w:bCs/>
          <w:sz w:val="24"/>
          <w:szCs w:val="24"/>
        </w:rPr>
        <w:t xml:space="preserve"> Since i</w:t>
      </w:r>
      <w:r w:rsidRPr="00601ADC">
        <w:rPr>
          <w:rFonts w:ascii="Times New Roman" w:hAnsi="Times New Roman" w:cs="Times New Roman"/>
          <w:bCs/>
          <w:sz w:val="24"/>
          <w:szCs w:val="24"/>
        </w:rPr>
        <w:t xml:space="preserve">ndustrialization was discovered to statistically increase renewable energy consumption (Amoah et al., 2023), </w:t>
      </w:r>
      <w:r w:rsidR="00B967B2">
        <w:rPr>
          <w:rFonts w:ascii="Times New Roman" w:hAnsi="Times New Roman" w:cs="Times New Roman"/>
          <w:bCs/>
          <w:sz w:val="24"/>
          <w:szCs w:val="24"/>
        </w:rPr>
        <w:t>i</w:t>
      </w:r>
      <w:r w:rsidRPr="00601ADC">
        <w:rPr>
          <w:rFonts w:ascii="Times New Roman" w:hAnsi="Times New Roman" w:cs="Times New Roman"/>
          <w:bCs/>
          <w:sz w:val="24"/>
          <w:szCs w:val="24"/>
        </w:rPr>
        <w:t>mplementing energy-efficient technologies and practices in industrial processes can help mitigate the environmental impact of industrialization in SSA countries. In addition, enacting and enforcing stringent environmental regulations and emission standards from the outset can guide industrial development in a more sustainable direction while implementing policies that incentivize cleaner production methods and penalize carbon-intensive practices can contribute to lower emissions.</w:t>
      </w:r>
    </w:p>
    <w:p w14:paraId="24B7FBED" w14:textId="77777777" w:rsidR="00916F6A" w:rsidRPr="00916F6A" w:rsidRDefault="00916F6A" w:rsidP="00916F6A">
      <w:pPr>
        <w:spacing w:after="0" w:line="360" w:lineRule="auto"/>
        <w:jc w:val="both"/>
        <w:rPr>
          <w:rFonts w:ascii="Times New Roman" w:hAnsi="Times New Roman" w:cs="Times New Roman"/>
          <w:bCs/>
          <w:sz w:val="24"/>
          <w:szCs w:val="24"/>
        </w:rPr>
      </w:pPr>
    </w:p>
    <w:p w14:paraId="2EE9768C" w14:textId="54CAA114" w:rsidR="00DA2057" w:rsidRPr="00601ADC" w:rsidRDefault="007C0CAC" w:rsidP="00916F6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DA2057" w:rsidRPr="00601ADC">
        <w:rPr>
          <w:rFonts w:ascii="Times New Roman" w:hAnsi="Times New Roman" w:cs="Times New Roman"/>
          <w:b/>
          <w:bCs/>
          <w:sz w:val="24"/>
          <w:szCs w:val="24"/>
        </w:rPr>
        <w:t>Conclusion and Policy Recommendations</w:t>
      </w:r>
    </w:p>
    <w:p w14:paraId="4E588C17" w14:textId="7F09A66B" w:rsidR="00DA2057" w:rsidRDefault="00EB6693" w:rsidP="00916F6A">
      <w:pPr>
        <w:spacing w:line="360" w:lineRule="auto"/>
        <w:jc w:val="both"/>
        <w:rPr>
          <w:rFonts w:ascii="Times New Roman" w:hAnsi="Times New Roman" w:cs="Times New Roman"/>
          <w:bCs/>
          <w:sz w:val="24"/>
          <w:szCs w:val="24"/>
        </w:rPr>
      </w:pPr>
      <w:r w:rsidRPr="00601ADC">
        <w:rPr>
          <w:rFonts w:ascii="Times New Roman" w:hAnsi="Times New Roman" w:cs="Times New Roman"/>
          <w:bCs/>
          <w:sz w:val="24"/>
          <w:szCs w:val="24"/>
        </w:rPr>
        <w:t xml:space="preserve">This study </w:t>
      </w:r>
      <w:r w:rsidR="00C66BF1">
        <w:rPr>
          <w:rFonts w:ascii="Times New Roman" w:hAnsi="Times New Roman" w:cs="Times New Roman"/>
          <w:bCs/>
          <w:sz w:val="24"/>
          <w:szCs w:val="24"/>
        </w:rPr>
        <w:t>examined</w:t>
      </w:r>
      <w:r w:rsidRPr="00601ADC">
        <w:rPr>
          <w:rFonts w:ascii="Times New Roman" w:hAnsi="Times New Roman" w:cs="Times New Roman"/>
          <w:bCs/>
          <w:sz w:val="24"/>
          <w:szCs w:val="24"/>
        </w:rPr>
        <w:t xml:space="preserve"> the impact of foreign direct investment (FDI) inflows on renewable energy consumption in Sub-Saharan African (SSA) countries</w:t>
      </w:r>
      <w:r w:rsidR="00C66BF1">
        <w:rPr>
          <w:rFonts w:ascii="Times New Roman" w:hAnsi="Times New Roman" w:cs="Times New Roman"/>
          <w:bCs/>
          <w:sz w:val="24"/>
          <w:szCs w:val="24"/>
        </w:rPr>
        <w:t>, by considering the role of policies on environmental sustainability</w:t>
      </w:r>
      <w:r w:rsidRPr="00601ADC">
        <w:rPr>
          <w:rFonts w:ascii="Times New Roman" w:hAnsi="Times New Roman" w:cs="Times New Roman"/>
          <w:bCs/>
          <w:sz w:val="24"/>
          <w:szCs w:val="24"/>
        </w:rPr>
        <w:t>.</w:t>
      </w:r>
      <w:r w:rsidR="00F32254">
        <w:rPr>
          <w:rFonts w:ascii="Times New Roman" w:hAnsi="Times New Roman" w:cs="Times New Roman"/>
          <w:bCs/>
          <w:sz w:val="24"/>
          <w:szCs w:val="24"/>
        </w:rPr>
        <w:t xml:space="preserve"> Data of the variables for 48 SSA countries is obtained from the world bank WDI between 2016 and 2022.</w:t>
      </w:r>
      <w:r w:rsidR="00E204EC">
        <w:rPr>
          <w:rFonts w:ascii="Times New Roman" w:hAnsi="Times New Roman" w:cs="Times New Roman"/>
          <w:bCs/>
          <w:sz w:val="24"/>
          <w:szCs w:val="24"/>
        </w:rPr>
        <w:t xml:space="preserve"> </w:t>
      </w:r>
      <w:r w:rsidRPr="00601ADC">
        <w:rPr>
          <w:rFonts w:ascii="Times New Roman" w:hAnsi="Times New Roman" w:cs="Times New Roman"/>
          <w:bCs/>
          <w:sz w:val="24"/>
          <w:szCs w:val="24"/>
        </w:rPr>
        <w:t>The result revealed that FDI has an insignificant direct relationship with renewable energy consumption, while the interaction between FDI and environmental policy increases renewable energy consumption in SSA countries. Industrialization also reported a significant determinant of renewable energy consumption.</w:t>
      </w:r>
      <w:r w:rsidR="0066670E" w:rsidRPr="00601ADC">
        <w:rPr>
          <w:rFonts w:ascii="Times New Roman" w:hAnsi="Times New Roman" w:cs="Times New Roman"/>
          <w:bCs/>
          <w:sz w:val="24"/>
          <w:szCs w:val="24"/>
        </w:rPr>
        <w:t xml:space="preserve"> In addition, economic integration which accommodates FDI inflows and trade openness play significant roles via technology transfer and enhance adoption of renewable energy resources, which could substantially reduce CO</w:t>
      </w:r>
      <w:r w:rsidR="0066670E" w:rsidRPr="00601ADC">
        <w:rPr>
          <w:rFonts w:ascii="Times New Roman" w:hAnsi="Times New Roman" w:cs="Times New Roman"/>
          <w:bCs/>
          <w:sz w:val="24"/>
          <w:szCs w:val="24"/>
          <w:vertAlign w:val="subscript"/>
        </w:rPr>
        <w:t>2</w:t>
      </w:r>
      <w:r w:rsidR="0066670E" w:rsidRPr="00601ADC">
        <w:rPr>
          <w:rFonts w:ascii="Times New Roman" w:hAnsi="Times New Roman" w:cs="Times New Roman"/>
          <w:bCs/>
          <w:sz w:val="24"/>
          <w:szCs w:val="24"/>
        </w:rPr>
        <w:t xml:space="preserve"> emissions and enhance environmental sustainability in SSA countries.  </w:t>
      </w:r>
    </w:p>
    <w:p w14:paraId="39FDB7A5" w14:textId="3DC8CD09" w:rsidR="00A653EC" w:rsidRDefault="00A653EC" w:rsidP="00916F6A">
      <w:pPr>
        <w:spacing w:after="0" w:line="360" w:lineRule="auto"/>
        <w:jc w:val="both"/>
        <w:rPr>
          <w:rFonts w:ascii="Times New Roman" w:hAnsi="Times New Roman" w:cs="Times New Roman"/>
          <w:bCs/>
          <w:sz w:val="24"/>
          <w:szCs w:val="24"/>
        </w:rPr>
      </w:pPr>
      <w:r w:rsidRPr="004B4E7F">
        <w:rPr>
          <w:rFonts w:ascii="Times New Roman" w:hAnsi="Times New Roman" w:cs="Times New Roman"/>
          <w:bCs/>
          <w:sz w:val="24"/>
          <w:szCs w:val="24"/>
        </w:rPr>
        <w:t>FDI inflows and environmental policies are critical tools for reducing carbon emissions through increased renewable energy consumption. When effectively combined, they can create a supportive environment for renewable energy development, attracting investment, fostering innovation, and building domestic capacity. However, the success of these efforts depends on the consistency and clarity of environmental policies, the adequacy of infrastructure, and the careful management of social and environmental risks.</w:t>
      </w:r>
    </w:p>
    <w:p w14:paraId="5B6E9BEC" w14:textId="581888A0" w:rsidR="00E204EC" w:rsidRPr="00806E43" w:rsidRDefault="00E204EC" w:rsidP="00916F6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Based on the findings of this study it is recommended that the governments in SSA countries can establish </w:t>
      </w:r>
      <w:r w:rsidRPr="00E204EC">
        <w:rPr>
          <w:rFonts w:ascii="Times New Roman" w:hAnsi="Times New Roman" w:cs="Times New Roman"/>
          <w:bCs/>
          <w:sz w:val="24"/>
          <w:szCs w:val="24"/>
        </w:rPr>
        <w:t xml:space="preserve">targets for renewable energy adoption, such as mandating a specific percentage of energy to be sourced from renewables by a certain date. These targets provide a clear signal to investors </w:t>
      </w:r>
      <w:r w:rsidRPr="00E204EC">
        <w:rPr>
          <w:rFonts w:ascii="Times New Roman" w:hAnsi="Times New Roman" w:cs="Times New Roman"/>
          <w:bCs/>
          <w:sz w:val="24"/>
          <w:szCs w:val="24"/>
        </w:rPr>
        <w:lastRenderedPageBreak/>
        <w:t>and can encourage FDI in the renewable energy sector.</w:t>
      </w:r>
      <w:r>
        <w:rPr>
          <w:rFonts w:ascii="Times New Roman" w:hAnsi="Times New Roman" w:cs="Times New Roman"/>
          <w:bCs/>
          <w:sz w:val="24"/>
          <w:szCs w:val="24"/>
        </w:rPr>
        <w:t xml:space="preserve"> </w:t>
      </w:r>
      <w:r w:rsidRPr="00E204EC">
        <w:rPr>
          <w:rFonts w:ascii="Times New Roman" w:hAnsi="Times New Roman" w:cs="Times New Roman"/>
          <w:bCs/>
          <w:sz w:val="24"/>
          <w:szCs w:val="24"/>
        </w:rPr>
        <w:t>Subsidies, tax breaks, and feed-in tariffs are examples of incentives that can make renewable energy projects more financially viable. By lowering the cost of renewable energy, these incentives can attract FDI and spur domestic investment in the sector.</w:t>
      </w:r>
      <w:r>
        <w:rPr>
          <w:rFonts w:ascii="Times New Roman" w:hAnsi="Times New Roman" w:cs="Times New Roman"/>
          <w:bCs/>
          <w:sz w:val="24"/>
          <w:szCs w:val="24"/>
        </w:rPr>
        <w:t xml:space="preserve"> Moreso, promoting public-private partnership</w:t>
      </w:r>
      <w:r w:rsidRPr="00E204EC">
        <w:rPr>
          <w:rFonts w:ascii="Times New Roman" w:hAnsi="Times New Roman" w:cs="Times New Roman"/>
          <w:bCs/>
          <w:sz w:val="24"/>
          <w:szCs w:val="24"/>
        </w:rPr>
        <w:t>s can leverage public funds to attract private investment in renewable energy. These partnerships can help mitigate the risks associated with large-scale projects, making them more attractive to foreign investors.</w:t>
      </w:r>
    </w:p>
    <w:p w14:paraId="54E84844" w14:textId="5D634932" w:rsidR="000F2ECA" w:rsidRDefault="00E204EC" w:rsidP="00916F6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 conclusion, s</w:t>
      </w:r>
      <w:r w:rsidR="000F2ECA" w:rsidRPr="000F2ECA">
        <w:rPr>
          <w:rFonts w:ascii="Times New Roman" w:hAnsi="Times New Roman" w:cs="Times New Roman"/>
          <w:bCs/>
          <w:sz w:val="24"/>
          <w:szCs w:val="24"/>
        </w:rPr>
        <w:t>trong environmental policies can increase investor confidence by providing a stable and predictable regulatory environment. For example, clear and consistent regulations on renewable energy can reduce the perceived risk of investing in these projects, attracting more FDI.</w:t>
      </w:r>
      <w:r w:rsidR="000F2ECA">
        <w:rPr>
          <w:rFonts w:ascii="Times New Roman" w:hAnsi="Times New Roman" w:cs="Times New Roman"/>
          <w:bCs/>
          <w:sz w:val="24"/>
          <w:szCs w:val="24"/>
        </w:rPr>
        <w:t xml:space="preserve"> Also, </w:t>
      </w:r>
      <w:r w:rsidR="000F2ECA" w:rsidRPr="000F2ECA">
        <w:rPr>
          <w:rFonts w:ascii="Times New Roman" w:hAnsi="Times New Roman" w:cs="Times New Roman"/>
          <w:bCs/>
          <w:sz w:val="24"/>
          <w:szCs w:val="24"/>
        </w:rPr>
        <w:t>FDI can be directed towards achieving specific policy goals, such as increasing renewable energy capacity. For instance, foreign investors can be incentivized to invest in renewable energy projects through targeted policy measures like green bonds or special economic zones focused on clean energy.</w:t>
      </w:r>
      <w:r w:rsidR="004B4E7F">
        <w:rPr>
          <w:rFonts w:ascii="Times New Roman" w:hAnsi="Times New Roman" w:cs="Times New Roman"/>
          <w:bCs/>
          <w:sz w:val="24"/>
          <w:szCs w:val="24"/>
        </w:rPr>
        <w:t xml:space="preserve"> </w:t>
      </w:r>
      <w:r w:rsidR="000F2ECA">
        <w:rPr>
          <w:rFonts w:ascii="Times New Roman" w:hAnsi="Times New Roman" w:cs="Times New Roman"/>
          <w:bCs/>
          <w:sz w:val="24"/>
          <w:szCs w:val="24"/>
        </w:rPr>
        <w:t>In addition, the</w:t>
      </w:r>
      <w:r w:rsidR="000F2ECA" w:rsidRPr="000F2ECA">
        <w:rPr>
          <w:rFonts w:ascii="Times New Roman" w:hAnsi="Times New Roman" w:cs="Times New Roman"/>
          <w:bCs/>
          <w:sz w:val="24"/>
          <w:szCs w:val="24"/>
        </w:rPr>
        <w:t xml:space="preserve"> combination of FDI and supportive environmental policies can foster innovation in renewable energy technologies. For example, policies that encourage research and development (R&amp;D) in renewable energy can attract FDI from companies looking to innovate and expand in new markets.</w:t>
      </w:r>
    </w:p>
    <w:p w14:paraId="2F4996E3" w14:textId="77777777" w:rsidR="00D61E29" w:rsidRPr="00DC35ED" w:rsidRDefault="00D61E29" w:rsidP="00916F6A">
      <w:pPr>
        <w:spacing w:after="0" w:line="360" w:lineRule="auto"/>
        <w:jc w:val="both"/>
        <w:rPr>
          <w:rFonts w:ascii="Times New Roman" w:hAnsi="Times New Roman" w:cs="Times New Roman"/>
          <w:b/>
          <w:bCs/>
          <w:sz w:val="24"/>
          <w:szCs w:val="24"/>
        </w:rPr>
      </w:pPr>
    </w:p>
    <w:p w14:paraId="6BFA7C2B" w14:textId="4AE9186D" w:rsidR="00A653EC" w:rsidRPr="00DC35ED" w:rsidRDefault="00D61E29" w:rsidP="00916F6A">
      <w:pPr>
        <w:spacing w:after="0" w:line="360" w:lineRule="auto"/>
        <w:jc w:val="both"/>
        <w:rPr>
          <w:rFonts w:ascii="Times New Roman" w:hAnsi="Times New Roman" w:cs="Times New Roman"/>
          <w:b/>
          <w:bCs/>
          <w:sz w:val="24"/>
          <w:szCs w:val="24"/>
        </w:rPr>
      </w:pPr>
      <w:r w:rsidRPr="00DC35ED">
        <w:rPr>
          <w:rFonts w:ascii="Times New Roman" w:hAnsi="Times New Roman" w:cs="Times New Roman"/>
          <w:b/>
          <w:bCs/>
          <w:sz w:val="24"/>
          <w:szCs w:val="24"/>
        </w:rPr>
        <w:t>References</w:t>
      </w:r>
    </w:p>
    <w:p w14:paraId="1276A34C" w14:textId="77777777" w:rsidR="00027ECD" w:rsidRPr="001F201B" w:rsidRDefault="00027ECD"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Adu, D. &amp; Denkyirah, E. (2019). Economic growth and environmental pollution in West Africa: Testing the environmental kuznets curve hypothesis. </w:t>
      </w:r>
      <w:r w:rsidRPr="001F201B">
        <w:rPr>
          <w:rFonts w:ascii="Times New Roman" w:hAnsi="Times New Roman" w:cs="Times New Roman"/>
          <w:i/>
          <w:sz w:val="24"/>
          <w:szCs w:val="24"/>
        </w:rPr>
        <w:t xml:space="preserve">Kasetsart Journal of Social Sciences, </w:t>
      </w:r>
      <w:r w:rsidRPr="001F201B">
        <w:rPr>
          <w:rFonts w:ascii="Times New Roman" w:hAnsi="Times New Roman" w:cs="Times New Roman"/>
          <w:i/>
          <w:iCs/>
          <w:sz w:val="24"/>
          <w:szCs w:val="24"/>
        </w:rPr>
        <w:t>40(</w:t>
      </w:r>
      <w:r w:rsidRPr="001F201B">
        <w:rPr>
          <w:rFonts w:ascii="Times New Roman" w:hAnsi="Times New Roman" w:cs="Times New Roman"/>
          <w:sz w:val="24"/>
          <w:szCs w:val="24"/>
        </w:rPr>
        <w:t>2), 281-288.</w:t>
      </w:r>
    </w:p>
    <w:p w14:paraId="5ECAD8A4" w14:textId="77777777" w:rsidR="0040775C" w:rsidRPr="001F201B" w:rsidRDefault="0040775C"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Agyeman, F. O., Zhiqiang, M. Li, M., Sampene, A. K., Dapaah, M. F., Kedjanyi, E. A. G., Buabeng, P., Li, Y., Hakro, S. &amp; Heydari, M. (2022). Probing the effect of governance, tourism development, economic growth and foreign direct investment on carbon dioxide emissions in Africa: The African experience. </w:t>
      </w:r>
      <w:r w:rsidRPr="001F201B">
        <w:rPr>
          <w:rFonts w:ascii="Times New Roman" w:hAnsi="Times New Roman" w:cs="Times New Roman"/>
          <w:i/>
          <w:iCs/>
          <w:sz w:val="24"/>
          <w:szCs w:val="24"/>
        </w:rPr>
        <w:t>Energies, 15(</w:t>
      </w:r>
      <w:r w:rsidRPr="001F201B">
        <w:rPr>
          <w:rFonts w:ascii="Times New Roman" w:hAnsi="Times New Roman" w:cs="Times New Roman"/>
          <w:sz w:val="24"/>
          <w:szCs w:val="24"/>
        </w:rPr>
        <w:t>13). 4530.</w:t>
      </w:r>
    </w:p>
    <w:p w14:paraId="62851593" w14:textId="0F9BF7BB" w:rsidR="00027ECD" w:rsidRPr="001F201B" w:rsidRDefault="00027ECD"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Alaali, F., Roberts, J. &amp; Taylor, K. (2015). The Effect of Energy Consumption and Human Capital on Economic Growth: An Exploration of Oil Exporting and Developed Countries. </w:t>
      </w:r>
      <w:r w:rsidRPr="001F201B">
        <w:rPr>
          <w:rFonts w:ascii="Times New Roman" w:hAnsi="Times New Roman" w:cs="Times New Roman"/>
          <w:i/>
          <w:sz w:val="24"/>
          <w:szCs w:val="24"/>
        </w:rPr>
        <w:t>Sheffield Economic Research Paper</w:t>
      </w:r>
      <w:r w:rsidRPr="001F201B">
        <w:rPr>
          <w:rFonts w:ascii="Times New Roman" w:hAnsi="Times New Roman" w:cs="Times New Roman"/>
          <w:sz w:val="24"/>
          <w:szCs w:val="24"/>
        </w:rPr>
        <w:t>, ISSN 1749-8368.</w:t>
      </w:r>
    </w:p>
    <w:p w14:paraId="3AF85C3C" w14:textId="77777777" w:rsidR="00684B5F" w:rsidRPr="001F201B" w:rsidRDefault="00684B5F" w:rsidP="00916F6A">
      <w:pPr>
        <w:autoSpaceDE w:val="0"/>
        <w:autoSpaceDN w:val="0"/>
        <w:adjustRightInd w:val="0"/>
        <w:spacing w:after="0" w:line="240" w:lineRule="auto"/>
        <w:ind w:left="540" w:hanging="540"/>
        <w:jc w:val="both"/>
        <w:rPr>
          <w:rFonts w:ascii="Times New Roman" w:hAnsi="Times New Roman" w:cs="Times New Roman"/>
          <w:i/>
          <w:iCs/>
          <w:sz w:val="24"/>
          <w:szCs w:val="24"/>
        </w:rPr>
      </w:pPr>
      <w:bookmarkStart w:id="6" w:name="_Hlk162195835"/>
      <w:r w:rsidRPr="001F201B">
        <w:rPr>
          <w:rFonts w:ascii="Times New Roman" w:hAnsi="Times New Roman" w:cs="Times New Roman"/>
          <w:sz w:val="24"/>
          <w:szCs w:val="24"/>
        </w:rPr>
        <w:t xml:space="preserve">Aliyu, M. A. (2005). Foreign direct investment and the environment: Pollution haven hypothesis revisited. </w:t>
      </w:r>
      <w:r w:rsidRPr="001F201B">
        <w:rPr>
          <w:rFonts w:ascii="Times New Roman" w:hAnsi="Times New Roman" w:cs="Times New Roman"/>
          <w:i/>
          <w:iCs/>
          <w:sz w:val="24"/>
          <w:szCs w:val="24"/>
        </w:rPr>
        <w:t>Conference papers,</w:t>
      </w:r>
      <w:r w:rsidRPr="001F201B">
        <w:rPr>
          <w:rFonts w:ascii="Times New Roman" w:hAnsi="Times New Roman" w:cs="Times New Roman"/>
          <w:sz w:val="24"/>
          <w:szCs w:val="24"/>
        </w:rPr>
        <w:t xml:space="preserve"> 331376, Purdue University, Center for Global Trade Analysis, Global Trade Analysis Project.</w:t>
      </w:r>
    </w:p>
    <w:p w14:paraId="05098E50" w14:textId="77777777" w:rsidR="007A3732" w:rsidRPr="001F201B" w:rsidRDefault="007A3732"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Amoah, J. O., Alagidede, I. P. &amp; Sare, Y. A. (2023). Impact of foreign direct investment on carbon emission in Sub-Saharan Africa: The mediating and moderating roles of industrialization and trade openness. </w:t>
      </w:r>
      <w:r w:rsidRPr="001F201B">
        <w:rPr>
          <w:rFonts w:ascii="Times New Roman" w:hAnsi="Times New Roman" w:cs="Times New Roman"/>
          <w:i/>
          <w:iCs/>
          <w:sz w:val="24"/>
          <w:szCs w:val="24"/>
        </w:rPr>
        <w:t>Cogent Business and Management, 10</w:t>
      </w:r>
      <w:r w:rsidRPr="001F201B">
        <w:rPr>
          <w:rFonts w:ascii="Times New Roman" w:hAnsi="Times New Roman" w:cs="Times New Roman"/>
          <w:sz w:val="24"/>
          <w:szCs w:val="24"/>
        </w:rPr>
        <w:t xml:space="preserve">(3), 2266168.  </w:t>
      </w:r>
    </w:p>
    <w:p w14:paraId="4F45143D" w14:textId="77777777" w:rsidR="0040775C" w:rsidRPr="001F201B" w:rsidRDefault="0040775C"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Amuakwa-Mensah, F. &amp; Adom, P. K. (2017). Quality of institution and the FEG (forest, energy intensity, and globalization)-environment relationships in sib-Saharan Africa. </w:t>
      </w:r>
      <w:r w:rsidRPr="001F201B">
        <w:rPr>
          <w:rFonts w:ascii="Times New Roman" w:hAnsi="Times New Roman" w:cs="Times New Roman"/>
          <w:i/>
          <w:iCs/>
          <w:sz w:val="24"/>
          <w:szCs w:val="24"/>
        </w:rPr>
        <w:t>Environmental Science and Pollution Research, 24(</w:t>
      </w:r>
      <w:r w:rsidRPr="001F201B">
        <w:rPr>
          <w:rFonts w:ascii="Times New Roman" w:hAnsi="Times New Roman" w:cs="Times New Roman"/>
          <w:sz w:val="24"/>
          <w:szCs w:val="24"/>
        </w:rPr>
        <w:t>21), 17455-17473.</w:t>
      </w:r>
    </w:p>
    <w:p w14:paraId="32508749" w14:textId="77777777" w:rsidR="00027ECD" w:rsidRPr="001F201B" w:rsidRDefault="00027ECD"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lastRenderedPageBreak/>
        <w:t xml:space="preserve">Apergis, N. &amp; Payne, J.E. (2010a). Renewable energy consumption and economic growth: evidence from a panel of OECD countries. </w:t>
      </w:r>
      <w:r w:rsidRPr="001F201B">
        <w:rPr>
          <w:rFonts w:ascii="Times New Roman" w:hAnsi="Times New Roman" w:cs="Times New Roman"/>
          <w:i/>
          <w:sz w:val="24"/>
          <w:szCs w:val="24"/>
        </w:rPr>
        <w:t>Energy policy, 38</w:t>
      </w:r>
      <w:r w:rsidRPr="001F201B">
        <w:rPr>
          <w:rFonts w:ascii="Times New Roman" w:hAnsi="Times New Roman" w:cs="Times New Roman"/>
          <w:sz w:val="24"/>
          <w:szCs w:val="24"/>
        </w:rPr>
        <w:t xml:space="preserve">, 656–660. </w:t>
      </w:r>
    </w:p>
    <w:bookmarkEnd w:id="6"/>
    <w:p w14:paraId="5662CE77" w14:textId="77777777" w:rsidR="00027ECD" w:rsidRPr="001F201B" w:rsidRDefault="00027ECD"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Apergis, N. &amp; Payne, J. E. (2010b). Renewable energy consumption and growth in Eurasia. </w:t>
      </w:r>
      <w:r w:rsidRPr="001F201B">
        <w:rPr>
          <w:rFonts w:ascii="Times New Roman" w:hAnsi="Times New Roman" w:cs="Times New Roman"/>
          <w:i/>
          <w:iCs/>
          <w:sz w:val="24"/>
          <w:szCs w:val="24"/>
        </w:rPr>
        <w:t>Energy Economics,</w:t>
      </w:r>
      <w:r w:rsidRPr="001F201B">
        <w:rPr>
          <w:rFonts w:ascii="Times New Roman" w:hAnsi="Times New Roman" w:cs="Times New Roman"/>
          <w:sz w:val="24"/>
          <w:szCs w:val="24"/>
        </w:rPr>
        <w:t xml:space="preserve"> 32(6); 1392-1397.</w:t>
      </w:r>
    </w:p>
    <w:p w14:paraId="677D6A57" w14:textId="07760D56" w:rsidR="001F201B" w:rsidRPr="001F201B" w:rsidRDefault="001F201B"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Arellano, M. &amp; Bond, S.R. (1991). Some test of specification for panel data: Monte Carlo evidence and application to employment equations. </w:t>
      </w:r>
      <w:r w:rsidRPr="001F201B">
        <w:rPr>
          <w:rFonts w:ascii="Times New Roman" w:hAnsi="Times New Roman" w:cs="Times New Roman"/>
          <w:i/>
          <w:sz w:val="24"/>
          <w:szCs w:val="24"/>
        </w:rPr>
        <w:t>Review of Economic Studies</w:t>
      </w:r>
      <w:r w:rsidRPr="001F201B">
        <w:rPr>
          <w:rFonts w:ascii="Times New Roman" w:hAnsi="Times New Roman" w:cs="Times New Roman"/>
          <w:sz w:val="24"/>
          <w:szCs w:val="24"/>
        </w:rPr>
        <w:t>, 58, 277–297.</w:t>
      </w:r>
    </w:p>
    <w:p w14:paraId="788D9A28" w14:textId="77777777" w:rsidR="001F201B" w:rsidRPr="001F201B" w:rsidRDefault="001F201B"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Arellano, M. &amp; Bover, O. (1995). Another look at the instrumental variable estimation of error-component models. </w:t>
      </w:r>
      <w:r w:rsidRPr="001F201B">
        <w:rPr>
          <w:rFonts w:ascii="Times New Roman" w:hAnsi="Times New Roman" w:cs="Times New Roman"/>
          <w:i/>
          <w:sz w:val="24"/>
          <w:szCs w:val="24"/>
        </w:rPr>
        <w:t>Journal of Econometrics</w:t>
      </w:r>
      <w:r w:rsidRPr="001F201B">
        <w:rPr>
          <w:rFonts w:ascii="Times New Roman" w:hAnsi="Times New Roman" w:cs="Times New Roman"/>
          <w:sz w:val="24"/>
          <w:szCs w:val="24"/>
        </w:rPr>
        <w:t>, 68, 5–27.</w:t>
      </w:r>
    </w:p>
    <w:p w14:paraId="5A16D8AF" w14:textId="77777777" w:rsidR="00DD6C11" w:rsidRPr="001F201B" w:rsidRDefault="00DD6C11"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Assi, M. T. (2018). Do foreign direct investment in Ivory Coast increase CO2 emissions? </w:t>
      </w:r>
      <w:r w:rsidRPr="001F201B">
        <w:rPr>
          <w:rFonts w:ascii="Times New Roman" w:hAnsi="Times New Roman" w:cs="Times New Roman"/>
          <w:i/>
          <w:iCs/>
          <w:sz w:val="24"/>
          <w:szCs w:val="24"/>
        </w:rPr>
        <w:t>Journal of Business, Economics and Finance, 7(</w:t>
      </w:r>
      <w:r w:rsidRPr="001F201B">
        <w:rPr>
          <w:rFonts w:ascii="Times New Roman" w:hAnsi="Times New Roman" w:cs="Times New Roman"/>
          <w:sz w:val="24"/>
          <w:szCs w:val="24"/>
        </w:rPr>
        <w:t>4), 346-358.</w:t>
      </w:r>
    </w:p>
    <w:p w14:paraId="47A6B532" w14:textId="77777777" w:rsidR="00684B5F" w:rsidRPr="001F201B" w:rsidRDefault="00684B5F"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Ayadi, F. S. (2014) Economic integration, growth and the environment in Africa: A study of Nigeria. </w:t>
      </w:r>
      <w:r w:rsidRPr="001F201B">
        <w:rPr>
          <w:rFonts w:ascii="Times New Roman" w:hAnsi="Times New Roman" w:cs="Times New Roman"/>
          <w:i/>
          <w:iCs/>
          <w:sz w:val="24"/>
          <w:szCs w:val="24"/>
        </w:rPr>
        <w:t>Journal of Emerging Issues in Economics, Finance and Banking, 3(</w:t>
      </w:r>
      <w:r w:rsidRPr="001F201B">
        <w:rPr>
          <w:rFonts w:ascii="Times New Roman" w:hAnsi="Times New Roman" w:cs="Times New Roman"/>
          <w:sz w:val="24"/>
          <w:szCs w:val="24"/>
        </w:rPr>
        <w:t xml:space="preserve">6) </w:t>
      </w:r>
    </w:p>
    <w:p w14:paraId="18FBE449" w14:textId="77777777" w:rsidR="00DD6C11" w:rsidRPr="001F201B" w:rsidRDefault="00DD6C11"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Bediako, F. E., Twerefou, D. K. &amp; Codjoe, E. (2022). Effects of foreign direct investment on environmental quality in west Africa. </w:t>
      </w:r>
      <w:r w:rsidRPr="001F201B">
        <w:rPr>
          <w:rFonts w:ascii="Times New Roman" w:hAnsi="Times New Roman" w:cs="Times New Roman"/>
          <w:i/>
          <w:iCs/>
          <w:sz w:val="24"/>
          <w:szCs w:val="24"/>
        </w:rPr>
        <w:t>West African Journal of Applied Ecology, 30</w:t>
      </w:r>
      <w:r w:rsidRPr="001F201B">
        <w:rPr>
          <w:rFonts w:ascii="Times New Roman" w:hAnsi="Times New Roman" w:cs="Times New Roman"/>
          <w:sz w:val="24"/>
          <w:szCs w:val="24"/>
        </w:rPr>
        <w:t>(2), 86-93.</w:t>
      </w:r>
    </w:p>
    <w:p w14:paraId="009315FC" w14:textId="77777777" w:rsidR="001F201B" w:rsidRPr="001F201B" w:rsidRDefault="001F201B"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Blundell, R. &amp; Bond, S. (1998). Initial conditions and moment restrictions in dynamic panel data models. </w:t>
      </w:r>
      <w:r w:rsidRPr="001F201B">
        <w:rPr>
          <w:rFonts w:ascii="Times New Roman" w:hAnsi="Times New Roman" w:cs="Times New Roman"/>
          <w:i/>
          <w:sz w:val="24"/>
          <w:szCs w:val="24"/>
        </w:rPr>
        <w:t>J. Econ.</w:t>
      </w:r>
      <w:r w:rsidRPr="001F201B">
        <w:rPr>
          <w:rFonts w:ascii="Times New Roman" w:hAnsi="Times New Roman" w:cs="Times New Roman"/>
          <w:sz w:val="24"/>
          <w:szCs w:val="24"/>
        </w:rPr>
        <w:t xml:space="preserve"> </w:t>
      </w:r>
      <w:r w:rsidRPr="001F201B">
        <w:rPr>
          <w:rFonts w:ascii="Times New Roman" w:hAnsi="Times New Roman" w:cs="Times New Roman"/>
          <w:i/>
          <w:sz w:val="24"/>
          <w:szCs w:val="24"/>
        </w:rPr>
        <w:t>87</w:t>
      </w:r>
      <w:r w:rsidRPr="001F201B">
        <w:rPr>
          <w:rFonts w:ascii="Times New Roman" w:hAnsi="Times New Roman" w:cs="Times New Roman"/>
          <w:sz w:val="24"/>
          <w:szCs w:val="24"/>
        </w:rPr>
        <w:t xml:space="preserve">, 115–143 </w:t>
      </w:r>
    </w:p>
    <w:p w14:paraId="17BDA9B5" w14:textId="77777777" w:rsidR="004D1DE9" w:rsidRPr="001F201B" w:rsidRDefault="004D1DE9"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Boamah, V., Tang, D., Zhang, Q. &amp; Zhang J. (2023). Do FDI inflows into African countries impact their CO2 emission levels? </w:t>
      </w:r>
      <w:r w:rsidRPr="001F201B">
        <w:rPr>
          <w:rFonts w:ascii="Times New Roman" w:hAnsi="Times New Roman" w:cs="Times New Roman"/>
          <w:i/>
          <w:iCs/>
          <w:sz w:val="24"/>
          <w:szCs w:val="24"/>
        </w:rPr>
        <w:t>Sustainability, 15,</w:t>
      </w:r>
      <w:r w:rsidRPr="001F201B">
        <w:rPr>
          <w:rFonts w:ascii="Times New Roman" w:hAnsi="Times New Roman" w:cs="Times New Roman"/>
          <w:sz w:val="24"/>
          <w:szCs w:val="24"/>
        </w:rPr>
        <w:t xml:space="preserve"> 3131.</w:t>
      </w:r>
    </w:p>
    <w:p w14:paraId="51525934" w14:textId="77777777" w:rsidR="00E04742" w:rsidRPr="001F201B" w:rsidRDefault="00E04742"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Boontome, P., Therdyothin, A., &amp; Chontanawat. J., (2017), Investigating the causal relationship between non-renewable and renewable energy consumption, CO</w:t>
      </w:r>
      <w:r w:rsidRPr="001F201B">
        <w:rPr>
          <w:rFonts w:ascii="Times New Roman" w:hAnsi="Times New Roman" w:cs="Times New Roman"/>
          <w:sz w:val="24"/>
          <w:szCs w:val="24"/>
          <w:vertAlign w:val="subscript"/>
        </w:rPr>
        <w:t>2</w:t>
      </w:r>
      <w:r w:rsidRPr="001F201B">
        <w:rPr>
          <w:rFonts w:ascii="Times New Roman" w:hAnsi="Times New Roman" w:cs="Times New Roman"/>
          <w:sz w:val="24"/>
          <w:szCs w:val="24"/>
        </w:rPr>
        <w:t xml:space="preserve"> emissions and economic growth in Thailand. </w:t>
      </w:r>
      <w:r w:rsidRPr="001F201B">
        <w:rPr>
          <w:rFonts w:ascii="Times New Roman" w:hAnsi="Times New Roman" w:cs="Times New Roman"/>
          <w:i/>
          <w:sz w:val="24"/>
          <w:szCs w:val="24"/>
        </w:rPr>
        <w:t xml:space="preserve">Energy Procedia, </w:t>
      </w:r>
      <w:r w:rsidRPr="001F201B">
        <w:rPr>
          <w:rFonts w:ascii="Times New Roman" w:hAnsi="Times New Roman" w:cs="Times New Roman"/>
          <w:sz w:val="24"/>
          <w:szCs w:val="24"/>
        </w:rPr>
        <w:t>138, 925-930.</w:t>
      </w:r>
    </w:p>
    <w:p w14:paraId="538095D2" w14:textId="77777777" w:rsidR="0040775C" w:rsidRPr="001F201B" w:rsidRDefault="0040775C"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Chen, Y., Wen, X. &amp; Zhong, K. (2023). Carbon emissions regulations and FDI inflow: Moderating effects of bank credit availability and fiscal capacity for China’s prefecture-level cities. </w:t>
      </w:r>
      <w:r w:rsidRPr="001F201B">
        <w:rPr>
          <w:rFonts w:ascii="Times New Roman" w:hAnsi="Times New Roman" w:cs="Times New Roman"/>
          <w:i/>
          <w:iCs/>
          <w:sz w:val="24"/>
          <w:szCs w:val="24"/>
        </w:rPr>
        <w:t>Environment Development and Sustainability,</w:t>
      </w:r>
      <w:r w:rsidRPr="001F201B">
        <w:rPr>
          <w:rFonts w:ascii="Times New Roman" w:hAnsi="Times New Roman" w:cs="Times New Roman"/>
          <w:sz w:val="24"/>
          <w:szCs w:val="24"/>
        </w:rPr>
        <w:t xml:space="preserve"> 1–20.</w:t>
      </w:r>
    </w:p>
    <w:p w14:paraId="5DB8350C" w14:textId="77777777" w:rsidR="00DD6C11" w:rsidRPr="001F201B" w:rsidRDefault="00DD6C11"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Demena, B. A. &amp; Afesorgbor, S. K. (2020). The effect of FDI on environmental emissions: Evidence from a meta-analysis. </w:t>
      </w:r>
      <w:r w:rsidRPr="001F201B">
        <w:rPr>
          <w:rFonts w:ascii="Times New Roman" w:hAnsi="Times New Roman" w:cs="Times New Roman"/>
          <w:i/>
          <w:iCs/>
          <w:sz w:val="24"/>
          <w:szCs w:val="24"/>
        </w:rPr>
        <w:t>Energy Policy, 138,</w:t>
      </w:r>
      <w:r w:rsidRPr="001F201B">
        <w:rPr>
          <w:rFonts w:ascii="Times New Roman" w:hAnsi="Times New Roman" w:cs="Times New Roman"/>
          <w:sz w:val="24"/>
          <w:szCs w:val="24"/>
        </w:rPr>
        <w:t xml:space="preserve"> 111192.</w:t>
      </w:r>
    </w:p>
    <w:p w14:paraId="493CBE0F" w14:textId="77777777" w:rsidR="004D1DE9" w:rsidRPr="001F201B" w:rsidRDefault="004D1DE9"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Emmanuel, N. E., Prince, A. I., Inim, V. E., Emmanuel, N. C., James, S. O. &amp; Emmanuel U. S. (2023). Financial development, foreign direct investment and CO2 emissions nexus: Evidence from sub-Saharan Africa. </w:t>
      </w:r>
      <w:r w:rsidRPr="001F201B">
        <w:rPr>
          <w:rFonts w:ascii="Times New Roman" w:hAnsi="Times New Roman" w:cs="Times New Roman"/>
          <w:i/>
          <w:iCs/>
          <w:sz w:val="24"/>
          <w:szCs w:val="24"/>
        </w:rPr>
        <w:t>Journal of Hunan University (Natural Sciences), 50(</w:t>
      </w:r>
      <w:r w:rsidRPr="001F201B">
        <w:rPr>
          <w:rFonts w:ascii="Times New Roman" w:hAnsi="Times New Roman" w:cs="Times New Roman"/>
          <w:sz w:val="24"/>
          <w:szCs w:val="24"/>
        </w:rPr>
        <w:t>6), 121-135.</w:t>
      </w:r>
    </w:p>
    <w:p w14:paraId="33308CE7" w14:textId="77777777" w:rsidR="00684B5F" w:rsidRPr="001F201B" w:rsidRDefault="00684B5F"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Guzel, A. E. &amp; Okumus, I. (2020). Revisiting the pollution haven hypothesis in ASEAN-5 countries: new insights from panel data analysis. </w:t>
      </w:r>
      <w:r w:rsidRPr="001F201B">
        <w:rPr>
          <w:rFonts w:ascii="Times New Roman" w:hAnsi="Times New Roman" w:cs="Times New Roman"/>
          <w:i/>
          <w:iCs/>
          <w:sz w:val="24"/>
          <w:szCs w:val="24"/>
        </w:rPr>
        <w:t>Environmental Science and Pollution Research, 27(</w:t>
      </w:r>
      <w:r w:rsidRPr="001F201B">
        <w:rPr>
          <w:rFonts w:ascii="Times New Roman" w:hAnsi="Times New Roman" w:cs="Times New Roman"/>
          <w:sz w:val="24"/>
          <w:szCs w:val="24"/>
        </w:rPr>
        <w:t>15), 18157-18167.</w:t>
      </w:r>
    </w:p>
    <w:p w14:paraId="3778D1CE" w14:textId="77777777" w:rsidR="0040775C" w:rsidRPr="001F201B" w:rsidRDefault="0040775C"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Hishan, S. S., Sasmoko, K. A., Ahmad, J., Hassan, Z. B., Zaman, K. &amp; Qureshi, M. I. (2019). Access to clean technologies, energy, finance and food: Environmental sustainability agenda and its implications on Sub-Saharan African countries. </w:t>
      </w:r>
      <w:r w:rsidRPr="001F201B">
        <w:rPr>
          <w:rFonts w:ascii="Times New Roman" w:hAnsi="Times New Roman" w:cs="Times New Roman"/>
          <w:i/>
          <w:iCs/>
          <w:sz w:val="24"/>
          <w:szCs w:val="24"/>
        </w:rPr>
        <w:t xml:space="preserve">Environmental Science and Pollution Research, 26, </w:t>
      </w:r>
      <w:r w:rsidRPr="001F201B">
        <w:rPr>
          <w:rFonts w:ascii="Times New Roman" w:hAnsi="Times New Roman" w:cs="Times New Roman"/>
          <w:sz w:val="24"/>
          <w:szCs w:val="24"/>
        </w:rPr>
        <w:t>16503-16518.</w:t>
      </w:r>
    </w:p>
    <w:p w14:paraId="09D52AD0" w14:textId="77777777" w:rsidR="00375655" w:rsidRPr="001F201B" w:rsidRDefault="00375655"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Huang, Y., Chen, F., Wei, H., Xiang, J., Xu, Z. &amp; Akram, R. (2022). The impacts of FDI inflows on carbon emissions: Economic development and regulatory quality as moderators. </w:t>
      </w:r>
      <w:r w:rsidRPr="001F201B">
        <w:rPr>
          <w:rFonts w:ascii="Times New Roman" w:hAnsi="Times New Roman" w:cs="Times New Roman"/>
          <w:i/>
          <w:iCs/>
          <w:sz w:val="24"/>
          <w:szCs w:val="24"/>
        </w:rPr>
        <w:t xml:space="preserve">Frontiers in Energy Research, </w:t>
      </w:r>
      <w:r w:rsidRPr="001F201B">
        <w:rPr>
          <w:rFonts w:ascii="Times New Roman" w:hAnsi="Times New Roman" w:cs="Times New Roman"/>
          <w:sz w:val="24"/>
          <w:szCs w:val="24"/>
        </w:rPr>
        <w:t>9:820596.</w:t>
      </w:r>
    </w:p>
    <w:p w14:paraId="714CB45E" w14:textId="766D0D7C" w:rsidR="00027ECD" w:rsidRPr="001F201B" w:rsidRDefault="00027ECD"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International Energy Agency [IEA]. (2022). World Energy Outlook 2022. </w:t>
      </w:r>
    </w:p>
    <w:p w14:paraId="1AB5369E" w14:textId="541675D2" w:rsidR="00D61E29" w:rsidRPr="001F201B" w:rsidRDefault="00D61E29"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International Monetary Fund [IMF]. World Economic Outlook, October 202</w:t>
      </w:r>
      <w:r w:rsidR="00E300B6" w:rsidRPr="001F201B">
        <w:rPr>
          <w:rFonts w:ascii="Times New Roman" w:hAnsi="Times New Roman" w:cs="Times New Roman"/>
          <w:sz w:val="24"/>
          <w:szCs w:val="24"/>
        </w:rPr>
        <w:t>3</w:t>
      </w:r>
      <w:r w:rsidRPr="001F201B">
        <w:rPr>
          <w:rFonts w:ascii="Times New Roman" w:hAnsi="Times New Roman" w:cs="Times New Roman"/>
          <w:sz w:val="24"/>
          <w:szCs w:val="24"/>
        </w:rPr>
        <w:t xml:space="preserve">: </w:t>
      </w:r>
      <w:r w:rsidR="00E300B6" w:rsidRPr="001F201B">
        <w:rPr>
          <w:rFonts w:ascii="Times New Roman" w:hAnsi="Times New Roman" w:cs="Times New Roman"/>
          <w:sz w:val="24"/>
          <w:szCs w:val="24"/>
        </w:rPr>
        <w:t>Navigating Global Divergences</w:t>
      </w:r>
      <w:r w:rsidRPr="001F201B">
        <w:rPr>
          <w:rFonts w:ascii="Times New Roman" w:hAnsi="Times New Roman" w:cs="Times New Roman"/>
          <w:sz w:val="24"/>
          <w:szCs w:val="24"/>
        </w:rPr>
        <w:t>.</w:t>
      </w:r>
    </w:p>
    <w:p w14:paraId="385FD32B" w14:textId="77777777" w:rsidR="00321B5B" w:rsidRPr="001F201B" w:rsidRDefault="00321B5B"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lastRenderedPageBreak/>
        <w:t>International Renewable Energy Agency [IRENA]. (2021), Renewable energy benefits: Leveraging local capacity for solar PV, The International Renewable Energy Agency, Abu Dhabi.</w:t>
      </w:r>
    </w:p>
    <w:p w14:paraId="787CA3EF" w14:textId="77777777" w:rsidR="00A72BF6" w:rsidRPr="001F201B" w:rsidRDefault="00A72BF6"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275C0E">
        <w:rPr>
          <w:rFonts w:ascii="Times New Roman" w:hAnsi="Times New Roman" w:cs="Times New Roman"/>
          <w:sz w:val="24"/>
          <w:szCs w:val="24"/>
          <w:lang w:val="fr-SN"/>
        </w:rPr>
        <w:t xml:space="preserve">Kahia, M., Kadria, M., Aissa, M. S. B. &amp; Lanouar, C., (2017a). </w:t>
      </w:r>
      <w:r w:rsidRPr="001F201B">
        <w:rPr>
          <w:rFonts w:ascii="Times New Roman" w:hAnsi="Times New Roman" w:cs="Times New Roman"/>
          <w:sz w:val="24"/>
          <w:szCs w:val="24"/>
        </w:rPr>
        <w:t xml:space="preserve">Modelling the treatment effect of renewable energy policies on economic growth: evaluation from MENA countries. </w:t>
      </w:r>
      <w:r w:rsidRPr="001F201B">
        <w:rPr>
          <w:rFonts w:ascii="Times New Roman" w:hAnsi="Times New Roman" w:cs="Times New Roman"/>
          <w:i/>
          <w:sz w:val="24"/>
          <w:szCs w:val="24"/>
        </w:rPr>
        <w:t>Journal of Cleaner Production</w:t>
      </w:r>
      <w:r w:rsidRPr="001F201B">
        <w:rPr>
          <w:rFonts w:ascii="Times New Roman" w:hAnsi="Times New Roman" w:cs="Times New Roman"/>
          <w:sz w:val="24"/>
          <w:szCs w:val="24"/>
        </w:rPr>
        <w:t xml:space="preserve">, 149, 845–855. </w:t>
      </w:r>
    </w:p>
    <w:p w14:paraId="6C26CF39" w14:textId="77777777" w:rsidR="00DD6C11" w:rsidRPr="001F201B" w:rsidRDefault="00DD6C11"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Khan, Y. A. &amp; Ahmad, M. (2021). Instigating the impact of renewable energy, international trade, tourism and foreign direct investment on carbon emission in developing as well as developed countries. </w:t>
      </w:r>
      <w:r w:rsidRPr="001F201B">
        <w:rPr>
          <w:rFonts w:ascii="Times New Roman" w:hAnsi="Times New Roman" w:cs="Times New Roman"/>
          <w:i/>
          <w:iCs/>
          <w:sz w:val="24"/>
          <w:szCs w:val="24"/>
        </w:rPr>
        <w:t>Environmental Science and Pollution Research, 28(</w:t>
      </w:r>
      <w:r w:rsidRPr="001F201B">
        <w:rPr>
          <w:rFonts w:ascii="Times New Roman" w:hAnsi="Times New Roman" w:cs="Times New Roman"/>
          <w:sz w:val="24"/>
          <w:szCs w:val="24"/>
        </w:rPr>
        <w:t>24), 31246-31255.</w:t>
      </w:r>
    </w:p>
    <w:p w14:paraId="660E516F" w14:textId="77777777" w:rsidR="00C153D9" w:rsidRPr="001F201B" w:rsidRDefault="00C153D9"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Kneller, R. &amp; Pisu, M. (2007). Industrial linkages and export spillover from FDI. </w:t>
      </w:r>
      <w:r w:rsidRPr="001F201B">
        <w:rPr>
          <w:rFonts w:ascii="Times New Roman" w:hAnsi="Times New Roman" w:cs="Times New Roman"/>
          <w:i/>
          <w:iCs/>
          <w:sz w:val="24"/>
          <w:szCs w:val="24"/>
        </w:rPr>
        <w:t>World Economy, 30(</w:t>
      </w:r>
      <w:r w:rsidRPr="001F201B">
        <w:rPr>
          <w:rFonts w:ascii="Times New Roman" w:hAnsi="Times New Roman" w:cs="Times New Roman"/>
          <w:sz w:val="24"/>
          <w:szCs w:val="24"/>
        </w:rPr>
        <w:t>1), 105-134.</w:t>
      </w:r>
    </w:p>
    <w:p w14:paraId="4DFF32C5" w14:textId="77777777" w:rsidR="004D1DE9" w:rsidRPr="001F201B" w:rsidRDefault="004D1DE9"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Kwakwa, P. A., Adusah-Poku, F. &amp; Adjei-Mantey, K. (2021). Towards the attainment of sustainable development goal 7: What determines clean energy accessibility in sub-Saharan Africa? </w:t>
      </w:r>
      <w:r w:rsidRPr="001F201B">
        <w:rPr>
          <w:rFonts w:ascii="Times New Roman" w:hAnsi="Times New Roman" w:cs="Times New Roman"/>
          <w:i/>
          <w:iCs/>
          <w:sz w:val="24"/>
          <w:szCs w:val="24"/>
        </w:rPr>
        <w:t>Green Finance, 3</w:t>
      </w:r>
      <w:r w:rsidRPr="001F201B">
        <w:rPr>
          <w:rFonts w:ascii="Times New Roman" w:hAnsi="Times New Roman" w:cs="Times New Roman"/>
          <w:sz w:val="24"/>
          <w:szCs w:val="24"/>
        </w:rPr>
        <w:t>(3), 268–286.</w:t>
      </w:r>
    </w:p>
    <w:p w14:paraId="734939D2" w14:textId="37E605DB" w:rsidR="00C153D9" w:rsidRPr="001F201B" w:rsidRDefault="00C153D9"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Lee, J. W. (2013), The contribution of foreign direct investment to clean energy use, carbon emissions and economic growth. </w:t>
      </w:r>
      <w:r w:rsidRPr="001F201B">
        <w:rPr>
          <w:rFonts w:ascii="Times New Roman" w:hAnsi="Times New Roman" w:cs="Times New Roman"/>
          <w:i/>
          <w:sz w:val="24"/>
          <w:szCs w:val="24"/>
        </w:rPr>
        <w:t>Energy Policy</w:t>
      </w:r>
      <w:r w:rsidRPr="001F201B">
        <w:rPr>
          <w:rFonts w:ascii="Times New Roman" w:hAnsi="Times New Roman" w:cs="Times New Roman"/>
          <w:sz w:val="24"/>
          <w:szCs w:val="24"/>
        </w:rPr>
        <w:t xml:space="preserve">, 55, 483–489. </w:t>
      </w:r>
    </w:p>
    <w:p w14:paraId="100B424F" w14:textId="77777777" w:rsidR="00A72BF6" w:rsidRPr="001F201B" w:rsidRDefault="00A72BF6"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Lee, J. W. (2019). Long-run dynamics of renewable energy consumption on carbon emissions and economic growth in the European Union. </w:t>
      </w:r>
      <w:r w:rsidRPr="001F201B">
        <w:rPr>
          <w:rFonts w:ascii="Times New Roman" w:hAnsi="Times New Roman" w:cs="Times New Roman"/>
          <w:i/>
          <w:sz w:val="24"/>
          <w:szCs w:val="24"/>
        </w:rPr>
        <w:t xml:space="preserve">Journal of Sustainable Development &amp; World Ecology, </w:t>
      </w:r>
      <w:r w:rsidRPr="001F201B">
        <w:rPr>
          <w:rFonts w:ascii="Times New Roman" w:hAnsi="Times New Roman" w:cs="Times New Roman"/>
          <w:sz w:val="24"/>
          <w:szCs w:val="24"/>
        </w:rPr>
        <w:t>26, 69-78.</w:t>
      </w:r>
    </w:p>
    <w:p w14:paraId="09FE895D" w14:textId="77777777" w:rsidR="00E04742" w:rsidRPr="001F201B" w:rsidRDefault="00E04742"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Liu, X., Zhang, S., &amp; Bae, J., (2017), The impact of renewable energy and agriculture on carbon dioxide emissions: Investigating the environmental Kuznets curve in four selected ASEAN countries. </w:t>
      </w:r>
      <w:r w:rsidRPr="001F201B">
        <w:rPr>
          <w:rFonts w:ascii="Times New Roman" w:hAnsi="Times New Roman" w:cs="Times New Roman"/>
          <w:i/>
          <w:sz w:val="24"/>
          <w:szCs w:val="24"/>
        </w:rPr>
        <w:t>Journal of Clean. Prod</w:t>
      </w:r>
      <w:r w:rsidRPr="001F201B">
        <w:rPr>
          <w:rFonts w:ascii="Times New Roman" w:hAnsi="Times New Roman" w:cs="Times New Roman"/>
          <w:sz w:val="24"/>
          <w:szCs w:val="24"/>
        </w:rPr>
        <w:t>., 164, 1239-1247.</w:t>
      </w:r>
    </w:p>
    <w:p w14:paraId="1A4679DB" w14:textId="77777777" w:rsidR="00E04742" w:rsidRPr="001F201B" w:rsidRDefault="00E04742"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Lotz, R. &amp; Dogan, E. (2018), The role of renewable versus non-renewable energy to the level of CO</w:t>
      </w:r>
      <w:r w:rsidRPr="001F201B">
        <w:rPr>
          <w:rFonts w:ascii="Times New Roman" w:hAnsi="Times New Roman" w:cs="Times New Roman"/>
          <w:sz w:val="24"/>
          <w:szCs w:val="24"/>
          <w:vertAlign w:val="subscript"/>
        </w:rPr>
        <w:t>2</w:t>
      </w:r>
      <w:r w:rsidRPr="001F201B">
        <w:rPr>
          <w:rFonts w:ascii="Times New Roman" w:hAnsi="Times New Roman" w:cs="Times New Roman"/>
          <w:sz w:val="24"/>
          <w:szCs w:val="24"/>
        </w:rPr>
        <w:t xml:space="preserve"> emissions a panel analysis of sub- Saharan Africa's Βig 10 electricity generators. </w:t>
      </w:r>
      <w:r w:rsidRPr="001F201B">
        <w:rPr>
          <w:rFonts w:ascii="Times New Roman" w:hAnsi="Times New Roman" w:cs="Times New Roman"/>
          <w:i/>
          <w:sz w:val="24"/>
          <w:szCs w:val="24"/>
        </w:rPr>
        <w:t xml:space="preserve">Renewable Energy, </w:t>
      </w:r>
      <w:r w:rsidRPr="001F201B">
        <w:rPr>
          <w:rFonts w:ascii="Times New Roman" w:hAnsi="Times New Roman" w:cs="Times New Roman"/>
          <w:sz w:val="24"/>
          <w:szCs w:val="24"/>
        </w:rPr>
        <w:t>123, 36-43.</w:t>
      </w:r>
    </w:p>
    <w:p w14:paraId="6D928E21" w14:textId="77777777" w:rsidR="00684B5F" w:rsidRPr="001F201B" w:rsidRDefault="00684B5F"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Lundh, M. (2017) Environmental Policy Stringency and Foreign Direct Investment-Testing the Pollution Haven Hypothesis with a new composite index. Master’s Programmes, Swedish University of Agricultural Sciences, Department of Economics. Uppsala. Downloaded at http://stud.epsilon.slu.se on 9/11/2018 </w:t>
      </w:r>
    </w:p>
    <w:p w14:paraId="34A5343B" w14:textId="77777777" w:rsidR="00AA7013" w:rsidRPr="001F201B" w:rsidRDefault="00AA7013"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Mahmood, H., Alkhateeb, T. T. Y., &amp; Furqan, M. (2020). Exports, imports, foreign direct investment and CO2 emissions in North Africa: Spatial analysis</w:t>
      </w:r>
      <w:r w:rsidRPr="001F201B">
        <w:rPr>
          <w:rFonts w:ascii="Times New Roman" w:hAnsi="Times New Roman" w:cs="Times New Roman"/>
          <w:i/>
          <w:iCs/>
          <w:sz w:val="24"/>
          <w:szCs w:val="24"/>
        </w:rPr>
        <w:t>. Energy Reports, 6</w:t>
      </w:r>
      <w:r w:rsidRPr="001F201B">
        <w:rPr>
          <w:rFonts w:ascii="Times New Roman" w:hAnsi="Times New Roman" w:cs="Times New Roman"/>
          <w:sz w:val="24"/>
          <w:szCs w:val="24"/>
        </w:rPr>
        <w:t>, 2403–2409.</w:t>
      </w:r>
    </w:p>
    <w:p w14:paraId="29A91289" w14:textId="77777777" w:rsidR="00DD6C11" w:rsidRPr="001F201B" w:rsidRDefault="00DD6C11"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Mahmood, H., Furqan, M. &amp; Bagais, O. A. (2019a). Environmental accounting of financial development and foreign investment: Spatial analyses of East Asia. </w:t>
      </w:r>
      <w:r w:rsidRPr="001F201B">
        <w:rPr>
          <w:rFonts w:ascii="Times New Roman" w:hAnsi="Times New Roman" w:cs="Times New Roman"/>
          <w:i/>
          <w:iCs/>
          <w:sz w:val="24"/>
          <w:szCs w:val="24"/>
        </w:rPr>
        <w:t>Sustainability 11</w:t>
      </w:r>
      <w:r w:rsidRPr="001F201B">
        <w:rPr>
          <w:rFonts w:ascii="Times New Roman" w:hAnsi="Times New Roman" w:cs="Times New Roman"/>
          <w:sz w:val="24"/>
          <w:szCs w:val="24"/>
        </w:rPr>
        <w:t>(1), 0013.</w:t>
      </w:r>
    </w:p>
    <w:p w14:paraId="5638D50E" w14:textId="77777777" w:rsidR="00DD6C11" w:rsidRPr="001F201B" w:rsidRDefault="00DD6C11"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Mahmood, H., Maalel, N. &amp; Zarrad, O. (2019b.) Trade openness and CO2 emissions: Evidence from Tunisia. </w:t>
      </w:r>
      <w:r w:rsidRPr="001F201B">
        <w:rPr>
          <w:rFonts w:ascii="Times New Roman" w:hAnsi="Times New Roman" w:cs="Times New Roman"/>
          <w:i/>
          <w:iCs/>
          <w:sz w:val="24"/>
          <w:szCs w:val="24"/>
        </w:rPr>
        <w:t>Sustainability, 11</w:t>
      </w:r>
      <w:r w:rsidRPr="001F201B">
        <w:rPr>
          <w:rFonts w:ascii="Times New Roman" w:hAnsi="Times New Roman" w:cs="Times New Roman"/>
          <w:sz w:val="24"/>
          <w:szCs w:val="24"/>
        </w:rPr>
        <w:t>(12), 3295.</w:t>
      </w:r>
    </w:p>
    <w:p w14:paraId="7478ED19" w14:textId="77777777" w:rsidR="00DD6C11" w:rsidRPr="001F201B" w:rsidRDefault="00DD6C11"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Mert, M. &amp; Boluk, G. (2016). Do foreign direct investment and renewable energy consumption affect the CO2 emissions? New evidence from a panel ARDL approach to Kyoto Annex countries. </w:t>
      </w:r>
      <w:r w:rsidRPr="001F201B">
        <w:rPr>
          <w:rFonts w:ascii="Times New Roman" w:hAnsi="Times New Roman" w:cs="Times New Roman"/>
          <w:i/>
          <w:iCs/>
          <w:sz w:val="24"/>
          <w:szCs w:val="24"/>
        </w:rPr>
        <w:t xml:space="preserve">Environmental Science Pollution Research, 23, </w:t>
      </w:r>
      <w:r w:rsidRPr="001F201B">
        <w:rPr>
          <w:rFonts w:ascii="Times New Roman" w:hAnsi="Times New Roman" w:cs="Times New Roman"/>
          <w:sz w:val="24"/>
          <w:szCs w:val="24"/>
        </w:rPr>
        <w:t>21669-21681.</w:t>
      </w:r>
    </w:p>
    <w:p w14:paraId="4E0FA409" w14:textId="77777777" w:rsidR="0040775C" w:rsidRPr="001F201B" w:rsidRDefault="0040775C"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Mujtaba, A., &amp; Jena, P. K. (2021). Analyzing asymmetric impact of economic growth, energy use, FDI inflows, and oil prices on CO 2 emissions through NARDL approach. </w:t>
      </w:r>
      <w:r w:rsidRPr="001F201B">
        <w:rPr>
          <w:rFonts w:ascii="Times New Roman" w:hAnsi="Times New Roman" w:cs="Times New Roman"/>
          <w:i/>
          <w:iCs/>
          <w:sz w:val="24"/>
          <w:szCs w:val="24"/>
        </w:rPr>
        <w:t>Environmental Science and Pollution Research, 28(</w:t>
      </w:r>
      <w:r w:rsidRPr="001F201B">
        <w:rPr>
          <w:rFonts w:ascii="Times New Roman" w:hAnsi="Times New Roman" w:cs="Times New Roman"/>
          <w:sz w:val="24"/>
          <w:szCs w:val="24"/>
        </w:rPr>
        <w:t>24), 30873–30886.</w:t>
      </w:r>
    </w:p>
    <w:p w14:paraId="4AC80B27" w14:textId="77777777" w:rsidR="00FA6F15" w:rsidRPr="001F201B" w:rsidRDefault="00FA6F15"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Ngonadi, J. S., Huaping, S., Okere, J. &amp; Oguegbu, C. (2020). Examining the Impact of Foreign Direct Investment (FDI) on Offshore CO2 in the Sub-Sahara. </w:t>
      </w:r>
      <w:r w:rsidRPr="001F201B">
        <w:rPr>
          <w:rFonts w:ascii="Times New Roman" w:hAnsi="Times New Roman" w:cs="Times New Roman"/>
          <w:i/>
          <w:iCs/>
          <w:sz w:val="24"/>
          <w:szCs w:val="24"/>
        </w:rPr>
        <w:t>European Journal of Business and Management Research, 5(</w:t>
      </w:r>
      <w:r w:rsidRPr="001F201B">
        <w:rPr>
          <w:rFonts w:ascii="Times New Roman" w:hAnsi="Times New Roman" w:cs="Times New Roman"/>
          <w:sz w:val="24"/>
          <w:szCs w:val="24"/>
        </w:rPr>
        <w:t xml:space="preserve">1). </w:t>
      </w:r>
    </w:p>
    <w:p w14:paraId="39904901" w14:textId="77777777" w:rsidR="00DD6C11" w:rsidRPr="001F201B" w:rsidRDefault="00DD6C11" w:rsidP="00916F6A">
      <w:pPr>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lastRenderedPageBreak/>
        <w:t xml:space="preserve">Nhuong, B. H. &amp; Quang, P. T. (2022). Are FDI inflows crucial for environmental protection in various Asian regions? </w:t>
      </w:r>
      <w:r w:rsidRPr="001F201B">
        <w:rPr>
          <w:rFonts w:ascii="Times New Roman" w:hAnsi="Times New Roman" w:cs="Times New Roman"/>
          <w:i/>
          <w:iCs/>
          <w:sz w:val="24"/>
          <w:szCs w:val="24"/>
        </w:rPr>
        <w:t>Journal of Environmental Assessment Policy and Management, 24(</w:t>
      </w:r>
      <w:r w:rsidRPr="001F201B">
        <w:rPr>
          <w:rFonts w:ascii="Times New Roman" w:hAnsi="Times New Roman" w:cs="Times New Roman"/>
          <w:sz w:val="24"/>
          <w:szCs w:val="24"/>
        </w:rPr>
        <w:t>2), 2250028.</w:t>
      </w:r>
    </w:p>
    <w:p w14:paraId="60858351" w14:textId="77777777" w:rsidR="004D1DE9" w:rsidRPr="001F201B" w:rsidRDefault="004D1DE9" w:rsidP="00916F6A">
      <w:pPr>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Nihayah, D. M., Mafruhah, I., Hakim, L. &amp; Suryanto, S. (2022). CO2 emissions in Indonesia: The role of urbanization and economic activities towards net zero carbon. </w:t>
      </w:r>
      <w:r w:rsidRPr="001F201B">
        <w:rPr>
          <w:rFonts w:ascii="Times New Roman" w:hAnsi="Times New Roman" w:cs="Times New Roman"/>
          <w:i/>
          <w:iCs/>
          <w:sz w:val="24"/>
          <w:szCs w:val="24"/>
        </w:rPr>
        <w:t>Economies, 10(</w:t>
      </w:r>
      <w:r w:rsidRPr="001F201B">
        <w:rPr>
          <w:rFonts w:ascii="Times New Roman" w:hAnsi="Times New Roman" w:cs="Times New Roman"/>
          <w:sz w:val="24"/>
          <w:szCs w:val="24"/>
        </w:rPr>
        <w:t>4), 72.</w:t>
      </w:r>
    </w:p>
    <w:p w14:paraId="25FF3F58" w14:textId="77777777" w:rsidR="004D1DE9" w:rsidRPr="001F201B" w:rsidRDefault="004D1DE9" w:rsidP="00916F6A">
      <w:pPr>
        <w:spacing w:after="0" w:line="240" w:lineRule="auto"/>
        <w:ind w:left="540" w:hanging="540"/>
        <w:jc w:val="both"/>
        <w:rPr>
          <w:rFonts w:ascii="Times New Roman" w:hAnsi="Times New Roman" w:cs="Times New Roman"/>
          <w:sz w:val="24"/>
          <w:szCs w:val="24"/>
        </w:rPr>
      </w:pPr>
      <w:bookmarkStart w:id="7" w:name="_Hlk162194232"/>
      <w:r w:rsidRPr="001F201B">
        <w:rPr>
          <w:rFonts w:ascii="Times New Roman" w:hAnsi="Times New Roman" w:cs="Times New Roman"/>
          <w:sz w:val="24"/>
          <w:szCs w:val="24"/>
        </w:rPr>
        <w:t xml:space="preserve">Nyeadi, J. D. (2023). The impact of financial development and foreign direct investment on environmental sustainability in Sub-Saharan Africa: using PMG-ARDL approach. </w:t>
      </w:r>
      <w:r w:rsidRPr="001F201B">
        <w:rPr>
          <w:rFonts w:ascii="Times New Roman" w:hAnsi="Times New Roman" w:cs="Times New Roman"/>
          <w:i/>
          <w:iCs/>
          <w:sz w:val="24"/>
          <w:szCs w:val="24"/>
        </w:rPr>
        <w:t>Economic Research, 36(</w:t>
      </w:r>
      <w:r w:rsidRPr="001F201B">
        <w:rPr>
          <w:rFonts w:ascii="Times New Roman" w:hAnsi="Times New Roman" w:cs="Times New Roman"/>
          <w:sz w:val="24"/>
          <w:szCs w:val="24"/>
        </w:rPr>
        <w:t>2), 2106270.</w:t>
      </w:r>
    </w:p>
    <w:bookmarkEnd w:id="7"/>
    <w:p w14:paraId="1CC5A43C" w14:textId="77777777" w:rsidR="007A3732" w:rsidRPr="001F201B" w:rsidRDefault="007A3732"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Omri, A., Nguyen, D.K. &amp; Rault, C. (2014). Causal interactions between CO</w:t>
      </w:r>
      <w:r w:rsidRPr="001F201B">
        <w:rPr>
          <w:rFonts w:ascii="Times New Roman" w:hAnsi="Times New Roman" w:cs="Times New Roman"/>
          <w:sz w:val="24"/>
          <w:szCs w:val="24"/>
          <w:vertAlign w:val="subscript"/>
        </w:rPr>
        <w:t xml:space="preserve">2 </w:t>
      </w:r>
      <w:r w:rsidRPr="001F201B">
        <w:rPr>
          <w:rFonts w:ascii="Times New Roman" w:hAnsi="Times New Roman" w:cs="Times New Roman"/>
          <w:sz w:val="24"/>
          <w:szCs w:val="24"/>
        </w:rPr>
        <w:t xml:space="preserve">emissions, FDI, and economic growth: Evidence from dynamic simultaneous-equation models. </w:t>
      </w:r>
      <w:r w:rsidRPr="001F201B">
        <w:rPr>
          <w:rFonts w:ascii="Times New Roman" w:hAnsi="Times New Roman" w:cs="Times New Roman"/>
          <w:i/>
          <w:sz w:val="24"/>
          <w:szCs w:val="24"/>
        </w:rPr>
        <w:t>Economic Modelling, 42,</w:t>
      </w:r>
      <w:r w:rsidRPr="001F201B">
        <w:rPr>
          <w:rFonts w:ascii="Times New Roman" w:hAnsi="Times New Roman" w:cs="Times New Roman"/>
          <w:sz w:val="24"/>
          <w:szCs w:val="24"/>
        </w:rPr>
        <w:t xml:space="preserve"> 382–389. </w:t>
      </w:r>
    </w:p>
    <w:p w14:paraId="6C77562D" w14:textId="77777777" w:rsidR="00DD6C11" w:rsidRPr="00275C0E" w:rsidRDefault="00DD6C11" w:rsidP="00916F6A">
      <w:pPr>
        <w:tabs>
          <w:tab w:val="left" w:pos="720"/>
        </w:tabs>
        <w:autoSpaceDE w:val="0"/>
        <w:autoSpaceDN w:val="0"/>
        <w:adjustRightInd w:val="0"/>
        <w:spacing w:after="0" w:line="240" w:lineRule="auto"/>
        <w:ind w:left="540" w:hanging="540"/>
        <w:jc w:val="both"/>
        <w:rPr>
          <w:rFonts w:ascii="Times New Roman" w:hAnsi="Times New Roman" w:cs="Times New Roman"/>
          <w:sz w:val="24"/>
          <w:szCs w:val="24"/>
          <w:lang w:val="fr-SN"/>
        </w:rPr>
      </w:pPr>
      <w:r w:rsidRPr="001F201B">
        <w:rPr>
          <w:rFonts w:ascii="Times New Roman" w:hAnsi="Times New Roman" w:cs="Times New Roman"/>
          <w:sz w:val="24"/>
          <w:szCs w:val="24"/>
        </w:rPr>
        <w:t>Paramati, S. R., Apergis, N. &amp; Ummalla, M. (2017). Dynamics of renewable energy consumption and economic activities across the agriculture, industry and service sectors: evidence in the perspective of sustainable development.</w:t>
      </w:r>
      <w:r w:rsidRPr="001F201B">
        <w:rPr>
          <w:rFonts w:ascii="Times New Roman" w:hAnsi="Times New Roman" w:cs="Times New Roman"/>
          <w:i/>
          <w:iCs/>
          <w:sz w:val="24"/>
          <w:szCs w:val="24"/>
        </w:rPr>
        <w:t xml:space="preserve"> </w:t>
      </w:r>
      <w:r w:rsidRPr="00275C0E">
        <w:rPr>
          <w:rFonts w:ascii="Times New Roman" w:hAnsi="Times New Roman" w:cs="Times New Roman"/>
          <w:i/>
          <w:iCs/>
          <w:sz w:val="24"/>
          <w:szCs w:val="24"/>
          <w:lang w:val="fr-SN"/>
        </w:rPr>
        <w:t>Environ. Sci. Pollut. Res., 25,</w:t>
      </w:r>
      <w:r w:rsidRPr="00275C0E">
        <w:rPr>
          <w:rFonts w:ascii="Times New Roman" w:hAnsi="Times New Roman" w:cs="Times New Roman"/>
          <w:sz w:val="24"/>
          <w:szCs w:val="24"/>
          <w:lang w:val="fr-SN"/>
        </w:rPr>
        <w:t xml:space="preserve"> 1375–1387.</w:t>
      </w:r>
    </w:p>
    <w:p w14:paraId="2FD3A573" w14:textId="77777777" w:rsidR="004D1DE9" w:rsidRPr="001F201B" w:rsidRDefault="004D1DE9"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275C0E">
        <w:rPr>
          <w:rFonts w:ascii="Times New Roman" w:hAnsi="Times New Roman" w:cs="Times New Roman"/>
          <w:sz w:val="24"/>
          <w:szCs w:val="24"/>
          <w:lang w:val="fr-SN"/>
        </w:rPr>
        <w:t xml:space="preserve">Paramati, S. R., Ummalla, M. &amp; Apergis, N. (2016). </w:t>
      </w:r>
      <w:r w:rsidRPr="001F201B">
        <w:rPr>
          <w:rFonts w:ascii="Times New Roman" w:hAnsi="Times New Roman" w:cs="Times New Roman"/>
          <w:sz w:val="24"/>
          <w:szCs w:val="24"/>
        </w:rPr>
        <w:t xml:space="preserve">The effect of foreign direct investment and stock market growth on clean energy use across a panel of emerging market economies. </w:t>
      </w:r>
      <w:r w:rsidRPr="001F201B">
        <w:rPr>
          <w:rFonts w:ascii="Times New Roman" w:hAnsi="Times New Roman" w:cs="Times New Roman"/>
          <w:i/>
          <w:iCs/>
          <w:sz w:val="24"/>
          <w:szCs w:val="24"/>
        </w:rPr>
        <w:t>Energy Economics, 56</w:t>
      </w:r>
      <w:r w:rsidRPr="001F201B">
        <w:rPr>
          <w:rFonts w:ascii="Times New Roman" w:hAnsi="Times New Roman" w:cs="Times New Roman"/>
          <w:sz w:val="24"/>
          <w:szCs w:val="24"/>
        </w:rPr>
        <w:t>, 29–41.</w:t>
      </w:r>
    </w:p>
    <w:p w14:paraId="50D56FE4" w14:textId="10348B13" w:rsidR="00027ECD" w:rsidRPr="001F201B" w:rsidRDefault="00027ECD"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Radmehr, R., Henneberry, S. &amp; Shayanmehr, S. (2021), Renewable Energy Consumption, CO</w:t>
      </w:r>
      <w:r w:rsidRPr="001F201B">
        <w:rPr>
          <w:rFonts w:ascii="Times New Roman" w:hAnsi="Times New Roman" w:cs="Times New Roman"/>
          <w:sz w:val="24"/>
          <w:szCs w:val="24"/>
          <w:vertAlign w:val="subscript"/>
        </w:rPr>
        <w:t>2</w:t>
      </w:r>
      <w:r w:rsidRPr="001F201B">
        <w:rPr>
          <w:rFonts w:ascii="Times New Roman" w:hAnsi="Times New Roman" w:cs="Times New Roman"/>
          <w:sz w:val="24"/>
          <w:szCs w:val="24"/>
        </w:rPr>
        <w:t xml:space="preserve"> Emissions, and Economic Growth Nexus: A Simultaneity Spatial Modeling Analysis of EU Countries. </w:t>
      </w:r>
      <w:r w:rsidRPr="001F201B">
        <w:rPr>
          <w:rFonts w:ascii="Times New Roman" w:hAnsi="Times New Roman" w:cs="Times New Roman"/>
          <w:i/>
          <w:sz w:val="24"/>
          <w:szCs w:val="24"/>
        </w:rPr>
        <w:t xml:space="preserve">Structural Change and Economic Dynamics, </w:t>
      </w:r>
      <w:r w:rsidRPr="001F201B">
        <w:rPr>
          <w:rFonts w:ascii="Times New Roman" w:hAnsi="Times New Roman" w:cs="Times New Roman"/>
          <w:sz w:val="24"/>
          <w:szCs w:val="24"/>
        </w:rPr>
        <w:t>57, 13-27.</w:t>
      </w:r>
    </w:p>
    <w:p w14:paraId="01FB32FE" w14:textId="77777777" w:rsidR="00DD6C11" w:rsidRPr="00275C0E" w:rsidRDefault="00DD6C11" w:rsidP="00916F6A">
      <w:pPr>
        <w:autoSpaceDE w:val="0"/>
        <w:autoSpaceDN w:val="0"/>
        <w:adjustRightInd w:val="0"/>
        <w:spacing w:after="0" w:line="240" w:lineRule="auto"/>
        <w:ind w:left="540" w:hanging="540"/>
        <w:jc w:val="both"/>
        <w:rPr>
          <w:rFonts w:ascii="Times New Roman" w:hAnsi="Times New Roman" w:cs="Times New Roman"/>
          <w:sz w:val="24"/>
          <w:szCs w:val="24"/>
          <w:lang w:val="fr-SN"/>
        </w:rPr>
      </w:pPr>
      <w:r w:rsidRPr="001F201B">
        <w:rPr>
          <w:rFonts w:ascii="Times New Roman" w:hAnsi="Times New Roman" w:cs="Times New Roman"/>
          <w:sz w:val="24"/>
          <w:szCs w:val="24"/>
        </w:rPr>
        <w:t xml:space="preserve">Shahbaz, M., Balsalobre-Lorente, D. &amp; Sinha, A. (2019). Foreign direct investment–CO2 emissions nexus in Middle East and North African countries: Importance of biomass energy consumption (MPRA Paper No. 91729). </w:t>
      </w:r>
      <w:r w:rsidRPr="00275C0E">
        <w:rPr>
          <w:rFonts w:ascii="Times New Roman" w:hAnsi="Times New Roman" w:cs="Times New Roman"/>
          <w:sz w:val="24"/>
          <w:szCs w:val="24"/>
          <w:lang w:val="fr-SN"/>
        </w:rPr>
        <w:t xml:space="preserve">Munich Personal RePEc Archive. </w:t>
      </w:r>
    </w:p>
    <w:p w14:paraId="159AF30A" w14:textId="77777777" w:rsidR="00AA7013" w:rsidRPr="001F201B" w:rsidRDefault="00AA7013"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275C0E">
        <w:rPr>
          <w:rFonts w:ascii="Times New Roman" w:hAnsi="Times New Roman" w:cs="Times New Roman"/>
          <w:sz w:val="24"/>
          <w:szCs w:val="24"/>
          <w:lang w:val="fr-SN"/>
        </w:rPr>
        <w:t xml:space="preserve">Ssali, M. W., Du, J., Mensah, I. A. &amp; Hongo, D. O. (2019). </w:t>
      </w:r>
      <w:r w:rsidRPr="001F201B">
        <w:rPr>
          <w:rFonts w:ascii="Times New Roman" w:hAnsi="Times New Roman" w:cs="Times New Roman"/>
          <w:sz w:val="24"/>
          <w:szCs w:val="24"/>
        </w:rPr>
        <w:t xml:space="preserve">Investigating the nexus among environmental pollution, economic growth, energy use, and foreign direct investment in 6 selected sub-Saharan African countries. </w:t>
      </w:r>
      <w:r w:rsidRPr="001F201B">
        <w:rPr>
          <w:rFonts w:ascii="Times New Roman" w:hAnsi="Times New Roman" w:cs="Times New Roman"/>
          <w:i/>
          <w:iCs/>
          <w:sz w:val="24"/>
          <w:szCs w:val="24"/>
        </w:rPr>
        <w:t>Environmental Science and Pollution Research, 26</w:t>
      </w:r>
      <w:r w:rsidRPr="001F201B">
        <w:rPr>
          <w:rFonts w:ascii="Times New Roman" w:hAnsi="Times New Roman" w:cs="Times New Roman"/>
          <w:sz w:val="24"/>
          <w:szCs w:val="24"/>
        </w:rPr>
        <w:t xml:space="preserve">(11), 11245–11260. </w:t>
      </w:r>
    </w:p>
    <w:p w14:paraId="3A8E9619" w14:textId="77777777" w:rsidR="0019406D" w:rsidRPr="001F201B" w:rsidRDefault="0019406D"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Twum, A. K., Agyemang, A. O. &amp; Sare, Y. A. (2022). Revisiting credit risk and banks performance of China’s commercial banks before and after covid 19 pandemic. </w:t>
      </w:r>
      <w:r w:rsidRPr="001F201B">
        <w:rPr>
          <w:rFonts w:ascii="Times New Roman" w:hAnsi="Times New Roman" w:cs="Times New Roman"/>
          <w:i/>
          <w:iCs/>
          <w:sz w:val="24"/>
          <w:szCs w:val="24"/>
        </w:rPr>
        <w:t>Journal of Corporate Accounting &amp; Finance, 33(</w:t>
      </w:r>
      <w:r w:rsidRPr="001F201B">
        <w:rPr>
          <w:rFonts w:ascii="Times New Roman" w:hAnsi="Times New Roman" w:cs="Times New Roman"/>
          <w:sz w:val="24"/>
          <w:szCs w:val="24"/>
        </w:rPr>
        <w:t>3), 16–30.</w:t>
      </w:r>
    </w:p>
    <w:p w14:paraId="3319C977" w14:textId="77777777" w:rsidR="00E04742" w:rsidRPr="001F201B" w:rsidRDefault="00E04742"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United Nations Conference on Trade and Development [UNCTAD]. (2022) ‘World Investment Report 2022’. </w:t>
      </w:r>
      <w:hyperlink r:id="rId10" w:history="1">
        <w:r w:rsidRPr="001F201B">
          <w:rPr>
            <w:rStyle w:val="Hyperlink"/>
            <w:rFonts w:ascii="Times New Roman" w:hAnsi="Times New Roman" w:cs="Times New Roman"/>
            <w:sz w:val="24"/>
            <w:szCs w:val="24"/>
          </w:rPr>
          <w:t>https://unctad.org/system/files/official-document/wir2022_en.pdf</w:t>
        </w:r>
      </w:hyperlink>
      <w:r w:rsidRPr="001F201B">
        <w:rPr>
          <w:rFonts w:ascii="Times New Roman" w:hAnsi="Times New Roman" w:cs="Times New Roman"/>
          <w:sz w:val="24"/>
          <w:szCs w:val="24"/>
        </w:rPr>
        <w:t xml:space="preserve"> </w:t>
      </w:r>
    </w:p>
    <w:p w14:paraId="1663762E" w14:textId="77777777" w:rsidR="00A54762" w:rsidRPr="001F201B" w:rsidRDefault="00A54762"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World Bank Open Data. World Development Indicators [WDI] </w:t>
      </w:r>
      <w:hyperlink r:id="rId11" w:history="1">
        <w:r w:rsidRPr="001F201B">
          <w:rPr>
            <w:rStyle w:val="Hyperlink"/>
            <w:rFonts w:ascii="Times New Roman" w:hAnsi="Times New Roman" w:cs="Times New Roman"/>
            <w:sz w:val="24"/>
            <w:szCs w:val="24"/>
          </w:rPr>
          <w:t>www.data.worldbank.org</w:t>
        </w:r>
      </w:hyperlink>
      <w:r w:rsidRPr="001F201B">
        <w:rPr>
          <w:rFonts w:ascii="Times New Roman" w:hAnsi="Times New Roman" w:cs="Times New Roman"/>
          <w:sz w:val="24"/>
          <w:szCs w:val="24"/>
        </w:rPr>
        <w:t xml:space="preserve">. </w:t>
      </w:r>
    </w:p>
    <w:p w14:paraId="5D421529" w14:textId="77777777" w:rsidR="00E04742" w:rsidRPr="001F201B" w:rsidRDefault="00E04742"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Xing, Y. &amp; Kolstad, C. D. (2002). Do lax environmental regulations attract foreign investment? </w:t>
      </w:r>
      <w:r w:rsidRPr="001F201B">
        <w:rPr>
          <w:rFonts w:ascii="Times New Roman" w:hAnsi="Times New Roman" w:cs="Times New Roman"/>
          <w:i/>
          <w:iCs/>
          <w:sz w:val="24"/>
          <w:szCs w:val="24"/>
        </w:rPr>
        <w:t>Environmental and Resource Economics,21(</w:t>
      </w:r>
      <w:r w:rsidRPr="001F201B">
        <w:rPr>
          <w:rFonts w:ascii="Times New Roman" w:hAnsi="Times New Roman" w:cs="Times New Roman"/>
          <w:sz w:val="24"/>
          <w:szCs w:val="24"/>
        </w:rPr>
        <w:t>1), 1-22.</w:t>
      </w:r>
    </w:p>
    <w:p w14:paraId="6B5AEFFA" w14:textId="0763588E" w:rsidR="00D61E29" w:rsidRPr="0061739C" w:rsidRDefault="00C153D9" w:rsidP="00916F6A">
      <w:pPr>
        <w:autoSpaceDE w:val="0"/>
        <w:autoSpaceDN w:val="0"/>
        <w:adjustRightInd w:val="0"/>
        <w:spacing w:after="0" w:line="240" w:lineRule="auto"/>
        <w:ind w:left="540" w:hanging="540"/>
        <w:jc w:val="both"/>
        <w:rPr>
          <w:rFonts w:ascii="Times New Roman" w:hAnsi="Times New Roman" w:cs="Times New Roman"/>
          <w:sz w:val="24"/>
          <w:szCs w:val="24"/>
        </w:rPr>
      </w:pPr>
      <w:r w:rsidRPr="001F201B">
        <w:rPr>
          <w:rFonts w:ascii="Times New Roman" w:hAnsi="Times New Roman" w:cs="Times New Roman"/>
          <w:sz w:val="24"/>
          <w:szCs w:val="24"/>
        </w:rPr>
        <w:t xml:space="preserve">Zhao, X. &amp; Luo, D. (2017). Driving force of rising renewable energy in China: environment, regulation and employment. </w:t>
      </w:r>
      <w:r w:rsidRPr="001F201B">
        <w:rPr>
          <w:rFonts w:ascii="Times New Roman" w:hAnsi="Times New Roman" w:cs="Times New Roman"/>
          <w:i/>
          <w:iCs/>
          <w:sz w:val="24"/>
          <w:szCs w:val="24"/>
        </w:rPr>
        <w:t>Renewable and Sustainable Energy Review, 68,</w:t>
      </w:r>
      <w:r w:rsidRPr="001F201B">
        <w:rPr>
          <w:rFonts w:ascii="Times New Roman" w:hAnsi="Times New Roman" w:cs="Times New Roman"/>
          <w:sz w:val="24"/>
          <w:szCs w:val="24"/>
        </w:rPr>
        <w:t xml:space="preserve"> 48-56. </w:t>
      </w:r>
    </w:p>
    <w:sectPr w:rsidR="00D61E29" w:rsidRPr="0061739C" w:rsidSect="00916F6A">
      <w:pgSz w:w="12240" w:h="15840"/>
      <w:pgMar w:top="1440" w:right="1350" w:bottom="162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7BF6" w14:textId="77777777" w:rsidR="00B257F5" w:rsidRDefault="00B257F5" w:rsidP="00DA2057">
      <w:pPr>
        <w:spacing w:after="0" w:line="240" w:lineRule="auto"/>
      </w:pPr>
      <w:r>
        <w:separator/>
      </w:r>
    </w:p>
  </w:endnote>
  <w:endnote w:type="continuationSeparator" w:id="0">
    <w:p w14:paraId="744A7F05" w14:textId="77777777" w:rsidR="00B257F5" w:rsidRDefault="00B257F5" w:rsidP="00DA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1F12" w14:textId="77777777" w:rsidR="00B257F5" w:rsidRDefault="00B257F5" w:rsidP="00DA2057">
      <w:pPr>
        <w:spacing w:after="0" w:line="240" w:lineRule="auto"/>
      </w:pPr>
      <w:r>
        <w:separator/>
      </w:r>
    </w:p>
  </w:footnote>
  <w:footnote w:type="continuationSeparator" w:id="0">
    <w:p w14:paraId="6F47C3B5" w14:textId="77777777" w:rsidR="00B257F5" w:rsidRDefault="00B257F5" w:rsidP="00DA2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57"/>
    <w:rsid w:val="00017B8D"/>
    <w:rsid w:val="00027ECD"/>
    <w:rsid w:val="000B4EB3"/>
    <w:rsid w:val="000C1257"/>
    <w:rsid w:val="000F2ECA"/>
    <w:rsid w:val="001435C2"/>
    <w:rsid w:val="001537A1"/>
    <w:rsid w:val="0019406D"/>
    <w:rsid w:val="001A61D2"/>
    <w:rsid w:val="001A62C7"/>
    <w:rsid w:val="001D5955"/>
    <w:rsid w:val="001D76B4"/>
    <w:rsid w:val="001F201B"/>
    <w:rsid w:val="00233824"/>
    <w:rsid w:val="0024124C"/>
    <w:rsid w:val="0025675F"/>
    <w:rsid w:val="00263F01"/>
    <w:rsid w:val="00275C0E"/>
    <w:rsid w:val="00280542"/>
    <w:rsid w:val="00291B06"/>
    <w:rsid w:val="002A5A4F"/>
    <w:rsid w:val="002C5BDC"/>
    <w:rsid w:val="003052BB"/>
    <w:rsid w:val="00321841"/>
    <w:rsid w:val="00321B5B"/>
    <w:rsid w:val="00327493"/>
    <w:rsid w:val="00333F34"/>
    <w:rsid w:val="00351044"/>
    <w:rsid w:val="0036572A"/>
    <w:rsid w:val="00375655"/>
    <w:rsid w:val="00391444"/>
    <w:rsid w:val="003B2826"/>
    <w:rsid w:val="00404338"/>
    <w:rsid w:val="0040775C"/>
    <w:rsid w:val="00421E1F"/>
    <w:rsid w:val="00437B3F"/>
    <w:rsid w:val="00490F97"/>
    <w:rsid w:val="004B2E39"/>
    <w:rsid w:val="004B4E7F"/>
    <w:rsid w:val="004C2588"/>
    <w:rsid w:val="004C30A2"/>
    <w:rsid w:val="004D1DE9"/>
    <w:rsid w:val="004D5764"/>
    <w:rsid w:val="004E297A"/>
    <w:rsid w:val="00501DB4"/>
    <w:rsid w:val="005123E0"/>
    <w:rsid w:val="00512FB3"/>
    <w:rsid w:val="00551C7F"/>
    <w:rsid w:val="00557EB3"/>
    <w:rsid w:val="00596FFE"/>
    <w:rsid w:val="005B1330"/>
    <w:rsid w:val="005F60BB"/>
    <w:rsid w:val="005F6DAB"/>
    <w:rsid w:val="00601ADC"/>
    <w:rsid w:val="0061739C"/>
    <w:rsid w:val="00633CC0"/>
    <w:rsid w:val="0066670E"/>
    <w:rsid w:val="0068437F"/>
    <w:rsid w:val="00684B5F"/>
    <w:rsid w:val="006A7B57"/>
    <w:rsid w:val="006B0C0E"/>
    <w:rsid w:val="006B6630"/>
    <w:rsid w:val="006D2812"/>
    <w:rsid w:val="006D56BA"/>
    <w:rsid w:val="006F360B"/>
    <w:rsid w:val="00703BCD"/>
    <w:rsid w:val="007270E1"/>
    <w:rsid w:val="00751BF0"/>
    <w:rsid w:val="00764714"/>
    <w:rsid w:val="00766296"/>
    <w:rsid w:val="00783C98"/>
    <w:rsid w:val="007A3732"/>
    <w:rsid w:val="007C0CAC"/>
    <w:rsid w:val="007E3F91"/>
    <w:rsid w:val="007F308E"/>
    <w:rsid w:val="00806E43"/>
    <w:rsid w:val="008339C1"/>
    <w:rsid w:val="00852B15"/>
    <w:rsid w:val="008665C2"/>
    <w:rsid w:val="008675D1"/>
    <w:rsid w:val="00905191"/>
    <w:rsid w:val="00905540"/>
    <w:rsid w:val="00916F6A"/>
    <w:rsid w:val="009231BB"/>
    <w:rsid w:val="00931C36"/>
    <w:rsid w:val="009C62B1"/>
    <w:rsid w:val="00A05CA3"/>
    <w:rsid w:val="00A07657"/>
    <w:rsid w:val="00A54762"/>
    <w:rsid w:val="00A6300C"/>
    <w:rsid w:val="00A653EC"/>
    <w:rsid w:val="00A676AB"/>
    <w:rsid w:val="00A72BF6"/>
    <w:rsid w:val="00A76F8C"/>
    <w:rsid w:val="00AA7013"/>
    <w:rsid w:val="00AD2664"/>
    <w:rsid w:val="00AE5A20"/>
    <w:rsid w:val="00AF1E37"/>
    <w:rsid w:val="00B257F5"/>
    <w:rsid w:val="00B624E5"/>
    <w:rsid w:val="00B967B2"/>
    <w:rsid w:val="00BA1614"/>
    <w:rsid w:val="00BF0DA2"/>
    <w:rsid w:val="00C0294B"/>
    <w:rsid w:val="00C153D9"/>
    <w:rsid w:val="00C66BF1"/>
    <w:rsid w:val="00C83DB4"/>
    <w:rsid w:val="00CB665F"/>
    <w:rsid w:val="00CD1CEB"/>
    <w:rsid w:val="00CF1C3B"/>
    <w:rsid w:val="00D0375E"/>
    <w:rsid w:val="00D03AFC"/>
    <w:rsid w:val="00D2117F"/>
    <w:rsid w:val="00D438EC"/>
    <w:rsid w:val="00D61E29"/>
    <w:rsid w:val="00DA2057"/>
    <w:rsid w:val="00DC35ED"/>
    <w:rsid w:val="00DD6852"/>
    <w:rsid w:val="00DD6C11"/>
    <w:rsid w:val="00E04742"/>
    <w:rsid w:val="00E204EC"/>
    <w:rsid w:val="00E300B6"/>
    <w:rsid w:val="00E468CE"/>
    <w:rsid w:val="00E53BDF"/>
    <w:rsid w:val="00E83D9E"/>
    <w:rsid w:val="00E8763D"/>
    <w:rsid w:val="00E9492A"/>
    <w:rsid w:val="00EB533F"/>
    <w:rsid w:val="00EB6693"/>
    <w:rsid w:val="00EE4170"/>
    <w:rsid w:val="00F03DA0"/>
    <w:rsid w:val="00F32254"/>
    <w:rsid w:val="00F52981"/>
    <w:rsid w:val="00F76296"/>
    <w:rsid w:val="00FA4153"/>
    <w:rsid w:val="00FA6F15"/>
    <w:rsid w:val="00FE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FA32"/>
  <w15:chartTrackingRefBased/>
  <w15:docId w15:val="{64BC8001-0BA0-4EE6-832A-A97AA14A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A61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2057"/>
    <w:rPr>
      <w:color w:val="0563C1"/>
      <w:u w:val="single"/>
    </w:rPr>
  </w:style>
  <w:style w:type="paragraph" w:styleId="FootnoteText">
    <w:name w:val="footnote text"/>
    <w:basedOn w:val="Normal"/>
    <w:link w:val="FootnoteTextChar"/>
    <w:uiPriority w:val="99"/>
    <w:rsid w:val="00DA2057"/>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DA2057"/>
    <w:rPr>
      <w:rFonts w:ascii="Calibri" w:eastAsia="Calibri" w:hAnsi="Calibri" w:cs="SimSun"/>
      <w:sz w:val="20"/>
      <w:szCs w:val="20"/>
    </w:rPr>
  </w:style>
  <w:style w:type="character" w:styleId="FootnoteReference">
    <w:name w:val="footnote reference"/>
    <w:basedOn w:val="DefaultParagraphFont"/>
    <w:uiPriority w:val="99"/>
    <w:rsid w:val="00DA2057"/>
    <w:rPr>
      <w:vertAlign w:val="superscript"/>
    </w:rPr>
  </w:style>
  <w:style w:type="paragraph" w:styleId="Caption">
    <w:name w:val="caption"/>
    <w:basedOn w:val="Normal"/>
    <w:next w:val="Normal"/>
    <w:uiPriority w:val="35"/>
    <w:unhideWhenUsed/>
    <w:qFormat/>
    <w:rsid w:val="0024124C"/>
    <w:pPr>
      <w:spacing w:after="200" w:line="240" w:lineRule="auto"/>
    </w:pPr>
    <w:rPr>
      <w:i/>
      <w:iCs/>
      <w:color w:val="44546A" w:themeColor="text2"/>
      <w:sz w:val="18"/>
      <w:szCs w:val="18"/>
    </w:rPr>
  </w:style>
  <w:style w:type="character" w:customStyle="1" w:styleId="A1">
    <w:name w:val="A1"/>
    <w:uiPriority w:val="99"/>
    <w:qFormat/>
    <w:rsid w:val="0024124C"/>
    <w:rPr>
      <w:color w:val="000000"/>
      <w:sz w:val="20"/>
      <w:szCs w:val="20"/>
    </w:rPr>
  </w:style>
  <w:style w:type="character" w:customStyle="1" w:styleId="A2">
    <w:name w:val="A2"/>
    <w:uiPriority w:val="99"/>
    <w:qFormat/>
    <w:rsid w:val="0024124C"/>
    <w:rPr>
      <w:color w:val="000000"/>
      <w:sz w:val="11"/>
      <w:szCs w:val="11"/>
    </w:rPr>
  </w:style>
  <w:style w:type="character" w:customStyle="1" w:styleId="Heading2Char">
    <w:name w:val="Heading 2 Char"/>
    <w:basedOn w:val="DefaultParagraphFont"/>
    <w:link w:val="Heading2"/>
    <w:uiPriority w:val="9"/>
    <w:qFormat/>
    <w:rsid w:val="001A61D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qFormat/>
    <w:rsid w:val="00EB669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qFormat/>
    <w:rsid w:val="00EB669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EB6693"/>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75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olabiquadribalogun@gmail.com" TargetMode="External"/><Relationship Id="rId11" Type="http://schemas.openxmlformats.org/officeDocument/2006/relationships/hyperlink" Target="http://www.data.worldbank.org" TargetMode="External"/><Relationship Id="rId5" Type="http://schemas.openxmlformats.org/officeDocument/2006/relationships/endnotes" Target="endnotes.xml"/><Relationship Id="rId10" Type="http://schemas.openxmlformats.org/officeDocument/2006/relationships/hyperlink" Target="https://unctad.org/system/files/official-document/wir2022_en.pdf" TargetMode="Externa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P_Data_Extract_From_World_Development_Indicators%2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P_Data_Extract_From_World_Development_Indicators%20(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wnloads\P_Data_Extract_From_World_Development_Indicators%20(1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2995225062099"/>
          <c:y val="6.4814814814814797E-2"/>
          <c:w val="0.84846146269274803"/>
          <c:h val="0.70991542723826195"/>
        </c:manualLayout>
      </c:layout>
      <c:lineChart>
        <c:grouping val="standard"/>
        <c:varyColors val="0"/>
        <c:ser>
          <c:idx val="0"/>
          <c:order val="0"/>
          <c:tx>
            <c:strRef>
              <c:f>'[P_Data_Extract_From_World_Development_Indicators (7).xlsx]Sheet1'!$D$1</c:f>
              <c:strCache>
                <c:ptCount val="1"/>
                <c:pt idx="0">
                  <c:v>GDP (constant 2015 US$) [NY.GDP.MKTP.KD]</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'[P_Data_Extract_From_World_Development_Indicators (7).xlsx]Sheet1'!$C$2:$C$63</c:f>
              <c:numCache>
                <c:formatCode>General</c:formatCode>
                <c:ptCount val="6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numCache>
            </c:numRef>
          </c:cat>
          <c:val>
            <c:numRef>
              <c:f>'[P_Data_Extract_From_World_Development_Indicators (7).xlsx]Sheet1'!$D$2:$D$63</c:f>
              <c:numCache>
                <c:formatCode>General</c:formatCode>
                <c:ptCount val="62"/>
                <c:pt idx="0">
                  <c:v>258.79175599331802</c:v>
                </c:pt>
                <c:pt idx="1">
                  <c:v>261.26994770930901</c:v>
                </c:pt>
                <c:pt idx="2">
                  <c:v>277.09886518326999</c:v>
                </c:pt>
                <c:pt idx="3">
                  <c:v>294.03539543071997</c:v>
                </c:pt>
                <c:pt idx="4">
                  <c:v>308.58920261905098</c:v>
                </c:pt>
                <c:pt idx="5">
                  <c:v>323.24846679245002</c:v>
                </c:pt>
                <c:pt idx="6">
                  <c:v>327.55397807396201</c:v>
                </c:pt>
                <c:pt idx="7">
                  <c:v>323.46980696342803</c:v>
                </c:pt>
                <c:pt idx="8">
                  <c:v>333.11263651101598</c:v>
                </c:pt>
                <c:pt idx="9">
                  <c:v>364.35412006911298</c:v>
                </c:pt>
                <c:pt idx="10">
                  <c:v>401.83766922142701</c:v>
                </c:pt>
                <c:pt idx="11">
                  <c:v>433.33055963716498</c:v>
                </c:pt>
                <c:pt idx="12">
                  <c:v>444.66086284897199</c:v>
                </c:pt>
                <c:pt idx="13">
                  <c:v>463.967958616136</c:v>
                </c:pt>
                <c:pt idx="14">
                  <c:v>500.72441652641999</c:v>
                </c:pt>
                <c:pt idx="15">
                  <c:v>500.07021791313701</c:v>
                </c:pt>
                <c:pt idx="16">
                  <c:v>527.67520794313202</c:v>
                </c:pt>
                <c:pt idx="17">
                  <c:v>543.02688209213397</c:v>
                </c:pt>
                <c:pt idx="18">
                  <c:v>540.08509066331203</c:v>
                </c:pt>
                <c:pt idx="19">
                  <c:v>561.50924746643102</c:v>
                </c:pt>
                <c:pt idx="20">
                  <c:v>582.69120853125605</c:v>
                </c:pt>
                <c:pt idx="21">
                  <c:v>578.27259306641201</c:v>
                </c:pt>
                <c:pt idx="22">
                  <c:v>571.95938243301805</c:v>
                </c:pt>
                <c:pt idx="23">
                  <c:v>557.49770387388605</c:v>
                </c:pt>
                <c:pt idx="24">
                  <c:v>569.03141816951495</c:v>
                </c:pt>
                <c:pt idx="25">
                  <c:v>579.39342281093104</c:v>
                </c:pt>
                <c:pt idx="26">
                  <c:v>590.66887244539498</c:v>
                </c:pt>
                <c:pt idx="27">
                  <c:v>609.28289843989205</c:v>
                </c:pt>
                <c:pt idx="28">
                  <c:v>635.73538655500704</c:v>
                </c:pt>
                <c:pt idx="29">
                  <c:v>652.68672128908599</c:v>
                </c:pt>
                <c:pt idx="30">
                  <c:v>668.87283794033794</c:v>
                </c:pt>
                <c:pt idx="31">
                  <c:v>672.27464093686604</c:v>
                </c:pt>
                <c:pt idx="32">
                  <c:v>671.52379855080005</c:v>
                </c:pt>
                <c:pt idx="33">
                  <c:v>666.790550798151</c:v>
                </c:pt>
                <c:pt idx="34">
                  <c:v>673.98248483473003</c:v>
                </c:pt>
                <c:pt idx="35">
                  <c:v>696.53021848483104</c:v>
                </c:pt>
                <c:pt idx="36">
                  <c:v>732.16278256113605</c:v>
                </c:pt>
                <c:pt idx="37">
                  <c:v>764.02270074636601</c:v>
                </c:pt>
                <c:pt idx="38">
                  <c:v>783.07466973917303</c:v>
                </c:pt>
                <c:pt idx="39">
                  <c:v>800.01306110484802</c:v>
                </c:pt>
                <c:pt idx="40">
                  <c:v>828.06905047255896</c:v>
                </c:pt>
                <c:pt idx="41">
                  <c:v>863.43832151501499</c:v>
                </c:pt>
                <c:pt idx="42">
                  <c:v>917.92030146649597</c:v>
                </c:pt>
                <c:pt idx="43">
                  <c:v>955.55658768973001</c:v>
                </c:pt>
                <c:pt idx="44">
                  <c:v>1018.2263133743101</c:v>
                </c:pt>
                <c:pt idx="45">
                  <c:v>1079.37161271012</c:v>
                </c:pt>
                <c:pt idx="46">
                  <c:v>1144.7980196979499</c:v>
                </c:pt>
                <c:pt idx="47">
                  <c:v>1215.0433007161701</c:v>
                </c:pt>
                <c:pt idx="48">
                  <c:v>1277.37716801138</c:v>
                </c:pt>
                <c:pt idx="49">
                  <c:v>1315.5935078170301</c:v>
                </c:pt>
                <c:pt idx="50">
                  <c:v>1393.94935891164</c:v>
                </c:pt>
                <c:pt idx="51">
                  <c:v>1452.4837446331001</c:v>
                </c:pt>
                <c:pt idx="52">
                  <c:v>1491.3528002385101</c:v>
                </c:pt>
                <c:pt idx="53">
                  <c:v>1566.95805062882</c:v>
                </c:pt>
                <c:pt idx="54">
                  <c:v>1643.59228746856</c:v>
                </c:pt>
                <c:pt idx="55">
                  <c:v>1690.0608366839399</c:v>
                </c:pt>
                <c:pt idx="56">
                  <c:v>1713.7291168327099</c:v>
                </c:pt>
                <c:pt idx="57">
                  <c:v>1756.3783874447699</c:v>
                </c:pt>
                <c:pt idx="58">
                  <c:v>1804.8903065639099</c:v>
                </c:pt>
                <c:pt idx="59">
                  <c:v>1851.07764010353</c:v>
                </c:pt>
                <c:pt idx="60">
                  <c:v>1812.7815035052199</c:v>
                </c:pt>
                <c:pt idx="61">
                  <c:v>1888.9438950426299</c:v>
                </c:pt>
              </c:numCache>
            </c:numRef>
          </c:val>
          <c:smooth val="0"/>
          <c:extLst>
            <c:ext xmlns:c16="http://schemas.microsoft.com/office/drawing/2014/chart" uri="{C3380CC4-5D6E-409C-BE32-E72D297353CC}">
              <c16:uniqueId val="{00000001-D913-4856-AD8D-86137B4D5B20}"/>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smooth val="0"/>
        <c:axId val="957033008"/>
        <c:axId val="957030928"/>
      </c:lineChart>
      <c:catAx>
        <c:axId val="957033008"/>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957030928"/>
        <c:crosses val="autoZero"/>
        <c:auto val="1"/>
        <c:lblAlgn val="ctr"/>
        <c:lblOffset val="100"/>
        <c:noMultiLvlLbl val="0"/>
      </c:catAx>
      <c:valAx>
        <c:axId val="95703092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a:t>GDP in USD Billion </a:t>
                </a:r>
              </a:p>
            </c:rich>
          </c:tx>
          <c:layout>
            <c:manualLayout>
              <c:xMode val="edge"/>
              <c:yMode val="edge"/>
              <c:x val="2.0887726550968499E-2"/>
              <c:y val="0.24807086614173199"/>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95703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Primary energy consumption per capita (kWh/person)</c:v>
                </c:pt>
              </c:strCache>
            </c:strRef>
          </c:tx>
          <c:spPr>
            <a:ln w="28575" cap="rnd">
              <a:solidFill>
                <a:schemeClr val="accent1"/>
              </a:solidFill>
              <a:round/>
            </a:ln>
            <a:effectLst/>
          </c:spPr>
          <c:marker>
            <c:symbol val="none"/>
          </c:marker>
          <c:cat>
            <c:numRef>
              <c:f>Sheet1!$A$2:$A$58</c:f>
              <c:numCache>
                <c:formatCode>General</c:formatCode>
                <c:ptCount val="57"/>
                <c:pt idx="0">
                  <c:v>1965</c:v>
                </c:pt>
                <c:pt idx="1">
                  <c:v>1966</c:v>
                </c:pt>
                <c:pt idx="2">
                  <c:v>1967</c:v>
                </c:pt>
                <c:pt idx="3">
                  <c:v>1968</c:v>
                </c:pt>
                <c:pt idx="4">
                  <c:v>1969</c:v>
                </c:pt>
                <c:pt idx="5">
                  <c:v>1970</c:v>
                </c:pt>
                <c:pt idx="6">
                  <c:v>1971</c:v>
                </c:pt>
                <c:pt idx="7">
                  <c:v>1972</c:v>
                </c:pt>
                <c:pt idx="8">
                  <c:v>1973</c:v>
                </c:pt>
                <c:pt idx="9">
                  <c:v>1974</c:v>
                </c:pt>
                <c:pt idx="10">
                  <c:v>1975</c:v>
                </c:pt>
                <c:pt idx="11">
                  <c:v>1976</c:v>
                </c:pt>
                <c:pt idx="12">
                  <c:v>1977</c:v>
                </c:pt>
                <c:pt idx="13">
                  <c:v>1978</c:v>
                </c:pt>
                <c:pt idx="14">
                  <c:v>1979</c:v>
                </c:pt>
                <c:pt idx="15">
                  <c:v>1980</c:v>
                </c:pt>
                <c:pt idx="16">
                  <c:v>1981</c:v>
                </c:pt>
                <c:pt idx="17">
                  <c:v>1982</c:v>
                </c:pt>
                <c:pt idx="18">
                  <c:v>1983</c:v>
                </c:pt>
                <c:pt idx="19">
                  <c:v>1984</c:v>
                </c:pt>
                <c:pt idx="20">
                  <c:v>1985</c:v>
                </c:pt>
                <c:pt idx="21">
                  <c:v>1986</c:v>
                </c:pt>
                <c:pt idx="22">
                  <c:v>1987</c:v>
                </c:pt>
                <c:pt idx="23">
                  <c:v>1988</c:v>
                </c:pt>
                <c:pt idx="24">
                  <c:v>1989</c:v>
                </c:pt>
                <c:pt idx="25">
                  <c:v>1990</c:v>
                </c:pt>
                <c:pt idx="26">
                  <c:v>1991</c:v>
                </c:pt>
                <c:pt idx="27">
                  <c:v>1992</c:v>
                </c:pt>
                <c:pt idx="28">
                  <c:v>1993</c:v>
                </c:pt>
                <c:pt idx="29">
                  <c:v>1994</c:v>
                </c:pt>
                <c:pt idx="30">
                  <c:v>1995</c:v>
                </c:pt>
                <c:pt idx="31">
                  <c:v>1996</c:v>
                </c:pt>
                <c:pt idx="32">
                  <c:v>1997</c:v>
                </c:pt>
                <c:pt idx="33">
                  <c:v>1998</c:v>
                </c:pt>
                <c:pt idx="34">
                  <c:v>1999</c:v>
                </c:pt>
                <c:pt idx="35">
                  <c:v>2000</c:v>
                </c:pt>
                <c:pt idx="36">
                  <c:v>2001</c:v>
                </c:pt>
                <c:pt idx="37">
                  <c:v>2002</c:v>
                </c:pt>
                <c:pt idx="38">
                  <c:v>2003</c:v>
                </c:pt>
                <c:pt idx="39">
                  <c:v>2004</c:v>
                </c:pt>
                <c:pt idx="40">
                  <c:v>2005</c:v>
                </c:pt>
                <c:pt idx="41">
                  <c:v>2006</c:v>
                </c:pt>
                <c:pt idx="42">
                  <c:v>2007</c:v>
                </c:pt>
                <c:pt idx="43">
                  <c:v>2008</c:v>
                </c:pt>
                <c:pt idx="44">
                  <c:v>2009</c:v>
                </c:pt>
                <c:pt idx="45">
                  <c:v>2010</c:v>
                </c:pt>
                <c:pt idx="46">
                  <c:v>2011</c:v>
                </c:pt>
                <c:pt idx="47">
                  <c:v>2012</c:v>
                </c:pt>
                <c:pt idx="48">
                  <c:v>2013</c:v>
                </c:pt>
                <c:pt idx="49">
                  <c:v>2014</c:v>
                </c:pt>
                <c:pt idx="50">
                  <c:v>2015</c:v>
                </c:pt>
                <c:pt idx="51">
                  <c:v>2016</c:v>
                </c:pt>
                <c:pt idx="52">
                  <c:v>2017</c:v>
                </c:pt>
                <c:pt idx="53">
                  <c:v>2018</c:v>
                </c:pt>
                <c:pt idx="54">
                  <c:v>2019</c:v>
                </c:pt>
                <c:pt idx="55">
                  <c:v>2020</c:v>
                </c:pt>
                <c:pt idx="56">
                  <c:v>2021</c:v>
                </c:pt>
              </c:numCache>
            </c:numRef>
          </c:cat>
          <c:val>
            <c:numRef>
              <c:f>Sheet1!$B$2:$B$58</c:f>
              <c:numCache>
                <c:formatCode>General</c:formatCode>
                <c:ptCount val="57"/>
                <c:pt idx="0">
                  <c:v>2225.6255000000001</c:v>
                </c:pt>
                <c:pt idx="1">
                  <c:v>2272.4785000000002</c:v>
                </c:pt>
                <c:pt idx="2">
                  <c:v>2238.1064000000001</c:v>
                </c:pt>
                <c:pt idx="3">
                  <c:v>2303.8827999999999</c:v>
                </c:pt>
                <c:pt idx="4">
                  <c:v>2306.8735000000001</c:v>
                </c:pt>
                <c:pt idx="5">
                  <c:v>2440.1460000000002</c:v>
                </c:pt>
                <c:pt idx="6">
                  <c:v>2539.2233999999999</c:v>
                </c:pt>
                <c:pt idx="7">
                  <c:v>2617.8883999999998</c:v>
                </c:pt>
                <c:pt idx="8">
                  <c:v>2761.5871999999999</c:v>
                </c:pt>
                <c:pt idx="9">
                  <c:v>2817.2296999999999</c:v>
                </c:pt>
                <c:pt idx="10">
                  <c:v>2905.482</c:v>
                </c:pt>
                <c:pt idx="11">
                  <c:v>3070.0742</c:v>
                </c:pt>
                <c:pt idx="12">
                  <c:v>3150.3454999999999</c:v>
                </c:pt>
                <c:pt idx="13">
                  <c:v>3179.3962000000001</c:v>
                </c:pt>
                <c:pt idx="14">
                  <c:v>3363.9185000000002</c:v>
                </c:pt>
                <c:pt idx="15">
                  <c:v>3512.1008000000002</c:v>
                </c:pt>
                <c:pt idx="16">
                  <c:v>3827.7935000000002</c:v>
                </c:pt>
                <c:pt idx="17">
                  <c:v>3961.1921000000002</c:v>
                </c:pt>
                <c:pt idx="18">
                  <c:v>3966.2341000000001</c:v>
                </c:pt>
                <c:pt idx="19">
                  <c:v>3976.4167000000002</c:v>
                </c:pt>
                <c:pt idx="20">
                  <c:v>4022.7673</c:v>
                </c:pt>
                <c:pt idx="21">
                  <c:v>3997.9380000000001</c:v>
                </c:pt>
                <c:pt idx="22">
                  <c:v>4010.1754999999998</c:v>
                </c:pt>
                <c:pt idx="23">
                  <c:v>4176.9369999999999</c:v>
                </c:pt>
                <c:pt idx="24">
                  <c:v>4074.2202000000002</c:v>
                </c:pt>
                <c:pt idx="25">
                  <c:v>4096.8370000000004</c:v>
                </c:pt>
                <c:pt idx="26">
                  <c:v>3987.3571999999999</c:v>
                </c:pt>
                <c:pt idx="27">
                  <c:v>3944.8425000000002</c:v>
                </c:pt>
                <c:pt idx="28">
                  <c:v>3853.4000999999998</c:v>
                </c:pt>
                <c:pt idx="29">
                  <c:v>3890.4744000000001</c:v>
                </c:pt>
                <c:pt idx="30">
                  <c:v>3951.8225000000002</c:v>
                </c:pt>
                <c:pt idx="31">
                  <c:v>3951.4106000000002</c:v>
                </c:pt>
                <c:pt idx="32">
                  <c:v>3934.1633000000002</c:v>
                </c:pt>
                <c:pt idx="33">
                  <c:v>3899.0698000000002</c:v>
                </c:pt>
                <c:pt idx="34">
                  <c:v>3923.614</c:v>
                </c:pt>
                <c:pt idx="35">
                  <c:v>3917.2359999999999</c:v>
                </c:pt>
                <c:pt idx="36">
                  <c:v>3954.3809999999999</c:v>
                </c:pt>
                <c:pt idx="37">
                  <c:v>3921.5587999999998</c:v>
                </c:pt>
                <c:pt idx="38">
                  <c:v>4010.0767000000001</c:v>
                </c:pt>
                <c:pt idx="39">
                  <c:v>4187.7992999999997</c:v>
                </c:pt>
                <c:pt idx="40">
                  <c:v>4094.0963999999999</c:v>
                </c:pt>
                <c:pt idx="41">
                  <c:v>4071.181</c:v>
                </c:pt>
                <c:pt idx="42">
                  <c:v>4116.5967000000001</c:v>
                </c:pt>
                <c:pt idx="43">
                  <c:v>4254.2725</c:v>
                </c:pt>
                <c:pt idx="44">
                  <c:v>4212.1655000000001</c:v>
                </c:pt>
                <c:pt idx="45">
                  <c:v>4231.4179999999997</c:v>
                </c:pt>
                <c:pt idx="46">
                  <c:v>4158.1679999999997</c:v>
                </c:pt>
                <c:pt idx="47">
                  <c:v>4207.2992999999997</c:v>
                </c:pt>
                <c:pt idx="48">
                  <c:v>4213.8437999999996</c:v>
                </c:pt>
                <c:pt idx="49">
                  <c:v>4218.2475999999997</c:v>
                </c:pt>
                <c:pt idx="50">
                  <c:v>4207.0015000000003</c:v>
                </c:pt>
                <c:pt idx="51">
                  <c:v>4208.973</c:v>
                </c:pt>
                <c:pt idx="52">
                  <c:v>4207.2446</c:v>
                </c:pt>
                <c:pt idx="53">
                  <c:v>4199.4570000000003</c:v>
                </c:pt>
                <c:pt idx="54">
                  <c:v>4182.9233000000004</c:v>
                </c:pt>
                <c:pt idx="55">
                  <c:v>3855.4389999999999</c:v>
                </c:pt>
                <c:pt idx="56">
                  <c:v>3985.1950000000002</c:v>
                </c:pt>
              </c:numCache>
            </c:numRef>
          </c:val>
          <c:smooth val="0"/>
          <c:extLst>
            <c:ext xmlns:c16="http://schemas.microsoft.com/office/drawing/2014/chart" uri="{C3380CC4-5D6E-409C-BE32-E72D297353CC}">
              <c16:uniqueId val="{00000000-54B2-4B4D-A496-B24595A9DA7F}"/>
            </c:ext>
          </c:extLst>
        </c:ser>
        <c:ser>
          <c:idx val="1"/>
          <c:order val="1"/>
          <c:tx>
            <c:strRef>
              <c:f>Sheet1!$C$1</c:f>
              <c:strCache>
                <c:ptCount val="1"/>
                <c:pt idx="0">
                  <c:v>CO2 emissions (metric tons) </c:v>
                </c:pt>
              </c:strCache>
            </c:strRef>
          </c:tx>
          <c:spPr>
            <a:ln w="28575" cap="rnd">
              <a:solidFill>
                <a:schemeClr val="accent2"/>
              </a:solidFill>
              <a:round/>
            </a:ln>
            <a:effectLst/>
          </c:spPr>
          <c:marker>
            <c:symbol val="none"/>
          </c:marker>
          <c:cat>
            <c:numRef>
              <c:f>Sheet1!$A$2:$A$58</c:f>
              <c:numCache>
                <c:formatCode>General</c:formatCode>
                <c:ptCount val="57"/>
                <c:pt idx="0">
                  <c:v>1965</c:v>
                </c:pt>
                <c:pt idx="1">
                  <c:v>1966</c:v>
                </c:pt>
                <c:pt idx="2">
                  <c:v>1967</c:v>
                </c:pt>
                <c:pt idx="3">
                  <c:v>1968</c:v>
                </c:pt>
                <c:pt idx="4">
                  <c:v>1969</c:v>
                </c:pt>
                <c:pt idx="5">
                  <c:v>1970</c:v>
                </c:pt>
                <c:pt idx="6">
                  <c:v>1971</c:v>
                </c:pt>
                <c:pt idx="7">
                  <c:v>1972</c:v>
                </c:pt>
                <c:pt idx="8">
                  <c:v>1973</c:v>
                </c:pt>
                <c:pt idx="9">
                  <c:v>1974</c:v>
                </c:pt>
                <c:pt idx="10">
                  <c:v>1975</c:v>
                </c:pt>
                <c:pt idx="11">
                  <c:v>1976</c:v>
                </c:pt>
                <c:pt idx="12">
                  <c:v>1977</c:v>
                </c:pt>
                <c:pt idx="13">
                  <c:v>1978</c:v>
                </c:pt>
                <c:pt idx="14">
                  <c:v>1979</c:v>
                </c:pt>
                <c:pt idx="15">
                  <c:v>1980</c:v>
                </c:pt>
                <c:pt idx="16">
                  <c:v>1981</c:v>
                </c:pt>
                <c:pt idx="17">
                  <c:v>1982</c:v>
                </c:pt>
                <c:pt idx="18">
                  <c:v>1983</c:v>
                </c:pt>
                <c:pt idx="19">
                  <c:v>1984</c:v>
                </c:pt>
                <c:pt idx="20">
                  <c:v>1985</c:v>
                </c:pt>
                <c:pt idx="21">
                  <c:v>1986</c:v>
                </c:pt>
                <c:pt idx="22">
                  <c:v>1987</c:v>
                </c:pt>
                <c:pt idx="23">
                  <c:v>1988</c:v>
                </c:pt>
                <c:pt idx="24">
                  <c:v>1989</c:v>
                </c:pt>
                <c:pt idx="25">
                  <c:v>1990</c:v>
                </c:pt>
                <c:pt idx="26">
                  <c:v>1991</c:v>
                </c:pt>
                <c:pt idx="27">
                  <c:v>1992</c:v>
                </c:pt>
                <c:pt idx="28">
                  <c:v>1993</c:v>
                </c:pt>
                <c:pt idx="29">
                  <c:v>1994</c:v>
                </c:pt>
                <c:pt idx="30">
                  <c:v>1995</c:v>
                </c:pt>
                <c:pt idx="31">
                  <c:v>1996</c:v>
                </c:pt>
                <c:pt idx="32">
                  <c:v>1997</c:v>
                </c:pt>
                <c:pt idx="33">
                  <c:v>1998</c:v>
                </c:pt>
                <c:pt idx="34">
                  <c:v>1999</c:v>
                </c:pt>
                <c:pt idx="35">
                  <c:v>2000</c:v>
                </c:pt>
                <c:pt idx="36">
                  <c:v>2001</c:v>
                </c:pt>
                <c:pt idx="37">
                  <c:v>2002</c:v>
                </c:pt>
                <c:pt idx="38">
                  <c:v>2003</c:v>
                </c:pt>
                <c:pt idx="39">
                  <c:v>2004</c:v>
                </c:pt>
                <c:pt idx="40">
                  <c:v>2005</c:v>
                </c:pt>
                <c:pt idx="41">
                  <c:v>2006</c:v>
                </c:pt>
                <c:pt idx="42">
                  <c:v>2007</c:v>
                </c:pt>
                <c:pt idx="43">
                  <c:v>2008</c:v>
                </c:pt>
                <c:pt idx="44">
                  <c:v>2009</c:v>
                </c:pt>
                <c:pt idx="45">
                  <c:v>2010</c:v>
                </c:pt>
                <c:pt idx="46">
                  <c:v>2011</c:v>
                </c:pt>
                <c:pt idx="47">
                  <c:v>2012</c:v>
                </c:pt>
                <c:pt idx="48">
                  <c:v>2013</c:v>
                </c:pt>
                <c:pt idx="49">
                  <c:v>2014</c:v>
                </c:pt>
                <c:pt idx="50">
                  <c:v>2015</c:v>
                </c:pt>
                <c:pt idx="51">
                  <c:v>2016</c:v>
                </c:pt>
                <c:pt idx="52">
                  <c:v>2017</c:v>
                </c:pt>
                <c:pt idx="53">
                  <c:v>2018</c:v>
                </c:pt>
                <c:pt idx="54">
                  <c:v>2019</c:v>
                </c:pt>
                <c:pt idx="55">
                  <c:v>2020</c:v>
                </c:pt>
                <c:pt idx="56">
                  <c:v>2021</c:v>
                </c:pt>
              </c:numCache>
            </c:numRef>
          </c:cat>
          <c:val>
            <c:numRef>
              <c:f>Sheet1!$C$2:$C$58</c:f>
              <c:numCache>
                <c:formatCode>General</c:formatCode>
                <c:ptCount val="57"/>
                <c:pt idx="25">
                  <c:v>3997.13177</c:v>
                </c:pt>
                <c:pt idx="26">
                  <c:v>4086.6076499999999</c:v>
                </c:pt>
                <c:pt idx="27">
                  <c:v>4166.3481899999997</c:v>
                </c:pt>
                <c:pt idx="28">
                  <c:v>4185.5333700000001</c:v>
                </c:pt>
                <c:pt idx="29">
                  <c:v>4183.0568700000003</c:v>
                </c:pt>
                <c:pt idx="30">
                  <c:v>4435.5877200000004</c:v>
                </c:pt>
                <c:pt idx="31">
                  <c:v>4742.3052100000004</c:v>
                </c:pt>
                <c:pt idx="32">
                  <c:v>4907.7047700000003</c:v>
                </c:pt>
                <c:pt idx="33">
                  <c:v>4948.1208500000002</c:v>
                </c:pt>
                <c:pt idx="34">
                  <c:v>4827.5206500000004</c:v>
                </c:pt>
                <c:pt idx="35">
                  <c:v>4976.70082</c:v>
                </c:pt>
                <c:pt idx="36">
                  <c:v>5425.9329399999997</c:v>
                </c:pt>
                <c:pt idx="37">
                  <c:v>5458.54385</c:v>
                </c:pt>
                <c:pt idx="38">
                  <c:v>5773.5449900000003</c:v>
                </c:pt>
                <c:pt idx="39">
                  <c:v>6085.6807699999999</c:v>
                </c:pt>
                <c:pt idx="40">
                  <c:v>6137.5436600000003</c:v>
                </c:pt>
                <c:pt idx="41">
                  <c:v>6143.2997800000003</c:v>
                </c:pt>
                <c:pt idx="42">
                  <c:v>6288.2025599999997</c:v>
                </c:pt>
                <c:pt idx="43">
                  <c:v>6706.7129100000002</c:v>
                </c:pt>
                <c:pt idx="44">
                  <c:v>6486.69038</c:v>
                </c:pt>
                <c:pt idx="45">
                  <c:v>6951.7371700000003</c:v>
                </c:pt>
                <c:pt idx="46">
                  <c:v>6935.5482599999996</c:v>
                </c:pt>
                <c:pt idx="47">
                  <c:v>7213.7189699999999</c:v>
                </c:pt>
                <c:pt idx="48">
                  <c:v>7587.3145400000003</c:v>
                </c:pt>
                <c:pt idx="49">
                  <c:v>7893.3218399999996</c:v>
                </c:pt>
                <c:pt idx="50">
                  <c:v>7724.0673399999996</c:v>
                </c:pt>
                <c:pt idx="51">
                  <c:v>7845.3553199999997</c:v>
                </c:pt>
                <c:pt idx="52">
                  <c:v>7922.3955100000003</c:v>
                </c:pt>
                <c:pt idx="53">
                  <c:v>8017.6857</c:v>
                </c:pt>
                <c:pt idx="54">
                  <c:v>8237.8665600000004</c:v>
                </c:pt>
              </c:numCache>
            </c:numRef>
          </c:val>
          <c:smooth val="0"/>
          <c:extLst>
            <c:ext xmlns:c16="http://schemas.microsoft.com/office/drawing/2014/chart" uri="{C3380CC4-5D6E-409C-BE32-E72D297353CC}">
              <c16:uniqueId val="{00000001-54B2-4B4D-A496-B24595A9DA7F}"/>
            </c:ext>
          </c:extLst>
        </c:ser>
        <c:dLbls>
          <c:showLegendKey val="0"/>
          <c:showVal val="0"/>
          <c:showCatName val="0"/>
          <c:showSerName val="0"/>
          <c:showPercent val="0"/>
          <c:showBubbleSize val="0"/>
        </c:dLbls>
        <c:smooth val="0"/>
        <c:axId val="1863961135"/>
        <c:axId val="1863963631"/>
      </c:lineChart>
      <c:catAx>
        <c:axId val="1863961135"/>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1863963631"/>
        <c:crosses val="autoZero"/>
        <c:auto val="1"/>
        <c:lblAlgn val="ctr"/>
        <c:lblOffset val="100"/>
        <c:noMultiLvlLbl val="0"/>
      </c:catAx>
      <c:valAx>
        <c:axId val="18639636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a:t>Energy Consumption Per Capita (KWh)/ CO2 Emissions (kt '00)</a:t>
                </a:r>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1863961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Sheet1!$H$12:$H$63</c:f>
              <c:numCache>
                <c:formatCode>General</c:formatCode>
                <c:ptCount val="52"/>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pt idx="50">
                  <c:v>2020</c:v>
                </c:pt>
                <c:pt idx="51">
                  <c:v>2021</c:v>
                </c:pt>
              </c:numCache>
            </c:numRef>
          </c:cat>
          <c:val>
            <c:numRef>
              <c:f>Sheet1!$I$12:$I$63</c:f>
              <c:numCache>
                <c:formatCode>General</c:formatCode>
                <c:ptCount val="52"/>
                <c:pt idx="0">
                  <c:v>829.16986516010002</c:v>
                </c:pt>
                <c:pt idx="1">
                  <c:v>715.17093205610001</c:v>
                </c:pt>
                <c:pt idx="2">
                  <c:v>695.54824468109996</c:v>
                </c:pt>
                <c:pt idx="3">
                  <c:v>818.96913821340002</c:v>
                </c:pt>
                <c:pt idx="4">
                  <c:v>1416.78468099358</c:v>
                </c:pt>
                <c:pt idx="5">
                  <c:v>1285.93985775532</c:v>
                </c:pt>
                <c:pt idx="6">
                  <c:v>1016.63988821081</c:v>
                </c:pt>
                <c:pt idx="7">
                  <c:v>845.89409705999799</c:v>
                </c:pt>
                <c:pt idx="8">
                  <c:v>919.83826807545802</c:v>
                </c:pt>
                <c:pt idx="9">
                  <c:v>773.36113752213805</c:v>
                </c:pt>
                <c:pt idx="10">
                  <c:v>255.531071661835</c:v>
                </c:pt>
                <c:pt idx="11">
                  <c:v>1545.0261154996199</c:v>
                </c:pt>
                <c:pt idx="12">
                  <c:v>1460.22898378943</c:v>
                </c:pt>
                <c:pt idx="13">
                  <c:v>854.46361931957199</c:v>
                </c:pt>
                <c:pt idx="14">
                  <c:v>937.80963629425401</c:v>
                </c:pt>
                <c:pt idx="15">
                  <c:v>1000.05232305112</c:v>
                </c:pt>
                <c:pt idx="16">
                  <c:v>615.47497126211101</c:v>
                </c:pt>
                <c:pt idx="17">
                  <c:v>1317.7238167385599</c:v>
                </c:pt>
                <c:pt idx="18">
                  <c:v>1510.2165004839601</c:v>
                </c:pt>
                <c:pt idx="19">
                  <c:v>2969.6250036392098</c:v>
                </c:pt>
                <c:pt idx="20">
                  <c:v>1161.9808804394099</c:v>
                </c:pt>
                <c:pt idx="21">
                  <c:v>2079.6213548791602</c:v>
                </c:pt>
                <c:pt idx="22">
                  <c:v>1866.9563803711001</c:v>
                </c:pt>
                <c:pt idx="23">
                  <c:v>2597.4464772874298</c:v>
                </c:pt>
                <c:pt idx="24">
                  <c:v>3577.7952308845902</c:v>
                </c:pt>
                <c:pt idx="25">
                  <c:v>3608.3869624363101</c:v>
                </c:pt>
                <c:pt idx="26">
                  <c:v>3269.9012405455001</c:v>
                </c:pt>
                <c:pt idx="27">
                  <c:v>7379.46024716785</c:v>
                </c:pt>
                <c:pt idx="28">
                  <c:v>6019.5512744573398</c:v>
                </c:pt>
                <c:pt idx="29">
                  <c:v>8645.8620825653907</c:v>
                </c:pt>
                <c:pt idx="30">
                  <c:v>6875.1021209854198</c:v>
                </c:pt>
                <c:pt idx="31">
                  <c:v>15429.352514881301</c:v>
                </c:pt>
                <c:pt idx="32">
                  <c:v>10872.641348012001</c:v>
                </c:pt>
                <c:pt idx="33">
                  <c:v>13817.3160100353</c:v>
                </c:pt>
                <c:pt idx="34">
                  <c:v>12633.4405209984</c:v>
                </c:pt>
                <c:pt idx="35">
                  <c:v>19612.0136885516</c:v>
                </c:pt>
                <c:pt idx="36">
                  <c:v>16436.899446118299</c:v>
                </c:pt>
                <c:pt idx="37">
                  <c:v>29152.942042976701</c:v>
                </c:pt>
                <c:pt idx="38">
                  <c:v>38800.673906394702</c:v>
                </c:pt>
                <c:pt idx="39">
                  <c:v>36644.0108824653</c:v>
                </c:pt>
                <c:pt idx="40">
                  <c:v>32809.203664203698</c:v>
                </c:pt>
                <c:pt idx="41">
                  <c:v>42039.850555712001</c:v>
                </c:pt>
                <c:pt idx="42">
                  <c:v>45549.029978712402</c:v>
                </c:pt>
                <c:pt idx="43">
                  <c:v>40691.802656252999</c:v>
                </c:pt>
                <c:pt idx="44">
                  <c:v>44279.447354043303</c:v>
                </c:pt>
                <c:pt idx="45">
                  <c:v>44417.402286231503</c:v>
                </c:pt>
                <c:pt idx="46">
                  <c:v>30597.315084128699</c:v>
                </c:pt>
                <c:pt idx="47">
                  <c:v>27770.707317193501</c:v>
                </c:pt>
                <c:pt idx="48">
                  <c:v>29081.8190287875</c:v>
                </c:pt>
                <c:pt idx="49">
                  <c:v>27449.183660856001</c:v>
                </c:pt>
                <c:pt idx="50">
                  <c:v>23796.8202370586</c:v>
                </c:pt>
                <c:pt idx="51">
                  <c:v>73887.377525414297</c:v>
                </c:pt>
              </c:numCache>
            </c:numRef>
          </c:val>
          <c:extLst>
            <c:ext xmlns:c16="http://schemas.microsoft.com/office/drawing/2014/chart" uri="{C3380CC4-5D6E-409C-BE32-E72D297353CC}">
              <c16:uniqueId val="{00000000-CC83-49DA-A57A-4A0DC2876803}"/>
            </c:ext>
          </c:extLst>
        </c:ser>
        <c:dLbls>
          <c:showLegendKey val="0"/>
          <c:showVal val="0"/>
          <c:showCatName val="0"/>
          <c:showSerName val="0"/>
          <c:showPercent val="0"/>
          <c:showBubbleSize val="0"/>
        </c:dLbls>
        <c:gapWidth val="219"/>
        <c:overlap val="-27"/>
        <c:axId val="2033982175"/>
        <c:axId val="2033985503"/>
      </c:barChart>
      <c:catAx>
        <c:axId val="2033982175"/>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33985503"/>
        <c:crosses val="autoZero"/>
        <c:auto val="1"/>
        <c:lblAlgn val="ctr"/>
        <c:lblOffset val="100"/>
        <c:noMultiLvlLbl val="0"/>
      </c:catAx>
      <c:valAx>
        <c:axId val="2033985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FDI net inflows ($ million)</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33982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20</Pages>
  <Words>7213</Words>
  <Characters>41115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Afolabi Balogun</dc:creator>
  <cp:keywords/>
  <dc:description/>
  <cp:lastModifiedBy>Afolabi Balogun</cp:lastModifiedBy>
  <cp:revision>115</cp:revision>
  <dcterms:created xsi:type="dcterms:W3CDTF">2024-08-12T06:46:00Z</dcterms:created>
  <dcterms:modified xsi:type="dcterms:W3CDTF">2025-06-07T14:22:00Z</dcterms:modified>
</cp:coreProperties>
</file>